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Las Charcas</w:t>
      </w:r>
    </w:p>
    <w:p>
      <w:pPr>
        <w:spacing w:after="600"/>
        <w:jc w:val="center"/>
      </w:pPr>
      <w:r>
        <w:rPr>
          <w:rFonts w:ascii="Calibri" w:hAnsi="Calibri" w:eastAsia="Calibri"/>
          <w:b w:val="0"/>
          <w:i w:val="0"/>
          <w:color w:val="5E7076"/>
          <w:sz w:val="24"/>
        </w:rPr>
        <w:t>Azua · Región El Valle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Las Charcas / Azua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07020002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Las Charcas forma parte de la provincia Azua y se integra en la región de planificación El Valle. El código geográfico utilizado en este borrador es 07020002.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Las Charcas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245.9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58.3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El origen del municipio de Las Charcas data de la época colonial; allí se estableció el ingenio colonial «Cepi Cepí» en 1546. Su propietario era Diego Caballero de la Rosa, quien empleaba esclavos africanos e indígenas en la producción de azúcar.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Las Charcas registró 14,341 habitantes: 7,472 hombres (52.1%) y 6,869 mujeres (47.9%). Frente a los 11,243 habitantes censados en 2010, la población creció 27.6%. El cambio intercensal constituye la línea base para dimensionar servicios, infraestructura y demanda de suelo; no permite atribuir por sí solo causas de migración, fecundidad o movilidad residencial. [DASH-BASE]</w:t>
      </w:r>
    </w:p>
    <w:p>
      <w:r>
        <w:t>La distribución territorial muestra 9,020 habitantes en zona urbana (62.9%) y 5,321 en zona rural (37.1%). Esta relación debe considerarse al organizar rutas de servicios, mantenimiento vial, equipamientos y mecanismos de atención a comunidades dispersas. [DASH-URB]</w:t>
      </w:r>
    </w:p>
    <w:p>
      <w:r>
        <w:t>El municipio cuenta con 4,913 hogares y 14,279 personas residentes en hogares. El promedio es de 2.91 personas por hogar. El Censo registra 5,952 viviendas, de las cuales 4,757 estaban ocupadas y 1,178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Las Charcas.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Las Charcas se distribuye aproximadamente en 28.3% de población menor de 15 años, 64.2% entre 15 y 64 años y 7.5% de 65 años o más. La relación de dependencia demográfica estimada es de 55.7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62.9% y el tamaño medio de los hogares es 2.91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49.2% de los hogares declara recibir agua del acueducto dentro de la vivienda, frente a 62.7% a escala nacional. Para agua de beber, el uso de botellones representa 90.9%. La comparación sugiere una condición de acceso físico y un patrón de consumo, pero no informa continuidad, presión, potabilidad ni costo. Esos cuatro aspectos deben verificarse antes de formular intervenciones. [DASH-VIDA]</w:t>
      </w:r>
    </w:p>
    <w:p>
      <w:r>
        <w:t>En saneamiento, 69.9% de los hogares reporta inodoro y 8.3%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97.9% de los hogares. La recogida de residuos por el ayuntamiento alcanza 85.7%, mientras 6.2% declara quemarlos. El gas propano es el combustible principal de cocina en 81.3%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8 centros y 2,889 matrículas agregadas. De ellas, 1,156 corresponden a inicial/primario, 1,733 a secundario y 0 a educación de adultos. La cobertura corresponde a la asociación territorial usada por el Dashboard y debe verificarse cuando el distrito educativo abarque más de un municipio. [DASH-EDU]</w:t>
      </w:r>
    </w:p>
    <w:p>
      <w:r>
        <w:t>Entre la población de referencia de tres años o más, 22.2% aparece sin nivel de instrucción y 25.8%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23 establecimientos y un empleo estimado de 148.8, equivalente a 6.5 empleos por establecimiento. Los establecimientos de 1 a 10 personas representan 87.0%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(83.4 empleos estimados); Agricultura, ganadería, silvicultura y pesca (20.1 empleos estimados); Administración pública y defensa; planes de seguridad social de afiliación obligatoria (16.8 empleos estimados). La mayor especialización relativa se observa en Agricultura, ganadería, silvicultura y pesca (cociente de localización 10.37).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3. Este conteo informa presencia física, no cartera de servicios, personal, horario, capacidad, calidad ni accesibilidad efectiva. La planificación municipal debe validar esos elementos con el Servicio Nacional de Salud. [DASH-SALUD]</w:t>
      </w:r>
    </w:p>
    <w:p>
      <w:r>
        <w:t>El uso de internet alcanza 63.0% y el de computadora 11.2%.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27.6%; urbanización de 62.9%.</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49.2%; hogares sin sanitario: 8.3%.</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85.7%; quema: 6.2%.</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87.0%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63.0%; computadora: 11.2%.</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23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49.2% (país: 62.7%).</w:t>
              <w:br/>
              <w:t>• Recogida de residuos por el ayuntamiento: 85.7% (país: 85.9%).</w:t>
              <w:br/>
              <w:t>• Uso de internet: 63.0% (país: 79.0%).</w:t>
              <w:br/>
              <w:t>• Abandono secundario del distrito asociado: 6.4%.</w:t>
              <w:br/>
              <w:t>• Variación intercensal de 27.6%; urbanización de 62.9%.</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Las Charcas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Las Charcas, Azua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Las Charcas · 07020002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Las Charcas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