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Matanzas</w:t>
      </w:r>
    </w:p>
    <w:p>
      <w:pPr>
        <w:spacing w:after="600"/>
        <w:jc w:val="center"/>
      </w:pPr>
      <w:r>
        <w:rPr>
          <w:rFonts w:ascii="Calibri" w:hAnsi="Calibri" w:eastAsia="Calibri"/>
          <w:b w:val="0"/>
          <w:i w:val="0"/>
          <w:color w:val="5E7076"/>
          <w:sz w:val="24"/>
        </w:rPr>
        <w:t>Peravia · Región Valdesia</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05170003</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cartera completa de proyectos asignados específicamente al municipio en MapaInversiones, con presupuesto, ejecución, avances, contratos y trazabilidad.</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Matanzas, municipio de la provincia Peravia, registró 19,162 habitantes en 2022. Entre 2010 y 2022 su población aumentó No disponible. El 35.7% reside en área urbana y el 64.3% en área rural. Estas proporciones determinan la escala y la distribución territorial de los servicios municipales.</w:t>
      </w:r>
    </w:p>
    <w:p>
      <w:r>
        <w:t>El diagnóstico registra 44.5% de hogares con agua del acueducto dentro de la vivienda, 91.6% con recogida municipal de residuos y 6.8% que los quema. El uso de internet alcanza 74.8%.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Matanzas forma parte de la provincia Peravia y de la región de planificación Valdesia. El código geográfico empleado es 05170003.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Matanzas</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Peravia</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Valdesia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05170003</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118.8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161.3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Según Hector Bienvenido Melo en su libro “Matanzas, su pasado y presente”, el nombre de Matanzas de Noria, tiene su origen en la crianza y matanza de reces para exportar pieles hacia Europa que se realizaba en el lugar. También indica sobre la existencia de una Noria que para sacar agua de un pozo o de otro lugar. Esta noria era el punto de reunión de los animales que iban a sacrificar, quedando descartado que su nombre proviene de una matanza de personas en el lugar. ​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Matanzas registró 19,162 habitantes: 9,508 hombres (49.6%) y 9,654 mujeres (50.4%). Frente a los No disponible habitantes censados en 2010, la población creció No disponible. El cambio intercensal constituye la línea base para dimensionar servicios, infraestructura y demanda de suelo; no permite atribuir por sí solo causas de migración, fecundidad o movilidad residencial. [DASH-BASE]</w:t>
      </w:r>
    </w:p>
    <w:p>
      <w:r>
        <w:t>La distribución territorial muestra 6,837 habitantes en zona urbana (35.7%) y 12,325 en zona rural (64.3%). Esta relación debe considerarse al organizar rutas de servicios, mantenimiento vial, equipamientos y mecanismos de atención a comunidades dispersas. [DASH-URB]</w:t>
      </w:r>
    </w:p>
    <w:p>
      <w:r>
        <w:t>El municipio cuenta con 6,741 hogares y 19,152 personas residentes en hogares. El promedio es de 2.84 personas por hogar. El Censo registra 8,652 viviendas, de las cuales 6,567 estaban ocupadas y 2,083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Matanzas.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Matanzas se distribuye aproximadamente en 26.3% de población menor de 15 años, 65.9% entre 15 y 64 años y 7.8% de 65 años o más. La relación de dependencia demográfica estimada es de 51.8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35.7% y el tamaño medio de los hogares es 2.84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44.5% de los hogares declara recibir agua del acueducto dentro de la vivienda, frente a 62.7% a escala nacional. Para agua de beber, el uso de botellones representa 90.6%. La comparación sugiere una condición de acceso físico y un patrón de consumo, pero no informa continuidad, presión, potabilidad ni costo. Esos cuatro aspectos deben verificarse antes de formular intervenciones. [DASH-VIDA]</w:t>
      </w:r>
    </w:p>
    <w:p>
      <w:r>
        <w:t>En saneamiento, 86.8% de los hogares reporta inodoro y 2.4%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99.0% de los hogares. La recogida de residuos por el ayuntamiento alcanza 91.6%, mientras 6.8% declara quemarlos. El gas propano es el combustible principal de cocina en 91.0%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No disponible centros y 0 matrículas agregadas. De ellas, No disponible corresponden a inicial/primario, No disponible a secundario y No disponible a educación de adultos. La cobertura corresponde a la asociación territorial usada por el Dashboard y debe verificarse cuando el distrito educativo abarque más de un municipio. [DASH-EDU]</w:t>
      </w:r>
    </w:p>
    <w:p>
      <w:r>
        <w:t>Entre la población de referencia de tres años o más, 12.4% aparece sin nivel de instrucción y 33.0%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90.2% en primaria y 88.9% en secundaria; el abandono reportado en secundaria es 5.9%.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47 establecimientos y un empleo estimado de 690.3, equivalente a 14.7 empleos por establecimiento. Los establecimientos de 1 a 10 personas representan 61.7% del total. Esto caracteriza la estructura formal observada por el DEE; no incluye necesariamente toda la economía informal, el autoempleo ni la producción agropecuaria familiar. [DASH-ECO]</w:t>
      </w:r>
    </w:p>
    <w:p>
      <w:r>
        <w:t>Las actividades con mayor empleo estimado en la fuente son Industrias manufactureras (190.0 empleos estimados); Comercio al por mayor y al por menor; reparación de vehículos automotores y motocicletas (162.3 empleos estimados); Actividades de alojamiento y de servicio de comidas (139.0 empleos estimados). La mayor especialización relativa se observa en Agricultura, ganadería, silvicultura y pesca (cociente de localización 3.13). El cociente de localización compara concentración relativa, no productividad ni competitividad. [DASH-ECO]</w:t>
      </w:r>
    </w:p>
    <w:p>
      <w:pPr>
        <w:pStyle w:val="Heading2"/>
      </w:pPr>
      <w:r>
        <w:t>2.5 Salud, conectividad y acceso a información</w:t>
      </w:r>
    </w:p>
    <w:p>
      <w:r>
        <w:t>El Dashboard registra 0 establecimientos de salud en el municipio. La composición principal es: sin registros. Este conteo informa presencia física, no cartera de servicios, personal, horario, capacidad, calidad ni accesibilidad efectiva. La planificación municipal debe validar esos elementos con el Servicio Nacional de Salud. [DASH-SALUD]</w:t>
      </w:r>
    </w:p>
    <w:p>
      <w:r>
        <w:t>El uso de internet alcanza 74.8% y el de computadora 9.5%.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0 instalaciones; 0.0 por 10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Matanzas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RD$ 66,001,462; ejecutado RD$ 66,000,027; ejecución 100.0%</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Matanzas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40.0 / 100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Matanzas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Trabajos viales registrados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14 registros; 8.5 km</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Matanzas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Octubre de 2025–marzo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infraestructura vial</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Licencias de construcción</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 licencias; 2,603 m²; inversión RD$ 160,372,520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Matanzas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2023</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licencias emitidas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111 casos; 53.0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Peravia;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24 casos; 11.5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Peravia;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43 personas; 20.5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Peravia;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23.2%</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Peravia;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52.0%</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Peravia;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3,127 registros; 14.9 por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Peravia;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Recogida de residuos por el ayuntamiento: 91.6%; promedio nacional: 85.9% (+5.7 puntos porcentuales).</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44.5%; promedio nacional: 62.7% (-18.2 puntos porcentuales).</w:t>
              <w:br/>
              <w:t>• Uso de internet: 74.8%; promedio nacional: 79.0% (-4.2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No disponible; urbanización de 35.7%.</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44.5%; hogares sin sanitario: 2.4%.</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91.6%; quema: 6.8%.</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5.9%.</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61.7%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74.8%; computadora: 9.5%.</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Matanzas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1 proyectos con identificación territorial específica para Matanzas. El costo total publicado de la cartera suma RD$ 368,782,316; la asignación presupuestaria 2026 suma RD$ 60,102,902 y la ejecución registrada suma RD$ 47,999,143, equivalente a 79.9%. Estados publicados: EJECUCIÓN: 1.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todos los proyectos del universo 2026 con alcance municipal específico, sin excluir estados publicados como DESCONOCIDO o PARALIZADO.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p>
      <w:pPr>
        <w:pStyle w:val="Heading2"/>
      </w:pPr>
      <w:r>
        <w:t>5.1 Cartera completa asignada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500"/>
        <w:gridCol w:w="1200"/>
        <w:gridCol w:w="3700"/>
        <w:gridCol w:w="1300"/>
        <w:gridCol w:w="2660"/>
      </w:tblGrid>
      <w:tr>
        <w:trPr>
          <w:tblHeader w:val="true"/>
        </w:trPr>
        <w:tc>
          <w:tcPr>
            <w:tcW w:type="dxa" w:w="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N.º</w:t>
            </w:r>
          </w:p>
        </w:tc>
        <w:tc>
          <w:tcPr>
            <w:tcW w:type="dxa" w:w="1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Identificación</w:t>
            </w:r>
          </w:p>
        </w:tc>
        <w:tc>
          <w:tcPr>
            <w:tcW w:type="dxa" w:w="3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 / institución</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26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Presupuesto 2026 (RD$)</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15327</w:t>
              <w:br/>
              <w:t>Ficha 6205</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MATANZAS, PROVINCIA PERAVIA</w:t>
              <w:br/>
              <w:t>Institución: MINISTERIO DE OBRAS PUBLICAS Y COMUNICACIONES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60,102,902</w:t>
              <w:br/>
              <w:t>Ejecutado: 47,999,143</w:t>
              <w:br/>
              <w:t>Tasa: 79.9%</w:t>
            </w:r>
          </w:p>
        </w:tc>
      </w:tr>
    </w:tbl>
    <w:p>
      <w:pPr>
        <w:spacing w:after="0"/>
      </w:pPr>
    </w:p>
    <w:p>
      <w:pPr>
        <w:pStyle w:val="Heading2"/>
      </w:pPr>
      <w:r>
        <w:t>5.2 Fichas completas de los proyectos</w:t>
      </w:r>
    </w:p>
    <w:p>
      <w:r>
        <w:t>Las fichas siguientes reproducen todos los campos disponibles en el dataset utilizado. La tasa de ejecución presupuestaria se calcula como ejecutado 2026 dividido entre la asignación 2026; los avances físico y financiero son los porcentajes publicados en el perfil.</w:t>
      </w:r>
    </w:p>
    <w:p>
      <w:pPr>
        <w:pStyle w:val="Heading3"/>
      </w:pPr>
      <w:r>
        <w:t>5.2.1 RECONSTRUCCIÓN DE LA INFRAESTRUCTURA VIAL URBANA DEL MUNICIPIO MATANZAS, PROVINCIA PERAVIA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MATANZAS, PROVINCIA PERAVIA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15327; Ficha MapaInversiones: 6205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368,782,316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RD$ 60,102,902; ejecutado: RD$ 47,999,143; tasa de ejecución presupuestaria: 79.9%</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40.9%; financiero: 40.9%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47; activos: 47</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valdesia; provincias: PERAVIA; municipios: MATANZAS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valdesia [05], provincia PERAVIA [17], municipio MATANZAS [051703]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MATANZAS (PERAVIA); fuente: profile; verificada: 2026-08-02T12:40:22.756Z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https://mapainversiones.gob.do/projectprofile/6205; contrato: https://comunidad.comprasdominicana.gob.do/Public/Tendering/ContractDetailView/Index?UniqueIdentifier=DO1.PCCNTR.1730619&amp;AwardContractDetailId=511832</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91.6% de hogares con recogida municipal y 6.8%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Matanzas (República Dominicana)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Matanzas, Peravia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Matanzas · 05170003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Matanzas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