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Dajabón</w:t>
      </w:r>
    </w:p>
    <w:p>
      <w:r>
        <w:rPr>
          <w:b w:val="0"/>
          <w:i w:val="0"/>
          <w:color w:val="66736F"/>
          <w:sz w:val="22"/>
        </w:rPr>
        <w:t>Dajabón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04050001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Dajabón / Dajabón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Cibao Noroeste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04050001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Dajabón es un municipio de la República Dominicana, que está situado en la provincia de Dajabón.​ Es una ciudad fronteriza con Haití, perteneciente a la Región Norte de la República Dominicana. [WIKI-01]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Wikipedia en español, «Dajabón», revisión 169959497, consulta 2026-07-27. Uso limitado a contexto geográfico básico.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35,809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28,071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27.6%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49.5% / 50.5%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72.8% / 27.2%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12,092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2.92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11,947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35,809 habitantes en 2022. La variación respecto de 2010 es 27.6%.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Documento localizado</w:t>
            </w:r>
          </w:p>
        </w:tc>
        <w:tc>
          <w:tcPr>
            <w:tcW w:type="dxa" w:w="147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14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Condición</w:t>
            </w:r>
          </w:p>
        </w:tc>
        <w:tc>
          <w:tcPr>
            <w:tcW w:type="dxa" w:w="402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en este borrador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PMD de Dajabón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2012-2016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Oficial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Antecedente para revisar continuidad; no se presume vigente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Inventario local de PMD históricos. Los proyectos anteriores deben clasificarse como concluidos, en curso, pendientes o descartados antes de trasladarlos al nuevo plan.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70.5%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71.4%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2.0%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91.5%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90.8%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92.1%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5.4%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74.5%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10.8%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14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272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2,872.4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10.6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Comercio al por mayor y al por menor; reparación de vehículos automotores y motocicletas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aumentó 27.6%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70.5%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Permanencia escolar</w:t>
      </w:r>
    </w:p>
    <w:p>
      <w:r>
        <w:t>El abandono reportado en secundaria es 5.4% para el distrito educativo asociado. El valor debe interpretarse como referencia distrital y no como resultado exclusivo del municipio. [DASH-EDU]</w:t>
      </w:r>
    </w:p>
    <w:p>
      <w:pPr>
        <w:pStyle w:val="Heading2"/>
      </w:pPr>
      <w:r>
        <w:t>Continuidad con PMD anteriores</w:t>
      </w:r>
    </w:p>
    <w:p>
      <w:r>
        <w:t>Los PMD anteriores localizados deben revisarse para distinguir proyectos concluidos, en ejecución, pendientes y descartados. Este borrador no traslada automáticamente proyectos ni compromisos de los períodos 2012-2016. [PMD-ANT]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Cobertura municipal declarada de recogida de residuos (91.5%). [DASH-VIDA]</w:t>
              <w:br/>
              <w:t>• Perfil territorial cuantificado: 72.8% urbano y 27.2%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70.5% de los hogares reporta agua del acueducto dentro de la vivienda. La OMPP debe confirmar continuidad, calidad y distribución territorial del servicio. [DASH-VIDA]</w:t>
              <w:br/>
              <w:t>• Permanencia escolar: El abandono reportado en secundaria es 5.4% para el distrito educativo asociado. El valor debe interpretarse como referencia distrital y no como resultado exclusivo del municipio. [DASH-EDU]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Dajabón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Mesa local de permanencia escolar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Coordinar seguimiento con el distrito educativo, sin atribuir al ayuntamiento competencias escolares directas.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[DASH-EDU]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interinstitucional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Tablero municipal de indicadores del PMD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Mantener una línea base anual con fuente, año, responsable y estado de verificación.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WIKI-01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https://es.wikipedia.org/wiki/Dajab%C3%B3n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Ubicación general; no se usa para cifras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Baja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PMD-ANT-01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https://biblioteca.fedomu.org/wp-content/uploads/2015/07/PMD-Dajabon-2012-2016.pdf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2012-2016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Documento completo (82 págs.)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Dajabón, Dajabón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Dajabón  ·  04050001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Dajabón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