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/>
      </w:pPr>
      <w:r>
        <w:rPr>
          <w:b/>
          <w:i w:val="0"/>
          <w:color w:val="347C6C"/>
          <w:sz w:val="18"/>
        </w:rPr>
        <w:t>REPÚBLICA DOMINICANA</w:t>
      </w:r>
    </w:p>
    <w:p>
      <w:pPr>
        <w:pStyle w:val="Title"/>
      </w:pPr>
      <w:r>
        <w:rPr>
          <w:b/>
          <w:i w:val="0"/>
          <w:color w:val="17352F"/>
          <w:sz w:val="60"/>
        </w:rPr>
        <w:t>Plan Municipal</w:t>
        <w:br/>
        <w:t>de Desarrollo</w:t>
      </w:r>
    </w:p>
    <w:p>
      <w:pPr>
        <w:pStyle w:val="Subtitle"/>
      </w:pPr>
      <w:r>
        <w:rPr>
          <w:b/>
          <w:i w:val="0"/>
          <w:color w:val="245B50"/>
          <w:sz w:val="36"/>
        </w:rPr>
        <w:t>Villa Vásquez</w:t>
      </w:r>
    </w:p>
    <w:p>
      <w:r>
        <w:rPr>
          <w:b w:val="0"/>
          <w:i w:val="0"/>
          <w:color w:val="66736F"/>
          <w:sz w:val="22"/>
        </w:rPr>
        <w:t>Monte Cristi</w:t>
      </w:r>
    </w:p>
    <w:p>
      <w:pPr>
        <w:spacing w:before="480"/>
      </w:pPr>
      <w:r>
        <w:rPr>
          <w:b/>
          <w:i w:val="0"/>
          <w:color w:val="FFFFFF"/>
          <w:sz w:val="22"/>
        </w:rPr>
        <w:t>BORRADOR TÉCNICO  ·  2025-2028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17352F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b/>
                <w:i w:val="0"/>
                <w:color w:val="FFFFFF"/>
                <w:sz w:val="24"/>
              </w:rPr>
              <w:t>Borrador técnico  |  Período 2025-2028</w:t>
            </w:r>
          </w:p>
          <w:p>
            <w:r>
              <w:rPr>
                <w:b w:val="0"/>
                <w:i w:val="0"/>
                <w:color w:val="FFFFFF"/>
                <w:sz w:val="19"/>
              </w:rPr>
              <w:t>Documento de apoyo para revisión de la OMPP y el CDM. No constituye un PMD aprobado.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Alcance del documento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Se elaboró únicamente con datos del Dashboard territorial, PMD anteriores disponibles y Wikipedia como referencia secundaria de ubicación. No acredita participación ciudadana, reuniones, decisiones del CDM ni aprobación del Concejo de Regidores.</w:t>
            </w:r>
          </w:p>
        </w:tc>
      </w:tr>
    </w:tbl>
    <w:p>
      <w:pPr>
        <w:spacing w:after="0"/>
      </w:pPr>
    </w:p>
    <w:p>
      <w:pPr>
        <w:spacing w:before="440"/>
      </w:pPr>
      <w:r>
        <w:rPr>
          <w:b w:val="0"/>
          <w:i w:val="0"/>
          <w:color w:val="66736F"/>
          <w:sz w:val="18"/>
        </w:rPr>
        <w:t>Código geográfico: 04150006</w:t>
      </w:r>
      <w:r>
        <w:rPr>
          <w:b w:val="0"/>
          <w:i w:val="0"/>
          <w:color w:val="66736F"/>
          <w:sz w:val="18"/>
        </w:rPr>
        <w:br/>
        <w:t>Fecha de corte de fuentes: 27-07-2026</w:t>
      </w:r>
    </w:p>
    <w:p>
      <w:r>
        <w:br w:type="page"/>
      </w:r>
    </w:p>
    <w:p>
      <w:pPr>
        <w:pStyle w:val="Heading1"/>
      </w:pPr>
      <w:r>
        <w:t>Cómo usar este borrador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DF3F1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245B50"/>
                <w:sz w:val="20"/>
              </w:rPr>
              <w:t>Regla principal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Conservar únicamente frases que puedan rastrearse a una fuente. Toda corrección municipal debe registrar responsable, fecha y evidencia.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b/>
          <w:i w:val="0"/>
          <w:color w:val="245B50"/>
        </w:rPr>
        <w:t xml:space="preserve">Información general y diagnóstico: </w:t>
      </w:r>
      <w:r>
        <w:rPr>
          <w:b w:val="0"/>
          <w:i w:val="0"/>
        </w:rPr>
        <w:t>Revisar cifras, años, unidades y cobertura territorial.</w:t>
      </w:r>
    </w:p>
    <w:p>
      <w:pPr>
        <w:pStyle w:val="ListBullet"/>
      </w:pPr>
      <w:r>
        <w:rPr>
          <w:b/>
          <w:i w:val="0"/>
          <w:color w:val="245B50"/>
        </w:rPr>
        <w:t xml:space="preserve">Hallazgos y FODA: </w:t>
      </w:r>
      <w:r>
        <w:rPr>
          <w:b w:val="0"/>
          <w:i w:val="0"/>
        </w:rPr>
        <w:t>Confirmar, corregir o eliminar. No representan todavía opinión ciudadana.</w:t>
      </w:r>
    </w:p>
    <w:p>
      <w:pPr>
        <w:pStyle w:val="ListBullet"/>
      </w:pPr>
      <w:r>
        <w:rPr>
          <w:b/>
          <w:i w:val="0"/>
          <w:color w:val="245B50"/>
        </w:rPr>
        <w:t xml:space="preserve">Visión y líneas estratégicas: </w:t>
      </w:r>
      <w:r>
        <w:rPr>
          <w:b w:val="0"/>
          <w:i w:val="0"/>
        </w:rPr>
        <w:t>Son una base de discusión; deben redactarse mediante el proceso municipal.</w:t>
      </w:r>
    </w:p>
    <w:p>
      <w:pPr>
        <w:pStyle w:val="ListBullet"/>
      </w:pPr>
      <w:r>
        <w:rPr>
          <w:b/>
          <w:i w:val="0"/>
          <w:color w:val="245B50"/>
        </w:rPr>
        <w:t xml:space="preserve">Ideas de proyectos: </w:t>
      </w:r>
      <w:r>
        <w:rPr>
          <w:b w:val="0"/>
          <w:i w:val="0"/>
        </w:rPr>
        <w:t>No contienen presupuesto, aprobación ni compromiso institucional.</w:t>
      </w:r>
    </w:p>
    <w:p>
      <w:pPr>
        <w:pStyle w:val="Heading2"/>
      </w:pPr>
      <w:r>
        <w:t>Ficha de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289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6917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Estado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Borrador técnico no aprobado</w:t>
            </w:r>
          </w:p>
        </w:tc>
      </w:tr>
      <w:tr>
        <w:tc>
          <w:tcPr>
            <w:tcW w:type="dxa" w:w="28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Municipio / provincia</w:t>
            </w:r>
          </w:p>
        </w:tc>
        <w:tc>
          <w:tcPr>
            <w:tcW w:type="dxa" w:w="691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Villa Vásquez / Monte Cristi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Región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Cibao Noroeste</w:t>
            </w:r>
          </w:p>
        </w:tc>
      </w:tr>
      <w:tr>
        <w:tc>
          <w:tcPr>
            <w:tcW w:type="dxa" w:w="28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Período propuesto</w:t>
            </w:r>
          </w:p>
        </w:tc>
        <w:tc>
          <w:tcPr>
            <w:tcW w:type="dxa" w:w="691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2025-2028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Código geográfico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04150006</w:t>
            </w:r>
          </w:p>
        </w:tc>
      </w:tr>
      <w:tr>
        <w:tc>
          <w:tcPr>
            <w:tcW w:type="dxa" w:w="28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Revisión requerida</w:t>
            </w:r>
          </w:p>
        </w:tc>
        <w:tc>
          <w:tcPr>
            <w:tcW w:type="dxa" w:w="691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 y CDM</w:t>
            </w:r>
          </w:p>
        </w:tc>
      </w:tr>
    </w:tbl>
    <w:p>
      <w:pPr>
        <w:spacing w:after="0"/>
      </w:pPr>
    </w:p>
    <w:p>
      <w:pPr>
        <w:pStyle w:val="Heading2"/>
      </w:pPr>
      <w:r>
        <w:t>Contenido</w:t>
      </w:r>
    </w:p>
    <w:p>
      <w:pPr>
        <w:pStyle w:val="ListNumber"/>
      </w:pPr>
      <w:r>
        <w:t>1. Información general</w:t>
      </w:r>
    </w:p>
    <w:p>
      <w:pPr>
        <w:pStyle w:val="ListNumber"/>
      </w:pPr>
      <w:r>
        <w:t>2. Diagnóstico municipal</w:t>
      </w:r>
    </w:p>
    <w:p>
      <w:pPr>
        <w:pStyle w:val="ListNumber"/>
      </w:pPr>
      <w:r>
        <w:t>3. Hallazgos prioritarios</w:t>
      </w:r>
    </w:p>
    <w:p>
      <w:pPr>
        <w:pStyle w:val="ListNumber"/>
      </w:pPr>
      <w:r>
        <w:t>4. FODA preliminar</w:t>
      </w:r>
    </w:p>
    <w:p>
      <w:pPr>
        <w:pStyle w:val="ListNumber"/>
      </w:pPr>
      <w:r>
        <w:t>5. Visión y líneas estratégicas</w:t>
      </w:r>
    </w:p>
    <w:p>
      <w:pPr>
        <w:pStyle w:val="ListNumber"/>
      </w:pPr>
      <w:r>
        <w:t>6. Ideas de proyectos</w:t>
      </w:r>
    </w:p>
    <w:p>
      <w:pPr>
        <w:pStyle w:val="ListNumber"/>
      </w:pPr>
      <w:r>
        <w:t>7. Revisión y fuentes</w:t>
      </w:r>
    </w:p>
    <w:p>
      <w:r>
        <w:br w:type="page"/>
      </w:r>
    </w:p>
    <w:p>
      <w:pPr>
        <w:pStyle w:val="Heading1"/>
      </w:pPr>
      <w:r>
        <w:t>1. Información general</w:t>
      </w:r>
    </w:p>
    <w:p>
      <w:r>
        <w:t>Villa Vásquez se registra en el portal territorial como municipio de la provincia Monte Cristi, región Cibao Noroeste. [PORTAL-01]</w:t>
      </w:r>
    </w:p>
    <w:p>
      <w:pPr>
        <w:pStyle w:val="SourceNote"/>
      </w:pPr>
      <w:r>
        <w:rPr>
          <w:b w:val="0"/>
          <w:i w:val="0"/>
          <w:color w:val="66736F"/>
          <w:sz w:val="17"/>
        </w:rPr>
        <w:t>Fuente: Portal de Planificación Municipal, ficha territorial.</w:t>
      </w:r>
    </w:p>
    <w:p>
      <w:pPr>
        <w:pStyle w:val="Heading2"/>
      </w:pPr>
      <w:r>
        <w:t>Indicadores de referencia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4082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255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317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Año / fuente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total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16,434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[DASH-BASE]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2010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14,424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2010 · [DASH-BASE]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Variación 2010-2022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13.9%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[DASH-BASE]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Hombres / mujeres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51.3% / 48.7%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[DASH-BASE]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urbana / rural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74.9% / 25.1%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[DASH-URB]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6,142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[DASH-HOG]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Personas por hogar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2.64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[DASH-HOG]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Viviendas ocupadas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5,999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[DASH-BASE]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DF3F1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245B50"/>
                <w:sz w:val="20"/>
              </w:rPr>
              <w:t>Lectura breve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El municipio registra 16,434 habitantes en 2022. La variación respecto de 2010 es 13.9%. Estos valores son una línea base estadística; no explican por sí solos las causas del cambio.</w:t>
            </w:r>
          </w:p>
        </w:tc>
      </w:tr>
    </w:tbl>
    <w:p>
      <w:pPr>
        <w:spacing w:after="0"/>
      </w:pPr>
    </w:p>
    <w:p>
      <w:pPr>
        <w:pStyle w:val="Heading2"/>
      </w:pPr>
      <w:r>
        <w:t>Antecedentes de planificación</w:t>
      </w:r>
    </w:p>
    <w:p>
      <w:r>
        <w:t>No se localizó un PMD anterior en el inventario disponible. Esto no prueba que no exista; la OMPP debe verificar su archivo institucional.</w:t>
      </w:r>
    </w:p>
    <w:p>
      <w:r>
        <w:br w:type="page"/>
      </w:r>
    </w:p>
    <w:p>
      <w:pPr>
        <w:pStyle w:val="Heading1"/>
      </w:pPr>
      <w:r>
        <w:t>2. Diagnóstico municipal</w:t>
      </w:r>
    </w:p>
    <w:p>
      <w:r>
        <w:t>El diagnóstico resume indicadores verificables y evita interpretar como hechos los asuntos que requieren trabajo de campo o validación municipal.</w:t>
      </w:r>
    </w:p>
    <w:p>
      <w:pPr>
        <w:pStyle w:val="Heading2"/>
      </w:pPr>
      <w:r>
        <w:t>2.1 Vivienda y servicios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1757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4082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Lectura prudente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Agua del acueducto dentro de la vivienda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68.2%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Cobertura declarada por hogares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 con inodoro</w:t>
            </w:r>
          </w:p>
        </w:tc>
        <w:tc>
          <w:tcPr>
            <w:tcW w:type="dxa" w:w="175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61.9%</w:t>
            </w:r>
          </w:p>
        </w:tc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informa calidad del sistema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 sin servicio sanitario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2.9%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Requiere localización territorial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Electricidad de red pública</w:t>
            </w:r>
          </w:p>
        </w:tc>
        <w:tc>
          <w:tcPr>
            <w:tcW w:type="dxa" w:w="175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disponible</w:t>
            </w:r>
          </w:p>
        </w:tc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Fuente principal declarada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Basura recogida por el ayuntamiento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73.2%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informa frecuencia ni calidad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Agua de beber en botellones</w:t>
            </w:r>
          </w:p>
        </w:tc>
        <w:tc>
          <w:tcPr>
            <w:tcW w:type="dxa" w:w="175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88.4%</w:t>
            </w:r>
          </w:p>
        </w:tc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Patrón de abastecimiento declarado</w:t>
            </w:r>
          </w:p>
        </w:tc>
      </w:tr>
    </w:tbl>
    <w:p>
      <w:pPr>
        <w:spacing w:after="0"/>
      </w:pPr>
    </w:p>
    <w:p>
      <w:pPr>
        <w:pStyle w:val="SourceNote"/>
      </w:pPr>
      <w:r>
        <w:rPr>
          <w:b w:val="0"/>
          <w:i w:val="0"/>
          <w:color w:val="66736F"/>
          <w:sz w:val="17"/>
        </w:rPr>
        <w:t>Fuente: Dashboard territorial, Censo Nacional de Población y Vivienda 2022. [DASH-VIDA]</w:t>
      </w:r>
    </w:p>
    <w:p>
      <w:pPr>
        <w:pStyle w:val="Heading2"/>
      </w:pPr>
      <w:r>
        <w:t>2.2 Educación, salud y conectividad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187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Cobertura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Promoción primaria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96.3%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Distrito educativo asociado · [DASH-EDU]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Abandono secundario</w:t>
            </w:r>
          </w:p>
        </w:tc>
        <w:tc>
          <w:tcPr>
            <w:tcW w:type="dxa" w:w="187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4.7%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Distrito educativo asociado · [DASH-EDU]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Uso de internet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70.2%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de referencia · [DASH-TIC]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Uso de computadora</w:t>
            </w:r>
          </w:p>
        </w:tc>
        <w:tc>
          <w:tcPr>
            <w:tcW w:type="dxa" w:w="187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9.2%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de referencia · [DASH-TIC]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Establecimientos de salud registrados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8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Registro del Dashboard · [DASH-SALUD]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Precaución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Los indicadores educativos pueden corresponder al distrito educativo y no exclusivamente al municipio. Los establecimientos de salud no equivalen a capacidad, calidad ni cobertura efectiva.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2.3 Economía y empleo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283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300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Año / fuente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Establecimientos económicos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105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Empleo estimado</w:t>
            </w:r>
          </w:p>
        </w:tc>
        <w:tc>
          <w:tcPr>
            <w:tcW w:type="dxa" w:w="283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1,370.1</w:t>
            </w:r>
          </w:p>
        </w:tc>
        <w:tc>
          <w:tcPr>
            <w:tcW w:type="dxa" w:w="300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Empleo medio por establecimiento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13.1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Especialización relativa principal</w:t>
            </w:r>
          </w:p>
        </w:tc>
        <w:tc>
          <w:tcPr>
            <w:tcW w:type="dxa" w:w="283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Agricultura, ganadería, silvicultura y pesca</w:t>
            </w:r>
          </w:p>
        </w:tc>
        <w:tc>
          <w:tcPr>
            <w:tcW w:type="dxa" w:w="300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</w:tbl>
    <w:p>
      <w:pPr>
        <w:spacing w:after="0"/>
      </w:pPr>
    </w:p>
    <w:p>
      <w:r>
        <w:t>El directorio empresarial describe establecimientos formales observados por la fuente. No debe interpretarse como el total de empleo ni de actividad económica del municipio.</w:t>
      </w:r>
    </w:p>
    <w:p>
      <w:pPr>
        <w:pStyle w:val="Heading1"/>
      </w:pPr>
      <w:r>
        <w:t>3. Hallazgos prioritarios</w:t>
      </w:r>
    </w:p>
    <w:p>
      <w:pPr>
        <w:pStyle w:val="Heading2"/>
      </w:pPr>
      <w:r>
        <w:t>1. Cambio demográfico</w:t>
      </w:r>
    </w:p>
    <w:p>
      <w:r>
        <w:t>La población aumentó 13.9% entre 2010 y 2022. La programación de servicios debe revisar dónde se concentra ese cambio. [DASH-BASE]</w:t>
      </w:r>
    </w:p>
    <w:p>
      <w:pPr>
        <w:pStyle w:val="Heading2"/>
      </w:pPr>
      <w:r>
        <w:t>2. Acceso domiciliario al agua</w:t>
      </w:r>
    </w:p>
    <w:p>
      <w:r>
        <w:t>68.2% de los hogares reporta agua del acueducto dentro de la vivienda. La OMPP debe confirmar continuidad, calidad y distribución territorial del servicio. [DASH-VIDA]</w:t>
      </w:r>
    </w:p>
    <w:p>
      <w:pPr>
        <w:pStyle w:val="Heading2"/>
      </w:pPr>
      <w:r>
        <w:t>3. Permanencia escolar</w:t>
      </w:r>
    </w:p>
    <w:p>
      <w:r>
        <w:t>El abandono reportado en secundaria es 4.7% para el distrito educativo asociado. El valor debe interpretarse como referencia distrital y no como resultado exclusivo del municipio. [DASH-EDU]</w:t>
      </w:r>
    </w:p>
    <w:p>
      <w:pPr>
        <w:pStyle w:val="Heading2"/>
      </w:pPr>
      <w:r>
        <w:t>Continuidad con PMD anteriores</w:t>
      </w:r>
    </w:p>
    <w:p>
      <w:r>
        <w:t>No se incorporan supuestos sobre planes anteriores. La OMPP debe documentar si existe un antecedente no incluido en el inventario.</w:t>
      </w:r>
    </w:p>
    <w:p>
      <w:r>
        <w:br w:type="page"/>
      </w:r>
    </w:p>
    <w:p>
      <w:pPr>
        <w:pStyle w:val="Heading1"/>
      </w:pPr>
      <w:r>
        <w:t>4. FODA preliminar</w:t>
      </w:r>
    </w:p>
    <w:p>
      <w:r>
        <w:t>Esta matriz es una ayuda técnica. Fortalezas y debilidades se apoyan en indicadores; oportunidades y amenazas quedan como preguntas porque requieren evidencia externa o deliberación local.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Fortalezas verificables</w:t>
            </w:r>
          </w:p>
        </w:tc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Debilidades verificables</w:t>
            </w:r>
          </w:p>
        </w:tc>
      </w:tr>
      <w:tr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• Perfil territorial cuantificado: 74.9% urbano y 25.1% rural. [DASH-URB]</w:t>
            </w:r>
          </w:p>
        </w:tc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• Acceso domiciliario al agua: 68.2% de los hogares reporta agua del acueducto dentro de la vivienda. La OMPP debe confirmar continuidad, calidad y distribución territorial del servicio. [DASH-VIDA]</w:t>
              <w:br/>
              <w:t>• Permanencia escolar: El abandono reportado en secundaria es 4.7% para el distrito educativo asociado. El valor debe interpretarse como referencia distrital y no como resultado exclusivo del municipio. [DASH-EDU]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Oportunidades por validar</w:t>
            </w:r>
          </w:p>
        </w:tc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Amenazas por validar</w:t>
            </w:r>
          </w:p>
        </w:tc>
      </w:tr>
      <w:tr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¿Qué programas públicos, alianzas o inversiones vigentes pueden responder a los hallazgos?</w:t>
            </w:r>
          </w:p>
        </w:tc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¿Qué riesgos ambientales, fiscales, institucionales o económicos cuentan con evidencia actual?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Visión y líneas estratégicas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Propuesta base para discusión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Al 2028, Villa Vásquez será un municipio que mejora de forma medible sus brechas prioritarias, fortalece los activos que la comunidad valide y gestiona su territorio con transparencia, inclusión y seguimiento de resultados.</w:t>
            </w:r>
          </w:p>
        </w:tc>
      </w:tr>
    </w:tbl>
    <w:p>
      <w:pPr>
        <w:spacing w:after="0"/>
      </w:pPr>
    </w:p>
    <w:p>
      <w:r>
        <w:t>La frase anterior no es una visión aprobada. Debe reescribirse después de validar el diagnóstico y documentar el proceso participativo.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351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Línea preliminar</w:t>
            </w:r>
          </w:p>
        </w:tc>
        <w:tc>
          <w:tcPr>
            <w:tcW w:type="dxa" w:w="6293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Propósito de revisión</w:t>
            </w:r>
          </w:p>
        </w:tc>
      </w:tr>
      <w:tr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1. Gestión municipal y datos</w:t>
            </w:r>
          </w:p>
        </w:tc>
        <w:tc>
          <w:tcPr>
            <w:tcW w:type="dxa" w:w="629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Organizar responsabilidades, fuentes, metas y seguimiento.</w:t>
            </w:r>
          </w:p>
        </w:tc>
      </w:tr>
      <w:tr>
        <w:tc>
          <w:tcPr>
            <w:tcW w:type="dxa" w:w="351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2. Servicios y desarrollo social</w:t>
            </w:r>
          </w:p>
        </w:tc>
        <w:tc>
          <w:tcPr>
            <w:tcW w:type="dxa" w:w="6293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Priorizar brechas verificadas de vivienda, educación, salud y conectividad.</w:t>
            </w:r>
          </w:p>
        </w:tc>
      </w:tr>
      <w:tr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3. Economía local</w:t>
            </w:r>
          </w:p>
        </w:tc>
        <w:tc>
          <w:tcPr>
            <w:tcW w:type="dxa" w:w="629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Precisar activos productivos, empleo y alianzas con evidencia.</w:t>
            </w:r>
          </w:p>
        </w:tc>
      </w:tr>
      <w:tr>
        <w:tc>
          <w:tcPr>
            <w:tcW w:type="dxa" w:w="351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4. Territorio y ambiente</w:t>
            </w:r>
          </w:p>
        </w:tc>
        <w:tc>
          <w:tcPr>
            <w:tcW w:type="dxa" w:w="6293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Identificar riesgos, uso del suelo y sostenibilidad mediante fuentes técnicas.</w:t>
            </w:r>
          </w:p>
        </w:tc>
      </w:tr>
    </w:tbl>
    <w:p>
      <w:pPr>
        <w:spacing w:after="0"/>
      </w:pPr>
    </w:p>
    <w:p>
      <w:pPr>
        <w:pStyle w:val="Heading2"/>
      </w:pPr>
      <w:r>
        <w:t>Preguntas mínimas</w:t>
      </w:r>
    </w:p>
    <w:p>
      <w:pPr>
        <w:pStyle w:val="ListBullet"/>
      </w:pPr>
      <w:r>
        <w:t>¿Qué dos cambios deben ser visibles y medibles al cierre de 2028?</w:t>
      </w:r>
    </w:p>
    <w:p>
      <w:pPr>
        <w:pStyle w:val="ListBullet"/>
      </w:pPr>
      <w:r>
        <w:t>¿Qué activos del municipio están confirmados por evidencia y por la comunidad?</w:t>
      </w:r>
    </w:p>
    <w:p>
      <w:pPr>
        <w:pStyle w:val="ListBullet"/>
      </w:pPr>
      <w:r>
        <w:t>¿Qué asuntos son competencia municipal y cuáles requieren gestión ante otra institución?</w:t>
      </w:r>
    </w:p>
    <w:p>
      <w:r>
        <w:br w:type="page"/>
      </w:r>
    </w:p>
    <w:p>
      <w:pPr>
        <w:pStyle w:val="Heading1"/>
      </w:pPr>
      <w:r>
        <w:t>6. Ideas de proyectos</w:t>
      </w:r>
    </w:p>
    <w:p>
      <w:r>
        <w:t>Las siguientes ideas se derivan de brechas estadísticas. No son proyectos aprobados y no incluyen presupuesto, beneficiarios, cronograma ni fuente de financiamiento.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66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Idea preliminar</w:t>
            </w:r>
          </w:p>
        </w:tc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Qué debe verificarse</w:t>
            </w:r>
          </w:p>
        </w:tc>
        <w:tc>
          <w:tcPr>
            <w:tcW w:type="dxa" w:w="119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Evidencia</w:t>
            </w:r>
          </w:p>
        </w:tc>
        <w:tc>
          <w:tcPr>
            <w:tcW w:type="dxa" w:w="198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Competencia inicial</w:t>
            </w:r>
          </w:p>
        </w:tc>
      </w:tr>
      <w:tr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Diagnóstico operativo de agua y saneamiento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Mapear continuidad, calidad, cobertura y puntos críticos antes de formular obras.</w:t>
            </w:r>
          </w:p>
        </w:tc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[DASH-VIDA]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Coordinación municipal-sectorial</w:t>
            </w:r>
          </w:p>
        </w:tc>
      </w:tr>
      <w:tr>
        <w:tc>
          <w:tcPr>
            <w:tcW w:type="dxa" w:w="266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Mejora de cobertura de residuos sólidos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Revisar rutas, frecuencia y sectores no cubiertos con registro verificable.</w:t>
            </w:r>
          </w:p>
        </w:tc>
        <w:tc>
          <w:tcPr>
            <w:tcW w:type="dxa" w:w="11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[DASH-VIDA]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Competencia municipal</w:t>
            </w:r>
          </w:p>
        </w:tc>
      </w:tr>
      <w:tr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Mesa local de permanencia escolar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Coordinar seguimiento con el distrito educativo, sin atribuir al ayuntamiento competencias escolares directas.</w:t>
            </w:r>
          </w:p>
        </w:tc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[DASH-EDU]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Coordinación interinstitucional</w:t>
            </w:r>
          </w:p>
        </w:tc>
      </w:tr>
      <w:tr>
        <w:tc>
          <w:tcPr>
            <w:tcW w:type="dxa" w:w="266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Tablero municipal de indicadores del PMD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Mantener una línea base anual con fuente, año, responsable y estado de verificación.</w:t>
            </w:r>
          </w:p>
        </w:tc>
        <w:tc>
          <w:tcPr>
            <w:tcW w:type="dxa" w:w="11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[DASH-BASE]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Competencia municipal</w:t>
            </w:r>
          </w:p>
        </w:tc>
      </w:tr>
    </w:tbl>
    <w:p>
      <w:pPr>
        <w:spacing w:after="0"/>
      </w:pPr>
    </w:p>
    <w:p>
      <w:pPr>
        <w:pStyle w:val="Heading2"/>
      </w:pPr>
      <w:r>
        <w:t>Ficha para completar por proyecto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345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6350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Registro municipal</w:t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Problema y evidencia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Objetivo / resultado</w:t>
            </w:r>
          </w:p>
        </w:tc>
        <w:tc>
          <w:tcPr>
            <w:tcW w:type="dxa" w:w="63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Responsable y aliados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Competencia legal</w:t>
            </w:r>
          </w:p>
        </w:tc>
        <w:tc>
          <w:tcPr>
            <w:tcW w:type="dxa" w:w="63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Meta, indicador y línea base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Costo y fuente de financiamiento</w:t>
            </w:r>
          </w:p>
        </w:tc>
        <w:tc>
          <w:tcPr>
            <w:tcW w:type="dxa" w:w="63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Estado de validación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Revisión OMPP y CDM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38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Paso</w:t>
            </w:r>
          </w:p>
        </w:tc>
        <w:tc>
          <w:tcPr>
            <w:tcW w:type="dxa" w:w="198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Responsable</w:t>
            </w:r>
          </w:p>
        </w:tc>
        <w:tc>
          <w:tcPr>
            <w:tcW w:type="dxa" w:w="345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Resultado esperado</w:t>
            </w:r>
          </w:p>
        </w:tc>
        <w:tc>
          <w:tcPr>
            <w:tcW w:type="dxa" w:w="198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Fecha / evidencia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1. Confirmar cifras y fuentes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Correcciones registradas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2. Revisar hallazgos y FODA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 + áreas técnicas</w:t>
            </w:r>
          </w:p>
        </w:tc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Hallazgos aceptados o eliminados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3. Priorizar problemas y activos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CDM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Matriz de priorización documentada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4. Formular visión y objetivos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CDM + Ayuntamiento</w:t>
            </w:r>
          </w:p>
        </w:tc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Redacción acordada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5. Completar cartera y demandas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 + CDM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Responsables, metas y competencias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6. Tramitar aprobación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Autoridad competente</w:t>
            </w:r>
          </w:p>
        </w:tc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Resolución y publicación, si corresponde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Registro de correcciones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26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Sección / dato</w:t>
            </w:r>
          </w:p>
        </w:tc>
        <w:tc>
          <w:tcPr>
            <w:tcW w:type="dxa" w:w="272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Corrección</w:t>
            </w:r>
          </w:p>
        </w:tc>
        <w:tc>
          <w:tcPr>
            <w:tcW w:type="dxa" w:w="272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Fuente o evidencia</w:t>
            </w:r>
          </w:p>
        </w:tc>
        <w:tc>
          <w:tcPr>
            <w:tcW w:type="dxa" w:w="209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Responsable / fecha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Importante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No completar como hechos la participación ciudadana, las reuniones, la constitución del CDM, la dotación de la OMPP ni la aprobación del plan sin evidencia documental.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Fuentes y trazabilidad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type="dxa" w:w="113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Fuente</w:t>
            </w:r>
          </w:p>
        </w:tc>
        <w:tc>
          <w:tcPr>
            <w:tcW w:type="dxa" w:w="153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Año / consulta</w:t>
            </w:r>
          </w:p>
        </w:tc>
        <w:tc>
          <w:tcPr>
            <w:tcW w:type="dxa" w:w="243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Uso o página</w:t>
            </w:r>
          </w:p>
        </w:tc>
        <w:tc>
          <w:tcPr>
            <w:tcW w:type="dxa" w:w="850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Confianza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PORTAL-01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Portal de Planificación Municipal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2026-07-27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Ficha municipal y estado SISMAP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DASH-BASE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Indicadores básicos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DASH-HOG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DASH-URB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urbana y rural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DASH-VIDA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Vivienda y servicios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DASH-EDU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Anuario Estadístico Educativo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2024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Distrito educativo asociado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Media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DASH-TIC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Uso de TIC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DASH-ECO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Directorio de Empresas y Establecimientos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2024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Economía formal observada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Media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DASH-SALUD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Registro presentado por el Dashboard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s/f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Establecimientos de salud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Media</w:t>
            </w:r>
          </w:p>
        </w:tc>
      </w:tr>
    </w:tbl>
    <w:p>
      <w:pPr>
        <w:spacing w:after="0"/>
      </w:pPr>
    </w:p>
    <w:p>
      <w:pPr>
        <w:pStyle w:val="Heading2"/>
      </w:pPr>
      <w:r>
        <w:t>Reglas de redacción</w:t>
      </w:r>
    </w:p>
    <w:p>
      <w:pPr>
        <w:pStyle w:val="ListBullet"/>
      </w:pPr>
      <w:r>
        <w:t>Toda cifra debe conservar año, unidad y fuente.</w:t>
      </w:r>
    </w:p>
    <w:p>
      <w:pPr>
        <w:pStyle w:val="ListBullet"/>
      </w:pPr>
      <w:r>
        <w:t>Una afirmación del PMD anterior debe escribirse en pasado y con período.</w:t>
      </w:r>
    </w:p>
    <w:p>
      <w:pPr>
        <w:pStyle w:val="ListBullet"/>
      </w:pPr>
      <w:r>
        <w:t>Wikipedia solo se admite como referencia secundaria de contexto.</w:t>
      </w:r>
    </w:p>
    <w:p>
      <w:pPr>
        <w:pStyle w:val="ListBullet"/>
      </w:pPr>
      <w:r>
        <w:t>Si una fuente no permite confirmar un dato, el dato se omite.</w:t>
      </w:r>
    </w:p>
    <w:p>
      <w:pPr>
        <w:pStyle w:val="ListBullet"/>
      </w:pPr>
      <w:r>
        <w:t>Participación, acuerdos, aprobación y ejecución requieren evidencia municipal.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35" w:bottom="879" w:left="935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66736F"/>
        <w:sz w:val="15"/>
      </w:rPr>
      <w:t xml:space="preserve">Villa Vásquez, Monte Cristi  |  PMD 2025-2028  |  </w:t>
    </w:r>
    <w:r>
      <w:rPr>
        <w:b/>
        <w:i w:val="0"/>
        <w:color w:val="8A5A20"/>
        <w:sz w:val="15"/>
      </w:rPr>
      <w:t>Borrador no aprobado</w:t>
    </w:r>
    <w:r>
      <w:rPr>
        <w:b w:val="0"/>
        <w:i w:val="0"/>
      </w:rPr>
      <w:t xml:space="preserve">    ·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7257"/>
      <w:gridCol w:w="2778"/>
    </w:tblGrid>
    <w:tr>
      <w:tc>
        <w:tcPr>
          <w:tcW w:type="dxa" w:w="5017"/>
        </w:tcPr>
        <w:p>
          <w:pPr>
            <w:pBdr>
              <w:bottom w:val="single" w:sz="6" w:space="4" w:color="CCD8D4"/>
            </w:pBdr>
          </w:pPr>
          <w:r>
            <w:rPr>
              <w:b/>
              <w:i w:val="0"/>
              <w:color w:val="245B50"/>
              <w:sz w:val="15"/>
            </w:rPr>
            <w:t>PLANIFICACIÓN MUNICIPAL  |  BORRADOR TÉCNICO</w:t>
          </w:r>
        </w:p>
      </w:tc>
      <w:tc>
        <w:tcPr>
          <w:tcW w:type="dxa" w:w="5017"/>
        </w:tcPr>
        <w:p>
          <w:pPr>
            <w:jc w:val="right"/>
          </w:pPr>
          <w:r>
            <w:rPr>
              <w:b w:val="0"/>
              <w:i w:val="0"/>
              <w:color w:val="66736F"/>
              <w:sz w:val="15"/>
            </w:rPr>
            <w:t>Villa Vásquez  ·  04150006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 w:eastAsia="Aptos"/>
      <w:color w:val="17352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52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45B5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65A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52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40"/>
    </w:pPr>
    <w:rPr>
      <w:rFonts w:asciiTheme="majorHAnsi" w:eastAsiaTheme="majorEastAsia" w:hAnsiTheme="majorHAnsi" w:cstheme="majorBidi" w:ascii="Aptos" w:hAnsi="Aptos" w:eastAsia="Aptos"/>
      <w:b w:val="0"/>
      <w:i/>
      <w:iCs/>
      <w:color w:val="347C6C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 Note"/>
    <w:pPr>
      <w:spacing w:before="40" w:after="140"/>
    </w:pPr>
    <w:rPr>
      <w:rFonts w:ascii="Aptos" w:hAnsi="Aptos" w:eastAsia="Aptos"/>
      <w:color w:val="66736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PMD de Villa Vásquez - Borrador técnico 2025-2028</dc:title>
  <dc:subject>Borrador municipal basado en fuentes verificables</dc:subject>
  <dc:creator>DDPT - Generación asistida para revisión municipal</dc:creator>
  <cp:keywords>PMD, borrador, municipio, OMPP, CDM, trazabilidad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