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Mata</w:t>
      </w:r>
    </w:p>
    <w:p>
      <w:pPr>
        <w:spacing w:after="600"/>
        <w:jc w:val="center"/>
      </w:pPr>
      <w:r>
        <w:rPr>
          <w:rFonts w:ascii="Calibri" w:hAnsi="Calibri" w:eastAsia="Calibri"/>
          <w:b w:val="0"/>
          <w:i w:val="0"/>
          <w:color w:val="5E7076"/>
          <w:sz w:val="24"/>
        </w:rPr>
        <w:t>Sánchez Ramírez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02240004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Mata, municipio de la provincia Sánchez Ramírez, registró 38,358 habitantes en 2022. Entre 2010 y 2022 su población aumentó No disponible. El 44.2% reside en área urbana y el 55.8% en área rural. Estas proporciones determinan la escala y la distribución territorial de los servicios municipales.</w:t>
      </w:r>
    </w:p>
    <w:p>
      <w:r>
        <w:t>El diagnóstico registra 43.8% de hogares con agua del acueducto dentro de la vivienda, 81.2% con recogida municipal de residuos y 15.2% que los quema. El uso de internet alcanza 71.9%.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Mata forma parte de la provincia Sánchez Ramírez y de la región de planificación Cibao Sur. El código geográfico empleado es 02240004.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Mata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Sánchez Ramírez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02240004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190.5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 Mata registró 38,358 habitantes: 19,464 hombres (50.7%) y 18,894 mujeres (49.3%).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16,954 habitantes en zona urbana (44.2%) y 21,404 en zona rural (55.8%). Esta relación debe considerarse al organizar rutas de servicios, mantenimiento vial, equipamientos y mecanismos de atención a comunidades dispersas. [DASH-URB]</w:t>
      </w:r>
    </w:p>
    <w:p>
      <w:r>
        <w:t>El municipio cuenta con 13,398 hogares y 38,284 personas residentes en hogares. El promedio es de 2.86 personas por hogar. El Censo registra 15,407 viviendas, de las cuales 13,301 estaban ocupadas y 2,073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 Mata.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Mata se distribuye aproximadamente en 25.2% de población menor de 15 años, 64.0% entre 15 y 64 años y 10.8% de 65 años o más. La relación de dependencia demográfica estimada es de 56.2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44.2%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43.8% de los hogares declara recibir agua del acueducto dentro de la vivienda, frente a 62.7% a escala nacional. Para agua de beber, el uso de botellones representa 89.3%. La comparación sugiere una condición de acceso físico y un patrón de consumo, pero no informa continuidad, presión, potabilidad ni costo. Esos cuatro aspectos deben verificarse antes de formular intervenciones. [DASH-VIDA]</w:t>
      </w:r>
    </w:p>
    <w:p>
      <w:r>
        <w:t>En saneamiento, 75.9% de los hogares reporta inodoro y 5.1%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81.2%, mientras 15.2% declara quemarlos. El gas propano es el combustible principal de cocina en 89.8%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10.4% aparece sin nivel de instrucción y 42.3%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94.4% en primaria y 86.2% en secundaria; el abandono reportado en secundaria es 5.0%.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118 establecimientos y un empleo estimado de 1,590.5, equivalente a 13.5 empleos por establecimiento. Los establecimientos de 1 a 10 personas representan 80.5%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(594.8 empleos estimados); Industrias manufactureras (432.6 empleos estimados); Comercio al por mayor y al por menor; reparación de vehículos automotores y motocicletas (313.3 empleos estimados). La mayor especialización relativa se observa en Actividades de los hogares como empleadores; actividades no diferenciadas de los hogares como productores de bienes y servicios para uso propio (cociente de localización 30.45). El cociente de localización compara concentración relativa, no productividad ni competitividad. [DASH-ECO]</w:t>
      </w:r>
    </w:p>
    <w:p>
      <w:pPr>
        <w:pStyle w:val="Heading2"/>
      </w:pPr>
      <w:r>
        <w:t>2.5 Salud, conectividad y acceso a información</w:t>
      </w:r>
    </w:p>
    <w:p>
      <w:r>
        <w:t>El Dashboard registra 12 establecimientos de salud en el municipio. La composición principal es: Centro De Primer Nivel: 10,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71.9%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43.8%; promedio nacional: 62.7% (-18.8 puntos porcentuales).</w:t>
              <w:br/>
              <w:t>• Recogida de residuos por el ayuntamiento: 81.2%; promedio nacional: 85.9% (-4.8 puntos porcentuales).</w:t>
              <w:br/>
              <w:t>• Hogares con inodoro: 75.9%; promedio nacional: 87.0% (-11.2 puntos porcentuales).</w:t>
              <w:br/>
              <w:t>• Uso de internet: 71.9%; promedio nacional: 79.0% (-7.1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44.2%.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43.8%; hogares sin sanitario: 5.1%.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81.2%; quema: 15.2%.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71.9%;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Mata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81.2% de hogares con recogida municipal y 15.2%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Mata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Mata, Sánchez Ramírez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Mata · 02240004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Mata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