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Factor</w:t>
      </w:r>
    </w:p>
    <w:p>
      <w:pPr>
        <w:spacing w:after="600"/>
        <w:jc w:val="center"/>
      </w:pPr>
      <w:r>
        <w:rPr>
          <w:rFonts w:ascii="Calibri" w:hAnsi="Calibri" w:eastAsia="Calibri"/>
          <w:b w:val="0"/>
          <w:i w:val="0"/>
          <w:color w:val="5E7076"/>
          <w:sz w:val="24"/>
        </w:rPr>
        <w:t>María Trinidad Sánchez · Región Cibao Nordeste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03140003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El Factor, municipio de la provincia María Trinidad Sánchez, registró 29,736 habitantes en 2022. Entre 2010 y 2022 su población aumentó 22.7%. El 50.4% reside en área urbana y el 49.6% en área rural. Estas proporciones determinan la escala y la distribución territorial de los servicios municipales.</w:t>
      </w:r>
    </w:p>
    <w:p>
      <w:r>
        <w:t>El diagnóstico registra 37.6% de hogares con agua del acueducto dentro de la vivienda, 86.1% con recogida municipal de residuos y 10.8% que los quema. El uso de internet alcanza 72.0%.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El Factor forma parte de la provincia María Trinidad Sánchez y de la región de planificación Cibao Nordeste. El código geográfico empleado es 03140003.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Factor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María Trinidad Sánchez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03140003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146.7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Sus primeros pobladores vinieron desde distintas partes del país, atraídos por sus tierras fértiles, lo que dio origen a este asentamiento agrícola.​ En su evolución administrativa, El Factor pasó de sección a distrito municipal en 1979,​posteriormente fue elevado a la categoría de municipio el 25 de abril de 1998, mediante la Ley n.º 32-88.​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El Factor registró 29,736 habitantes: 15,444 hombres (51.9%) y 14,292 mujeres (48.1%). Frente a los 24,240 habitantes censados en 2010, la población creció 22.7%. El cambio intercensal constituye la línea base para dimensionar servicios, infraestructura y demanda de suelo; no permite atribuir por sí solo causas de migración, fecundidad o movilidad residencial. [DASH-BASE]</w:t>
      </w:r>
    </w:p>
    <w:p>
      <w:r>
        <w:t>La distribución territorial muestra 14,996 habitantes en zona urbana (50.4%) y 14,740 en zona rural (49.6%). Esta relación debe considerarse al organizar rutas de servicios, mantenimiento vial, equipamientos y mecanismos de atención a comunidades dispersas. [DASH-URB]</w:t>
      </w:r>
    </w:p>
    <w:p>
      <w:r>
        <w:t>El municipio cuenta con 10,928 hogares y 29,730 personas residentes en hogares. El promedio es de 2.72 personas por hogar. El Censo registra 12,281 viviendas, de las cuales 10,873 estaban ocupadas y 1,405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El Factor.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Factor se distribuye aproximadamente en 25.0% de población menor de 15 años, 65.2% entre 15 y 64 años y 9.9% de 65 años o más. La relación de dependencia demográfica estimada es de 53.4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50.4% y el tamaño medio de los hogares es 2.72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37.6% de los hogares declara recibir agua del acueducto dentro de la vivienda, frente a 62.7% a escala nacional. Para agua de beber, el uso de botellones representa 78.2%. La comparación sugiere una condición de acceso físico y un patrón de consumo, pero no informa continuidad, presión, potabilidad ni costo. Esos cuatro aspectos deben verificarse antes de formular intervenciones. [DASH-VIDA]</w:t>
      </w:r>
    </w:p>
    <w:p>
      <w:r>
        <w:t>En saneamiento, 69.9% de los hogares reporta inodoro y 5.1%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97.9% de los hogares. La recogida de residuos por el ayuntamiento alcanza 86.1%, mientras 10.8% declara quemarlos. El gas propano es el combustible principal de cocina en 88.9%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40 centros y 5,984 matrículas agregadas. De ellas, 3,041 corresponden a inicial/primario, 2,571 a secundario y 372 a educación de adultos. La cobertura corresponde a la asociación territorial usada por el Dashboard y debe verificarse cuando el distrito educativo abarque más de un municipio. [DASH-EDU]</w:t>
      </w:r>
    </w:p>
    <w:p>
      <w:r>
        <w:t>Entre la población de referencia de tres años o más, 8.9% aparece sin nivel de instrucción y 40.1%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95.1% en primaria y 89.3% en secundaria; el abandono reportado en secundaria es 6.3%.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88 establecimientos y un empleo estimado de 692.6, equivalente a 7.9 empleos por establecimiento. Los establecimientos de 1 a 10 personas representan 78.4%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(300.1 empleos estimados); Administración pública y defensa; planes de seguridad social de afiliación obligatoria (105.0 empleos estimados); Industrias manufactureras (102.9 empleos estimados). La mayor especialización relativa se observa en Agricultura, ganadería, silvicultura y pesca (cociente de localización 3.18).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72.0% y el de computadora 9.1%.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37.6%; promedio nacional: 62.7% (-25.1 puntos porcentuales).</w:t>
              <w:br/>
              <w:t>• Hogares con inodoro: 69.9%; promedio nacional: 87.0% (-17.1 puntos porcentuales).</w:t>
              <w:br/>
              <w:t>• Uso de internet: 72.0%; promedio nacional: 79.0% (-7.0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22.7%; urbanización de 50.4%.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37.6%; hogares sin sanitario: 5.1%.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86.1%; quema: 10.8%.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78.4%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72.0%; computadora: 9.1%.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El Factor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86.1% de hogares con recogida municipal y 10.8%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El Factor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Factor, María Trinidad Sánchez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Factor · 03140003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El Factor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