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0"/>
      </w:pPr>
    </w:p>
    <w:p>
      <w:pPr>
        <w:spacing w:after="360"/>
        <w:jc w:val="center"/>
      </w:pPr>
      <w:r>
        <w:rPr>
          <w:rFonts w:ascii="Calibri" w:hAnsi="Calibri" w:eastAsia="Calibri"/>
          <w:b/>
          <w:i w:val="0"/>
          <w:color w:val="A27719"/>
          <w:sz w:val="20"/>
        </w:rPr>
        <w:t>REPÚBLICA DOMINICANA · PLANIFICACIÓN MUNICIPAL</w:t>
      </w:r>
    </w:p>
    <w:p>
      <w:pPr>
        <w:spacing w:after="200"/>
        <w:jc w:val="center"/>
      </w:pPr>
      <w:r>
        <w:rPr>
          <w:rFonts w:ascii="Calibri" w:hAnsi="Calibri" w:eastAsia="Calibri"/>
          <w:b/>
          <w:i w:val="0"/>
          <w:color w:val="203740"/>
          <w:sz w:val="58"/>
        </w:rPr>
        <w:t>Plan Municipal de Desarrollo</w:t>
      </w:r>
    </w:p>
    <w:p>
      <w:pPr>
        <w:spacing w:after="100"/>
        <w:jc w:val="center"/>
      </w:pPr>
      <w:r>
        <w:rPr>
          <w:rFonts w:ascii="Calibri" w:hAnsi="Calibri" w:eastAsia="Calibri"/>
          <w:b/>
          <w:i w:val="0"/>
          <w:color w:val="14866D"/>
          <w:sz w:val="40"/>
        </w:rPr>
        <w:t>Cambita Garabitos</w:t>
      </w:r>
    </w:p>
    <w:p>
      <w:pPr>
        <w:spacing w:after="600"/>
        <w:jc w:val="center"/>
      </w:pPr>
      <w:r>
        <w:rPr>
          <w:rFonts w:ascii="Calibri" w:hAnsi="Calibri" w:eastAsia="Calibri"/>
          <w:b w:val="0"/>
          <w:i w:val="0"/>
          <w:color w:val="5E7076"/>
          <w:sz w:val="24"/>
        </w:rPr>
        <w:t>San Cristóbal · Región Valdesia</w:t>
      </w:r>
    </w:p>
    <w:p>
      <w:pPr>
        <w:spacing w:after="1400"/>
        <w:jc w:val="center"/>
      </w:pPr>
      <w:r>
        <w:rPr>
          <w:rFonts w:ascii="Calibri" w:hAnsi="Calibri" w:eastAsia="Calibri"/>
          <w:b/>
          <w:i w:val="0"/>
          <w:color w:val="2F6CC6"/>
          <w:sz w:val="32"/>
        </w:rPr>
        <w:t>2025-2028</w:t>
      </w:r>
    </w:p>
    <w:p>
      <w:pPr>
        <w:spacing w:before="440"/>
        <w:jc w:val="center"/>
      </w:pPr>
      <w:r>
        <w:rPr>
          <w:rFonts w:ascii="Calibri" w:hAnsi="Calibri" w:eastAsia="Calibri"/>
          <w:b w:val="0"/>
          <w:i w:val="0"/>
          <w:color w:val="5E7076"/>
          <w:sz w:val="18"/>
        </w:rPr>
        <w:t>Código geográfico 05210004</w:t>
      </w:r>
    </w:p>
    <w:p>
      <w:r>
        <w:br w:type="page"/>
      </w:r>
    </w:p>
    <w:p>
      <w:pPr>
        <w:pStyle w:val="Heading1"/>
      </w:pPr>
      <w:r>
        <w:t>Contenido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900"/>
        <w:gridCol w:w="8460"/>
      </w:tblGrid>
      <w:tr>
        <w:trPr>
          <w:tblHeader w:val="true"/>
        </w:trPr>
        <w:tc>
          <w:tcPr>
            <w:tcW w:type="dxa" w:w="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Parte</w:t>
            </w:r>
          </w:p>
        </w:tc>
        <w:tc>
          <w:tcPr>
            <w:tcW w:type="dxa" w:w="8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Información general: equipo, introducción, identidad territorial, antecedentes, marco jurídico y metodología.</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Diagnóstico municipal: población, vivienda, servicios, educación, salud, economía y territorio.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Fortalezas y debilidades basadas en el diagnóstico; situaciones que el CDM deberá priorizar.</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Visión Municipal: espacio de decisión del CDM con un ejemplo de formato.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Plan de acción: ejemplo de registro para convertir los acuerdos del CDM en acciones verificables.</w:t>
            </w:r>
          </w:p>
        </w:tc>
      </w:tr>
    </w:tbl>
    <w:p>
      <w:pPr>
        <w:spacing w:after="0"/>
      </w:pPr>
    </w:p>
    <w:p>
      <w:pPr>
        <w:pStyle w:val="Heading1"/>
      </w:pPr>
      <w:r>
        <w:t>Síntesis ejecutiva</w:t>
      </w:r>
    </w:p>
    <w:p>
      <w:r>
        <w:t>Cambita Garabitos, municipio de la provincia San Cristóbal, registró 31,684 habitantes en 2022. Entre 2010 y 2022 su población aumentó 2.0%. El 53.1% reside en área urbana y el 46.9% en área rural. Estas proporciones determinan la escala y la distribución territorial de los servicios municipales.</w:t>
      </w:r>
    </w:p>
    <w:p>
      <w:r>
        <w:t>El diagnóstico registra 50.2% de hogares con agua del acueducto dentro de la vivienda, 74.9% con recogida municipal de residuos y 15.4% que los quema. El uso de internet alcanza 68.5%. Los capítulos siguientes presentan las cifras, sus fuentes y sus límites antes de la priorización del CDM.</w:t>
      </w:r>
    </w:p>
    <w:p>
      <w:r>
        <w:br w:type="page"/>
      </w:r>
    </w:p>
    <w:p>
      <w:pPr>
        <w:pStyle w:val="Heading1"/>
      </w:pPr>
      <w:r>
        <w:t>1. Información general</w:t>
      </w:r>
    </w:p>
    <w:p>
      <w:pPr>
        <w:pStyle w:val="Heading2"/>
      </w:pPr>
      <w:r>
        <w:t>1.1 Equipo de elaboración y participación del CDM</w:t>
      </w:r>
    </w:p>
    <w:p>
      <w:r>
        <w:t>La elaboración y gestión del PMD se organiza por responsabilidades institucionales. Esta forma de presentación mantiene claras las funciones durante todo el período del plan, aun cuando cambien las personas que ocupan los cargos. La representación comunitaria y sectorial se canaliza mediante el Consejo de Desarrollo Municipal (CDM), conforme a la Ley núm. 176-07.</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900"/>
        <w:gridCol w:w="6460"/>
      </w:tblGrid>
      <w:tr>
        <w:trPr>
          <w:tblHeader w:val="true"/>
        </w:trPr>
        <w:tc>
          <w:tcPr>
            <w:tcW w:type="dxa" w:w="2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Instancia</w:t>
            </w:r>
          </w:p>
        </w:tc>
        <w:tc>
          <w:tcPr>
            <w:tcW w:type="dxa" w:w="6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Responsabilidad en el PMD</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Alcaldía</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Conducir políticamente el proceso, articular instituciones y presentar la programación anual vinculada al plan.</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Concejo de Regidores</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Conocer, deliberar, aprobar y fiscalizar los instrumentos, presupuestos y ordenanzas que correspondan.</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Oficina Municipal de Planificación y Programación (OMPP)</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Coordinar el diagnóstico, la formulación, la programación, los indicadores y los informes de avance.</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Consejo de Desarrollo Municipal (CDM)</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Participar en la elaboración, discusión y seguimiento del plan; canalizar prioridades territoriales y sectoriales.</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Áreas técnicas municipales</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Aportar información y ejecutar acciones dentro de sus competencias.</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Representación social y económica</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Aportar conocimiento local, contrastar prioridades y acompañar el seguimiento mediante el CDM.</w:t>
            </w:r>
          </w:p>
        </w:tc>
      </w:tr>
    </w:tbl>
    <w:p>
      <w:pPr>
        <w:spacing w:after="0"/>
      </w:pPr>
    </w:p>
    <w:p>
      <w:pPr>
        <w:pStyle w:val="SourceNote"/>
      </w:pPr>
      <w:r>
        <w:rPr>
          <w:rFonts w:ascii="Calibri" w:hAnsi="Calibri" w:eastAsia="Calibri"/>
          <w:b w:val="0"/>
          <w:i w:val="0"/>
          <w:color w:val="5E7076"/>
          <w:sz w:val="17"/>
        </w:rPr>
        <w:t>Fuente: Ley núm. 176-07 del Distrito Nacional y los Municipios, arts. 123–125; MEPyD, Guía para la formulación de planes de desarrollo municipales, pp. 21–22.</w:t>
      </w:r>
    </w:p>
    <w:p>
      <w:pPr>
        <w:pStyle w:val="Heading2"/>
      </w:pPr>
      <w:r>
        <w:t>1.2 Introducción y ¿qué es un PMD?</w:t>
      </w:r>
    </w:p>
    <w:p>
      <w:r>
        <w:t>El Plan Municipal de Desarrollo (PMD) es el instrumento que orienta las decisiones del ayuntamiento durante un período de cuatro años. Organiza una visión compartida del territorio, identifica sus condiciones y necesidades, define objetivos y convierte las prioridades en acciones que puedan relacionarse con el presupuesto, la gestión de servicios y la coordinación con el Gobierno central.</w:t>
      </w:r>
    </w:p>
    <w:p>
      <w:r>
        <w:t>El PMD no sustituye el presupuesto ni los planes operativos anuales: los articula. Cuando una necesidad corresponde a agua potable, salud, educación, carreteras u otra institución sectorial, el plan puede incorporarla como agenda de gestión y coordinación, con resultados e indicadores verificables.</w:t>
      </w:r>
    </w:p>
    <w:p>
      <w:pPr>
        <w:pStyle w:val="SourceNote"/>
      </w:pPr>
      <w:r>
        <w:rPr>
          <w:rFonts w:ascii="Calibri" w:hAnsi="Calibri" w:eastAsia="Calibri"/>
          <w:b w:val="0"/>
          <w:i w:val="0"/>
          <w:color w:val="5E7076"/>
          <w:sz w:val="17"/>
        </w:rPr>
        <w:t>Fuente: MEPyD, Guía para la formulación de planes de desarrollo municipales, pp. 19–21 y 46–49; Ley núm. 176-07, arts. 122–125.</w:t>
      </w:r>
    </w:p>
    <w:p>
      <w:pPr>
        <w:pStyle w:val="Heading2"/>
      </w:pPr>
      <w:r>
        <w:t>1.3 Identidad territorial, historia y configuración municipal</w:t>
      </w:r>
    </w:p>
    <w:p>
      <w:r>
        <w:t>Cambita Garabitos forma parte de la provincia San Cristóbal y de la región de planificación Valdesia. El código geográfico empleado es 05210004. La identificación territorial enlaza el clasificador geográfico, la cartografía, el Dashboard de Diagnóstico Territorial y las fuentes documentales. [GEO-01]</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3000"/>
        <w:gridCol w:w="3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territorial</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c>
          <w:tcPr>
            <w:tcW w:type="dxa" w:w="3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año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Municipio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Cambita Garabitos</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San Cristóbal</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Valdesia</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05210004</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Superficie cartográfica</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172.3 km²</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GeoJSON municipal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Densidad estimada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183.9 hab./km²</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Censo 2022 + GeoJSON</w:t>
            </w:r>
          </w:p>
        </w:tc>
      </w:tr>
    </w:tbl>
    <w:p>
      <w:pPr>
        <w:spacing w:after="0"/>
      </w:pPr>
    </w:p>
    <w:p>
      <w:r>
        <w:t>Como referencia secundaria, la ficha municipal de Wikipedia resume la identidad y evolución histórica local de la siguiente manera: Existen múltiples teorías acerca del origen del nombre “Cambita”; no obstante, todas coinciden en que se trata de un diminutivo de “Camba”, cuya procedencia ha sido objeto de diversas interpretaciones. Una hipótesis sugiere un origen toponímico europeo, vinculado al río Camba en Galicia, en el municipio Viana del Bollo (Orense), donde existe una comunidad denominada San Xoan de Camba. Otra posibilidad es que “Camba” fuese un apellido utilizado como denominación territorial, aunque no se han hallado registros de propietarios con este apellido en la isla. Por último, se ha planteado un origen etnolingüístico africano, vinculado a un grupo étnico de África Central. Durante el período colonial se documentó la presencia de tres esclavos identificados con esta etnia en distintos partidos de la isla. La diáspora “Cambá” también se encuentra en Paraguay y Bolivia, lo que refuerza la hipótesis de un origen cultural compartido, aunque en estos países tampoco existe consenso definitivo sobre su procedencia. [WIKI-01].</w:t>
      </w:r>
    </w:p>
    <w:p>
      <w:pPr>
        <w:pStyle w:val="SourceNote"/>
      </w:pPr>
      <w:r>
        <w:rPr>
          <w:rFonts w:ascii="Calibri" w:hAnsi="Calibri" w:eastAsia="Calibri"/>
          <w:b w:val="0"/>
          <w:i w:val="0"/>
          <w:color w:val="5E7076"/>
          <w:sz w:val="17"/>
        </w:rPr>
        <w:t>Fuente: Wikipedia se utiliza como apoyo secundario para historia y geografía. Los documentos anteriores se citan con período y páginas; para municipios nuevos, un plan del antiguo distrito no se presenta como PMD histórico del municipio actual.</w:t>
      </w:r>
    </w:p>
    <w:p>
      <w:pPr>
        <w:pStyle w:val="Heading2"/>
      </w:pPr>
      <w:r>
        <w:t>1.4 Perfil municipal en cifras</w:t>
      </w:r>
    </w:p>
    <w:p>
      <w:r>
        <w:t>En 2022, Cambita Garabitos registró 31,684 habitantes: 16,406 hombres (51.8%) y 15,278 mujeres (48.2%). Frente a los 31,057 habitantes censados en 2010, la población creció 2.0%. El cambio intercensal constituye la línea base para dimensionar servicios, infraestructura y demanda de suelo; no permite atribuir por sí solo causas de migración, fecundidad o movilidad residencial. [DASH-BASE]</w:t>
      </w:r>
    </w:p>
    <w:p>
      <w:r>
        <w:t>La distribución territorial muestra 16,818 habitantes en zona urbana (53.1%) y 14,866 en zona rural (46.9%). Esta relación debe considerarse al organizar rutas de servicios, mantenimiento vial, equipamientos y mecanismos de atención a comunidades dispersas. [DASH-URB]</w:t>
      </w:r>
    </w:p>
    <w:p>
      <w:r>
        <w:t>El municipio cuenta con 10,423 hogares y 31,677 personas residentes en hogares. El promedio es de 3.04 personas por hogar. El Censo registra 12,257 viviendas, de las cuales 10,361 estaban ocupadas y 1,893 desocupadas. [DASH-HOG] [DASH-BASE]</w:t>
      </w:r>
    </w:p>
    <w:p>
      <w:pPr>
        <w:pStyle w:val="Heading2"/>
      </w:pPr>
      <w:r>
        <w:t>1.5 Antecedentes de planificación</w:t>
      </w:r>
    </w:p>
    <w:p>
      <w:r>
        <w:t>No se localizó un PMD anterior del municipio actual en el inventario descargado. Esta ausencia en el repositorio no demuestra que el documento no exista.</w:t>
      </w:r>
    </w:p>
    <w:p>
      <w:r>
        <w:br w:type="page"/>
      </w:r>
    </w:p>
    <w:p>
      <w:pPr>
        <w:pStyle w:val="Heading2"/>
      </w:pPr>
      <w:r>
        <w:t>1.6 Marco jurídico</w:t>
      </w:r>
    </w:p>
    <w:p>
      <w:r>
        <w:t>El PMD se formula dentro del sistema jurídico dominicano de planificación y gestión territorial. Su aplicación exige coherencia entre el plan, el presupuesto municipal, los instrumentos de ordenamiento, las competencias sectoriales y los mecanismos de participación y control social.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100"/>
        <w:gridCol w:w="6260"/>
      </w:tblGrid>
      <w:tr>
        <w:trPr>
          <w:tblHeader w:val="true"/>
        </w:trPr>
        <w:tc>
          <w:tcPr>
            <w:tcW w:type="dxa" w:w="3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Norma</w:t>
            </w:r>
          </w:p>
        </w:tc>
        <w:tc>
          <w:tcPr>
            <w:tcW w:type="dxa" w:w="6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Aplicación al Plan Municipal de Desarrollo</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Constitución de la República Dominicana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Reconoce la autonomía municipal y la planificación del desarrollo económico y social.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176-07 del Distrito Nacional y los Municipios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Define finalidad, elaboración, participación del CDM, coordinación de la OMPP, aprobación, vigencia y seguimiento del PMD.</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498-06 de Planificación e Inversión Pública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Articula planificación, programación institucional e inversión pública.</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1-12 de la Estrategia Nacional de Desarrollo 2030</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 objetivos nacionales de largo plazo para las políticas territoriales.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368-22 de Ordenamiento Territorial, Uso de Suelo y Asentamientos Humanos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Vincula los instrumentos municipales con el marco nacional de ordenamiento territorial.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64-00 de Medio Ambiente y Recursos Naturales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Sustenta la protección ambiental y la gestión de recursos naturales.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147-02 sobre Gestión de Riesgos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Integra prevención, reducción de riesgos y preparación ante emergencias.</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225-20 de Gestión Integral y Coprocesamiento de Residuos Sólidos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Orienta prevención, recolección, aprovechamiento y disposición final de residuos.</w:t>
            </w:r>
          </w:p>
        </w:tc>
      </w:tr>
    </w:tbl>
    <w:p>
      <w:pPr>
        <w:spacing w:after="0"/>
      </w:pPr>
    </w:p>
    <w:p>
      <w:r>
        <w:t>Conforme a los artículos 122 a 125 de la Ley núm. 176-07, la OMPP coordina la formulación y evaluación del PMD y el CDM participa en su elaboración, discusión y seguimiento.</w:t>
      </w:r>
    </w:p>
    <w:p>
      <w:pPr>
        <w:pStyle w:val="SourceNote"/>
      </w:pPr>
      <w:r>
        <w:rPr>
          <w:rFonts w:ascii="Calibri" w:hAnsi="Calibri" w:eastAsia="Calibri"/>
          <w:b w:val="0"/>
          <w:i w:val="0"/>
          <w:color w:val="5E7076"/>
          <w:sz w:val="17"/>
        </w:rPr>
        <w:t>Fuente: Ley núm. 176-07, arts. 122–125; leyes núm. 498-06, 1-12, 368-22, 64-00, 147-02 y 225-20.</w:t>
      </w:r>
    </w:p>
    <w:p>
      <w:r>
        <w:br w:type="page"/>
      </w:r>
    </w:p>
    <w:p>
      <w:pPr>
        <w:pStyle w:val="Heading2"/>
      </w:pPr>
      <w:r>
        <w:t>1.7 Metodología</w:t>
      </w:r>
    </w:p>
    <w:p>
      <w:r>
        <w:t>La elaboración sigue la Guía para la formulación de planes de desarrollo municipales publicada por el Ministerio de Economía, Planificación y Desarrollo (MEPyD). La guía organiza el proceso en cuatro etapas enlazadas:</w:t>
      </w:r>
    </w:p>
    <w:p>
      <w:pPr>
        <w:pStyle w:val="ListNumber"/>
      </w:pPr>
      <w:r>
        <w:t>Organización del proceso. Se conforma el equipo, se acuerdan responsabilidades entre Alcaldía, Concejo de Regidores, OMPP, áreas técnicas y CDM, y se prepara el plan de trabajo.</w:t>
      </w:r>
    </w:p>
    <w:p>
      <w:pPr>
        <w:pStyle w:val="ListNumber"/>
      </w:pPr>
      <w:r>
        <w:t>Diagnóstico municipal. Se reúnen y analizan datos estadísticos, cartografía, documentos municipales y conocimiento local. La evidencia permite describir fortalezas y debilidades para revisión del CDM.</w:t>
      </w:r>
    </w:p>
    <w:p>
      <w:pPr>
        <w:pStyle w:val="ListNumber"/>
      </w:pPr>
      <w:r>
        <w:t>Formulación estratégica. Con la participación del CDM se acuerdan visión, objetivos, resultados, líneas de acción, proyectos e indicadores.</w:t>
      </w:r>
    </w:p>
    <w:p>
      <w:pPr>
        <w:pStyle w:val="ListNumber"/>
      </w:pPr>
      <w:r>
        <w:t>Gestión de los instrumentos. El PMD aprobado se vincula con programación, presupuesto, ejecución, seguimiento, evaluación y rendición de cuentas.</w:t>
      </w:r>
    </w:p>
    <w:p>
      <w:pPr>
        <w:pStyle w:val="SourceNote"/>
      </w:pPr>
      <w:r>
        <w:rPr>
          <w:rFonts w:ascii="Calibri" w:hAnsi="Calibri" w:eastAsia="Calibri"/>
          <w:b w:val="0"/>
          <w:i w:val="0"/>
          <w:color w:val="5E7076"/>
          <w:sz w:val="17"/>
        </w:rPr>
        <w:t>Fuente: MEPyD, ¿Cómo elaborar un plan municipal de desarrollo? Guía para la formulación de planes de desarrollo municipales, pp. 19–49; Ley núm. 176-07, arts. 123–125.</w:t>
      </w:r>
    </w:p>
    <w:p>
      <w:r>
        <w:br w:type="page"/>
      </w:r>
    </w:p>
    <w:p>
      <w:pPr>
        <w:pStyle w:val="Heading1"/>
      </w:pPr>
      <w:r>
        <w:t>2. Diagnóstico municipal</w:t>
      </w:r>
    </w:p>
    <w:p>
      <w:r>
        <w:t>Las cinco láminas siguientes reproducen en Word la lógica de impresión del Dashboard de Diagnóstico Territorial. Presentan la línea base estadística antes de su interpretación narrativa. Los datos corresponden al territorio seleccionado y conservan el año y la fuente; una ausencia se muestra como «No disponible» y no se sustituye por estimaciones.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000"/>
        <w:gridCol w:w="4300"/>
        <w:gridCol w:w="4060"/>
      </w:tblGrid>
      <w:tr>
        <w:trPr>
          <w:tblHeader w:val="true"/>
        </w:trPr>
        <w:tc>
          <w:tcPr>
            <w:tcW w:type="dxa" w:w="1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Lámina</w:t>
            </w:r>
          </w:p>
        </w:tc>
        <w:tc>
          <w:tcPr>
            <w:tcW w:type="dxa" w:w="4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c>
          <w:tcPr>
            <w:tcW w:type="dxa" w:w="4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Lectura esperada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Población, mapa, pirámides 2010/2022, hogares y viviendas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Cambio y composición demográfica</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saneamiento, alumbrado, combustible y residuos</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Coberturas declaradas por hogares</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Oferta, nivel de instrucción, infraestructura y eficiencia educativa</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Capacidades y alertas educativas</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Establecimientos, empleo, tamaño empresarial y sectores CIIU</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Estructura económica formal observada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Establecimientos de salud y comparación nacional</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Presencia física y brechas relativas</w:t>
            </w:r>
          </w:p>
        </w:tc>
      </w:tr>
    </w:tbl>
    <w:p>
      <w:pPr>
        <w:spacing w:after="0"/>
      </w:pP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Cómo leer las láminas</w:t>
            </w:r>
          </w:p>
          <w:p>
            <w:pPr>
              <w:spacing w:after="0"/>
            </w:pPr>
            <w:r>
              <w:rPr>
                <w:rFonts w:ascii="Calibri" w:hAnsi="Calibri" w:eastAsia="Calibri"/>
                <w:b w:val="0"/>
                <w:i w:val="0"/>
                <w:color w:val="203740"/>
                <w:sz w:val="19"/>
              </w:rPr>
              <w:t>Cada lámina es una línea base, no una conclusión automática. La interpretación debe conservar tres preguntas: qué mide el indicador, qué no mide y qué comprobación territorial hace falta antes de decidir.</w:t>
            </w:r>
          </w:p>
        </w:tc>
      </w:tr>
    </w:tbl>
    <w:p>
      <w:pPr>
        <w:spacing w:after="0"/>
      </w:pPr>
    </w:p>
    <w:p>
      <w:r>
        <w:br w:type="page"/>
      </w:r>
    </w:p>
    <w:p>
      <w:pPr>
        <w:keepLines/>
        <w:spacing w:after="0"/>
        <w:jc w:val="center"/>
      </w:pPr>
      <w:r>
        <w:drawing>
          <wp:inline xmlns:a="http://schemas.openxmlformats.org/drawingml/2006/main" xmlns:pic="http://schemas.openxmlformats.org/drawingml/2006/picture">
            <wp:extent cx="5943600" cy="7135215"/>
            <wp:docPr id="1" name="Picture 1"/>
            <wp:cNvGraphicFramePr>
              <a:graphicFrameLocks noChangeAspect="1"/>
            </wp:cNvGraphicFramePr>
            <a:graphic>
              <a:graphicData uri="http://schemas.openxmlformats.org/drawingml/2006/picture">
                <pic:pic>
                  <pic:nvPicPr>
                    <pic:cNvPr id="0" name="diagnostico-1.png"/>
                    <pic:cNvPicPr/>
                  </pic:nvPicPr>
                  <pic:blipFill>
                    <a:blip r:embed="rId11"/>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2" name="Picture 2"/>
            <wp:cNvGraphicFramePr>
              <a:graphicFrameLocks noChangeAspect="1"/>
            </wp:cNvGraphicFramePr>
            <a:graphic>
              <a:graphicData uri="http://schemas.openxmlformats.org/drawingml/2006/picture">
                <pic:pic>
                  <pic:nvPicPr>
                    <pic:cNvPr id="0" name="diagnostico-2.png"/>
                    <pic:cNvPicPr/>
                  </pic:nvPicPr>
                  <pic:blipFill>
                    <a:blip r:embed="rId12"/>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3" name="Picture 3"/>
            <wp:cNvGraphicFramePr>
              <a:graphicFrameLocks noChangeAspect="1"/>
            </wp:cNvGraphicFramePr>
            <a:graphic>
              <a:graphicData uri="http://schemas.openxmlformats.org/drawingml/2006/picture">
                <pic:pic>
                  <pic:nvPicPr>
                    <pic:cNvPr id="0" name="diagnostico-3.png"/>
                    <pic:cNvPicPr/>
                  </pic:nvPicPr>
                  <pic:blipFill>
                    <a:blip r:embed="rId13"/>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4" name="Picture 4"/>
            <wp:cNvGraphicFramePr>
              <a:graphicFrameLocks noChangeAspect="1"/>
            </wp:cNvGraphicFramePr>
            <a:graphic>
              <a:graphicData uri="http://schemas.openxmlformats.org/drawingml/2006/picture">
                <pic:pic>
                  <pic:nvPicPr>
                    <pic:cNvPr id="0" name="diagnostico-4.png"/>
                    <pic:cNvPicPr/>
                  </pic:nvPicPr>
                  <pic:blipFill>
                    <a:blip r:embed="rId14"/>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5" name="Picture 5"/>
            <wp:cNvGraphicFramePr>
              <a:graphicFrameLocks noChangeAspect="1"/>
            </wp:cNvGraphicFramePr>
            <a:graphic>
              <a:graphicData uri="http://schemas.openxmlformats.org/drawingml/2006/picture">
                <pic:pic>
                  <pic:nvPicPr>
                    <pic:cNvPr id="0" name="diagnostico-5.png"/>
                    <pic:cNvPicPr/>
                  </pic:nvPicPr>
                  <pic:blipFill>
                    <a:blip r:embed="rId15"/>
                    <a:stretch>
                      <a:fillRect/>
                    </a:stretch>
                  </pic:blipFill>
                  <pic:spPr>
                    <a:xfrm>
                      <a:off x="0" y="0"/>
                      <a:ext cx="5943600" cy="7135215"/>
                    </a:xfrm>
                    <a:prstGeom prst="rect"/>
                  </pic:spPr>
                </pic:pic>
              </a:graphicData>
            </a:graphic>
          </wp:inline>
        </w:drawing>
      </w:r>
    </w:p>
    <w:p>
      <w:pPr>
        <w:pStyle w:val="SourceNote"/>
      </w:pPr>
      <w:r>
        <w:rPr>
          <w:rFonts w:ascii="Calibri" w:hAnsi="Calibri" w:eastAsia="Calibri"/>
          <w:b w:val="0"/>
          <w:i w:val="0"/>
          <w:color w:val="5E7076"/>
          <w:sz w:val="17"/>
        </w:rPr>
        <w:t>Fuente: Dashboard de Diagnóstico Territorial, ficha de Cambita Garabitos. Láminas generadas el 2026-07-28.</w:t>
      </w:r>
    </w:p>
    <w:p>
      <w:r>
        <w:br w:type="page"/>
      </w:r>
    </w:p>
    <w:p>
      <w:pPr>
        <w:pStyle w:val="Heading1"/>
      </w:pPr>
      <w:r>
        <w:t>2. Diagnóstico municipal: lectura e interpretación</w:t>
      </w:r>
    </w:p>
    <w:p>
      <w:r>
        <w:t>La lectura siguiente explica qué muestran los indicadores y cuáles son sus límites. Se diferencia entre dato observado, interpretación técnica y asunto que requiere comprobación municipal.</w:t>
      </w:r>
    </w:p>
    <w:p>
      <w:pPr>
        <w:pStyle w:val="Heading2"/>
      </w:pPr>
      <w:r>
        <w:t>2.1 Dinámica demográfica y hogares</w:t>
      </w:r>
    </w:p>
    <w:p>
      <w:r>
        <w:t>La estructura por edad de Cambita Garabitos se distribuye aproximadamente en 27.4% de población menor de 15 años, 63.7% entre 15 y 64 años y 8.9% de 65 años o más. La relación de dependencia demográfica estimada es de 57.1 personas potencialmente dependientes por cada 100 en edad de trabajar. Estos valores orientan la demanda relativa de cuidados, espacios públicos, movilidad, formación y servicios sociales, pero deben analizarse con la distribución territorial y la capacidad real de atención. [DASH-PYR]</w:t>
      </w:r>
    </w:p>
    <w:p>
      <w:r>
        <w:t>El grado de urbanización es 53.1% y el tamaño medio de los hogares es 3.04 personas. Una mayor concentración urbana puede facilitar cobertura de rutas y equipamientos, mientras que una proporción rural relevante exige criterios de accesibilidad y costos diferenciados. La cifra no sustituye un análisis por barrio, sección o paraje. [DASH-URB] [DASH-HOG]</w:t>
      </w:r>
    </w:p>
    <w:p>
      <w:pPr>
        <w:pStyle w:val="Heading2"/>
      </w:pPr>
      <w:r>
        <w:t>2.2 Vivienda, agua, saneamiento y servicios básicos</w:t>
      </w:r>
    </w:p>
    <w:p>
      <w:r>
        <w:t>El 50.2% de los hogares declara recibir agua del acueducto dentro de la vivienda, frente a 62.7% a escala nacional. Para agua de beber, el uso de botellones representa 72.6%. La comparación sugiere una condición de acceso físico y un patrón de consumo, pero no informa continuidad, presión, potabilidad ni costo. Esos cuatro aspectos deben verificarse antes de formular intervenciones. [DASH-VIDA]</w:t>
      </w:r>
    </w:p>
    <w:p>
      <w:r>
        <w:t>En saneamiento, 79.1% de los hogares reporta inodoro y 2.3% declara no disponer de servicio sanitario. La línea base permite dimensionar la brecha general, aunque no identifica sectores ni calidad de disposición final. El levantamiento municipal debe localizar hogares críticos y distinguir competencias del ayuntamiento, INAPA, salud pública y otros actores. [DASH-VIDA]</w:t>
      </w:r>
    </w:p>
    <w:p>
      <w:r>
        <w:t>La red pública es la fuente principal de alumbrado para 99.0% de los hogares. La recogida de residuos por el ayuntamiento alcanza 74.9%, mientras 15.4% declara quemarlos. El gas propano es el combustible principal de cocina en 83.8% de los hogares. La cobertura de recogida no equivale a frecuencia, regularidad ni manejo ambientalmente adecuado; el plan operativo de residuos debe contrastar rutas, horarios, disposición final y sectores no servidos. [DASH-VIDA]</w:t>
      </w:r>
    </w:p>
    <w:p>
      <w:pPr>
        <w:pStyle w:val="Heading2"/>
      </w:pPr>
      <w:r>
        <w:t>2.3 Educación y capacidades humanas</w:t>
      </w:r>
    </w:p>
    <w:p>
      <w:r>
        <w:t>La oferta educativa asociada registra 45 centros y 8,246 matrículas agregadas. De ellas, 3,213 corresponden a inicial/primario, 4,291 a secundario y 742 a educación de adultos. La cobertura corresponde a la asociación territorial usada por el Dashboard y debe verificarse cuando el distrito educativo abarque más de un municipio. [DASH-EDU]</w:t>
      </w:r>
    </w:p>
    <w:p>
      <w:r>
        <w:t>Entre la población de referencia de tres años o más, No disponible aparece sin nivel de instrucción y No disponible registra secundaria o un nivel superior. La distribución educativa ayuda a orientar alfabetización, formación técnica, inclusión digital y articulación con empleo, pero no debe interpretarse como calidad del aprendizaje. [DASH-EDU-NIVEL]</w:t>
      </w:r>
    </w:p>
    <w:p>
      <w:r>
        <w:t>Para el distrito educativo asociado, la promoción es 92.8% en primaria y 92.9% en secundaria; el abandono reportado en secundaria es 3.4%. La OMPP debe coordinar la lectura con MINERD y evitar atribuir al gobierno local resultados que corresponden al sistema educativo. [DASH-EDU]</w:t>
      </w:r>
    </w:p>
    <w:p>
      <w:pPr>
        <w:pStyle w:val="Heading2"/>
      </w:pPr>
      <w:r>
        <w:t>2.4 Economía, establecimientos y empleo</w:t>
      </w:r>
    </w:p>
    <w:p>
      <w:r>
        <w:t>El Directorio de Empresas y Establecimientos 2024 identifica 67 establecimientos y un empleo estimado de 688.5, equivalente a 10.3 empleos por establecimiento. Los establecimientos de 1 a 10 personas representan 89.6% del total. Esto caracteriza la estructura formal observada por el DEE; no incluye necesariamente toda la economía informal, el autoempleo ni la producción agropecuaria familiar. [DASH-ECO]</w:t>
      </w:r>
    </w:p>
    <w:p>
      <w:r>
        <w:t>Las actividades con mayor empleo estimado en la fuente son Administración pública y defensa; planes de seguridad social de afiliación obligatoria (373.3 empleos estimados); Comercio al por mayor y al por menor; reparación de vehículos automotores y motocicletas (162.7 empleos estimados); Industrias manufactureras (36.7 empleos estimados). La mayor especialización relativa se observa en Administración pública y defensa; planes de seguridad social de afiliación obligatoria (cociente de localización 2.11). El cociente de localización compara concentración relativa, no productividad ni competitividad. [DASH-ECO]</w:t>
      </w:r>
    </w:p>
    <w:p>
      <w:pPr>
        <w:pStyle w:val="Heading2"/>
      </w:pPr>
      <w:r>
        <w:t>2.5 Salud, conectividad y acceso a información</w:t>
      </w:r>
    </w:p>
    <w:p>
      <w:r>
        <w:t>El Dashboard registra 7 establecimientos de salud en el municipio. La composición principal es: Centro De Primer Nivel: 5, Hospital Mediana Complejidad: 2. Este conteo informa presencia física, no cartera de servicios, personal, horario, capacidad, calidad ni accesibilidad efectiva. La planificación municipal debe validar esos elementos con el Servicio Nacional de Salud. [DASH-SALUD]</w:t>
      </w:r>
    </w:p>
    <w:p>
      <w:r>
        <w:t>El uso de internet alcanza 68.5% y el de computadora 10.4%. La diferencia entre conectividad y disponibilidad de equipo es relevante para trámites, educación, información pública y participación digital. El dato requiere desagregación por edad, sexo y zona para diseñar acciones focalizadas. [DASH-TIC]</w:t>
      </w:r>
    </w:p>
    <w:p>
      <w:pPr>
        <w:pStyle w:val="Heading2"/>
      </w:pPr>
      <w:r>
        <w:t>2.6 Contexto territorial, ambiental y continuidad</w:t>
      </w:r>
    </w:p>
    <w:p>
      <w:r>
        <w:t>Las fuentes estadísticas utilizadas no describen con suficiente detalle uso del suelo, riesgos, hidrología, residuos, movilidad o estado de la infraestructura. Este apartado debe completarse con cartografía oficial, instrumentos ambientales y verificación técnica municipal; no se agregaron afirmaciones de prensa ni datos no comprobables.</w:t>
      </w:r>
    </w:p>
    <w:p>
      <w:pPr>
        <w:pStyle w:val="Heading1"/>
      </w:pPr>
      <w:r>
        <w:t>3. Fortalezas y debilidades basadas en el diagnóstico</w:t>
      </w:r>
    </w:p>
    <w:p>
      <w:r>
        <w:t>La clasificación siguiente utiliza únicamente indicadores comparables del diagnóstico. Se considera diferencia relevante una separación de al menos dos puntos porcentuales frente al promedio nacional. El crecimiento poblacional, el número absoluto de establecimientos y otros datos sin denominador comparable no se clasifican automáticamente como fortalezas o debilidades.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Fortalezas observadas</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Debilidades observadas</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Las fuentes comparables disponibles no permiten clasificar una fortaleza cuantitativa con una diferencia mínima de 2 puntos porcentuales frente al promedio nacional.</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Acceso a agua del acueducto dentro de la vivienda: 50.2%; promedio nacional: 62.7% (-12.5 puntos porcentuales).</w:t>
              <w:br/>
              <w:t>• Recogida de residuos por el ayuntamiento: 74.9%; promedio nacional: 85.9% (-11.1 puntos porcentuales).</w:t>
              <w:br/>
              <w:t>• Hogares con inodoro: 79.1%; promedio nacional: 87.0% (-8.0 puntos porcentuales).</w:t>
              <w:br/>
              <w:t>• Uso de internet: 68.5%; promedio nacional: 79.0% (-10.5 puntos porcentuales).</w:t>
            </w:r>
          </w:p>
        </w:tc>
      </w:tr>
    </w:tbl>
    <w:p>
      <w:pPr>
        <w:spacing w:after="0"/>
      </w:pPr>
    </w:p>
    <w:p>
      <w:pPr>
        <w:pStyle w:val="SourceNote"/>
      </w:pPr>
      <w:r>
        <w:rPr>
          <w:rFonts w:ascii="Calibri" w:hAnsi="Calibri" w:eastAsia="Calibri"/>
          <w:b w:val="0"/>
          <w:i w:val="0"/>
          <w:color w:val="5E7076"/>
          <w:sz w:val="17"/>
        </w:rPr>
        <w:t>Fuente: ONE, X Censo Nacional de Población y Vivienda 2022; comparación con los agregados nacionales del Dashboard. La regla de ±2 puntos porcentuales se aplica de manera uniforme.</w:t>
      </w:r>
    </w:p>
    <w:p>
      <w:pPr>
        <w:pStyle w:val="Heading2"/>
      </w:pPr>
      <w:r>
        <w:t>3.1 Situaciones del diagnóstico para priorización</w:t>
      </w:r>
    </w:p>
    <w:p>
      <w:r>
        <w:t>Los hallazgos siguientes resumen situaciones verificables. No se les asigna orden de prioridad; el CDM debe contrastarlos con la experiencia de barrios, comunidades y sectores.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00"/>
        <w:gridCol w:w="5100"/>
        <w:gridCol w:w="2060"/>
      </w:tblGrid>
      <w:tr>
        <w:trPr>
          <w:tblHeader w:val="true"/>
        </w:trPr>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Tema</w:t>
            </w:r>
          </w:p>
        </w:tc>
        <w:tc>
          <w:tcPr>
            <w:tcW w:type="dxa" w:w="5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Situación observada</w:t>
            </w:r>
          </w:p>
        </w:tc>
        <w:tc>
          <w:tcPr>
            <w:tcW w:type="dxa" w:w="2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Población y territorio</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Variación intercensal de 2.0%; urbanización de 53.1%.</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y saneamiento</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de acueducto dentro: 50.2%; hogares sin sanitario: 2.3%.</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Residuos sólidos</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Recogida municipal declarada: 74.9%; quema: 15.4%.</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Abandono secundario del distrito asociado: 3.4%.</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Economía local</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89.6% de los establecimientos observados son micro (1–10).</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Conectividad</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Internet: 68.5%; computadora: 10.4%.</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r>
    </w:tbl>
    <w:p>
      <w:pPr>
        <w:spacing w:after="0"/>
      </w:pPr>
    </w:p>
    <w:p>
      <w:pPr>
        <w:pStyle w:val="Heading1"/>
      </w:pPr>
      <w:r>
        <w:t>4. Visión Municipal</w:t>
      </w:r>
    </w:p>
    <w:p>
      <w:r>
        <w:t>La visión municipal, los objetivos y los resultados expresan acuerdos políticos y sociales. Deben surgir de la participación del CDM y ser aprobados mediante el procedimiento municipal correspondiente. La fila siguiente muestra únicamente el formato de registro.</w:t>
      </w:r>
    </w:p>
    <w:p>
      <w:pPr>
        <w:pStyle w:val="Heading2"/>
      </w:pPr>
      <w:r>
        <w:t>4.1 Ejemplo de registro de una visión y un objetivo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60"/>
        <w:gridCol w:w="3740"/>
        <w:gridCol w:w="3360"/>
      </w:tblGrid>
      <w:tr>
        <w:trPr>
          <w:tblHeader w:val="true"/>
        </w:trPr>
        <w:tc>
          <w:tcPr>
            <w:tcW w:type="dxa" w:w="2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37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Visión / tema</w:t>
            </w:r>
          </w:p>
        </w:tc>
        <w:tc>
          <w:tcPr>
            <w:tcW w:type="dxa" w:w="33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Objetivo / resultado</w:t>
            </w:r>
          </w:p>
        </w:tc>
      </w:tr>
      <w:tr>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3740"/>
            <w:vAlign w:val="top"/>
            <w:tcMar>
              <w:top w:w="80" w:type="dxa"/>
              <w:start w:w="120" w:type="dxa"/>
              <w:bottom w:w="80" w:type="dxa"/>
              <w:end w:w="120" w:type="dxa"/>
            </w:tcMar>
          </w:tcPr>
          <w:p>
            <w:pPr>
              <w:spacing w:after="0"/>
            </w:pPr>
            <w:r>
              <w:rPr>
                <w:rFonts w:ascii="Calibri" w:hAnsi="Calibri" w:eastAsia="Calibri"/>
                <w:b w:val="0"/>
                <w:i w:val="0"/>
                <w:color w:val="203740"/>
                <w:sz w:val="17"/>
              </w:rPr>
              <w:t>“En 2028, Cambita Garabitos avanza como un municipio que mejora de manera equitativa sus servicios y protege los recursos de su territorio.”</w:t>
            </w:r>
          </w:p>
        </w:tc>
        <w:tc>
          <w:tcPr>
            <w:tcW w:type="dxa" w:w="3360"/>
            <w:vAlign w:val="top"/>
            <w:tcMar>
              <w:top w:w="80" w:type="dxa"/>
              <w:start w:w="120" w:type="dxa"/>
              <w:bottom w:w="80" w:type="dxa"/>
              <w:end w:w="120" w:type="dxa"/>
            </w:tcMar>
          </w:tcPr>
          <w:p>
            <w:pPr>
              <w:spacing w:after="0"/>
            </w:pPr>
            <w:r>
              <w:rPr>
                <w:rFonts w:ascii="Calibri" w:hAnsi="Calibri" w:eastAsia="Calibri"/>
                <w:b w:val="0"/>
                <w:i w:val="0"/>
                <w:color w:val="203740"/>
                <w:sz w:val="17"/>
              </w:rPr>
              <w:t>Ejemplo: mejorar un servicio priorizado por el CDM, usando un indicador del diagnóstico para fijar la línea base y medir el resultado.</w:t>
            </w:r>
          </w:p>
        </w:tc>
      </w:tr>
    </w:tbl>
    <w:p>
      <w:pPr>
        <w:spacing w:after="0"/>
      </w:pPr>
    </w:p>
    <w:p>
      <w:pPr>
        <w:pStyle w:val="SourceNote"/>
      </w:pPr>
      <w:r>
        <w:rPr>
          <w:rFonts w:ascii="Calibri" w:hAnsi="Calibri" w:eastAsia="Calibri"/>
          <w:b w:val="0"/>
          <w:i w:val="0"/>
          <w:color w:val="5E7076"/>
          <w:sz w:val="17"/>
        </w:rPr>
        <w:t>Fuente: MEPyD, Guía para la formulación de planes de desarrollo municipales, formulación estratégica, pp. 33–45.</w:t>
      </w:r>
    </w:p>
    <w:p>
      <w:pPr>
        <w:pStyle w:val="Heading1"/>
      </w:pPr>
      <w:r>
        <w:t>5. Plan de acción a acordar por el CDM</w:t>
      </w:r>
    </w:p>
    <w:p>
      <w:r>
        <w:t>La fila siguiente sirve únicamente para mostrar cómo convertir un acuerdo futuro del CDM en una acción con línea base, indicador y decisiones verificables.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920"/>
        <w:gridCol w:w="2320"/>
        <w:gridCol w:w="2520"/>
        <w:gridCol w:w="2600"/>
      </w:tblGrid>
      <w:tr>
        <w:trPr>
          <w:tblHeader w:val="true"/>
        </w:trPr>
        <w:tc>
          <w:tcPr>
            <w:tcW w:type="dxa" w:w="19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23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Acción</w:t>
            </w:r>
          </w:p>
        </w:tc>
        <w:tc>
          <w:tcPr>
            <w:tcW w:type="dxa" w:w="25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Línea base e indicador</w:t>
            </w:r>
          </w:p>
        </w:tc>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Decisiones que debe tomar el CDM</w:t>
            </w:r>
          </w:p>
        </w:tc>
      </w:tr>
      <w:tr>
        <w:tc>
          <w:tcPr>
            <w:tcW w:type="dxa" w:w="192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2320"/>
            <w:vAlign w:val="top"/>
            <w:tcMar>
              <w:top w:w="80" w:type="dxa"/>
              <w:start w:w="120" w:type="dxa"/>
              <w:bottom w:w="80" w:type="dxa"/>
              <w:end w:w="120" w:type="dxa"/>
            </w:tcMar>
          </w:tcPr>
          <w:p>
            <w:pPr>
              <w:spacing w:after="0"/>
            </w:pPr>
            <w:r>
              <w:rPr>
                <w:rFonts w:ascii="Calibri" w:hAnsi="Calibri" w:eastAsia="Calibri"/>
                <w:b w:val="0"/>
                <w:i w:val="0"/>
                <w:color w:val="203740"/>
                <w:sz w:val="17"/>
              </w:rPr>
              <w:t>Mejoramiento de la gestión integral de residuos.</w:t>
            </w:r>
          </w:p>
        </w:tc>
        <w:tc>
          <w:tcPr>
            <w:tcW w:type="dxa" w:w="2520"/>
            <w:vAlign w:val="top"/>
            <w:tcMar>
              <w:top w:w="80" w:type="dxa"/>
              <w:start w:w="120" w:type="dxa"/>
              <w:bottom w:w="80" w:type="dxa"/>
              <w:end w:w="120" w:type="dxa"/>
            </w:tcMar>
          </w:tcPr>
          <w:p>
            <w:pPr>
              <w:spacing w:after="0"/>
            </w:pPr>
            <w:r>
              <w:rPr>
                <w:rFonts w:ascii="Calibri" w:hAnsi="Calibri" w:eastAsia="Calibri"/>
                <w:b w:val="0"/>
                <w:i w:val="0"/>
                <w:color w:val="203740"/>
                <w:sz w:val="17"/>
              </w:rPr>
              <w:t>Línea base 2022: 74.9% de hogares con recogida municipal y 15.4% que quema residuos.</w:t>
            </w:r>
          </w:p>
        </w:tc>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Alcance territorial, resultado, meta, plazo, responsables, costo, financiamiento y coordinación institucional.</w:t>
            </w:r>
          </w:p>
        </w:tc>
      </w:tr>
    </w:tbl>
    <w:p>
      <w:pPr>
        <w:spacing w:after="0"/>
      </w:pPr>
    </w:p>
    <w:p>
      <w:pPr>
        <w:pStyle w:val="SourceNote"/>
      </w:pPr>
      <w:r>
        <w:rPr>
          <w:rFonts w:ascii="Calibri" w:hAnsi="Calibri" w:eastAsia="Calibri"/>
          <w:b w:val="0"/>
          <w:i w:val="0"/>
          <w:color w:val="5E7076"/>
          <w:sz w:val="17"/>
        </w:rPr>
        <w:t>Fuente: ONE, Censo 2022 cuando existe ficha municipal; MEPyD, Guía para la formulación de planes de desarrollo municipales, pp. 33–49.</w:t>
      </w:r>
    </w:p>
    <w:p>
      <w:r>
        <w:br w:type="page"/>
      </w:r>
    </w:p>
    <w:p>
      <w:pPr>
        <w:pStyle w:val="Heading1"/>
      </w:pPr>
      <w:r>
        <w:t>Fuentes y trazabilidad</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300"/>
        <w:gridCol w:w="3300"/>
        <w:gridCol w:w="1300"/>
        <w:gridCol w:w="2200"/>
        <w:gridCol w:w="1260"/>
      </w:tblGrid>
      <w:tr>
        <w:trPr>
          <w:tblHeader w:val="true"/>
        </w:trPr>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Documento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Año</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Página / cobertura</w:t>
            </w:r>
          </w:p>
        </w:tc>
        <w:tc>
          <w:tcPr>
            <w:tcW w:type="dxa" w:w="1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Confianza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GEO-01</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 y GeoJSON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DASH-BASE</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IX y X Censos Nacionales de Población y Vivienda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DASH-PYR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IX y X Censos: edad y sexo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DASH-HOG</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hogares y viviendas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DASH-URB</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población urbana y rural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condición de vida y servicios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Anuario Estadístico Educativo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Distrito asociado</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DASH-EDU-NIVEL</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nivel de instrucción</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Directorio de Empresas y Establecimientos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DASH-SALUD</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Registro de establecimientos SNS mostrado por Dashboard</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s/f</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tecnologías de información</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WIKI-01</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Wikipedia en español: Cambita Garabitos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2026-07-28</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Baja / secundaria</w:t>
            </w:r>
          </w:p>
        </w:tc>
      </w:tr>
    </w:tbl>
    <w:p>
      <w:pPr>
        <w:spacing w:after="0"/>
      </w:pPr>
    </w:p>
    <w:p>
      <w:pPr>
        <w:pStyle w:val="SourceNote"/>
      </w:pPr>
      <w:r>
        <w:rPr>
          <w:rFonts w:ascii="Calibri" w:hAnsi="Calibri" w:eastAsia="Calibri"/>
          <w:b w:val="0"/>
          <w:i w:val="0"/>
          <w:color w:val="5E7076"/>
          <w:sz w:val="17"/>
        </w:rPr>
        <w:t>Fuente: Los datasets del Dashboard no tienen paginación. Cuando se usa texto de un documento anterior, el rango de páginas y su alcance territorial se consignan en el párrafo correspondiente.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E7076"/>
        <w:sz w:val="15"/>
      </w:rPr>
      <w:t xml:space="preserve">Cambita Garabitos, San Cristóbal · PMD 2025-2028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center"/>
      <w:tblLayout w:type="fixed"/>
      <w:tblLook w:firstColumn="1" w:firstRow="1" w:lastColumn="0" w:lastRow="0" w:noHBand="0" w:noVBand="1" w:val="04A0"/>
      <w:tblInd w:w="120" w:type="dxa"/>
    </w:tblPr>
    <w:tblGrid>
      <w:gridCol w:w="6000"/>
      <w:gridCol w:w="3360"/>
    </w:tblGrid>
    <w:tr>
      <w:tc>
        <w:tcPr>
          <w:tcW w:type="dxa" w:w="6000"/>
          <w:tcMar>
            <w:top w:w="0" w:type="dxa"/>
            <w:start w:w="0" w:type="dxa"/>
            <w:bottom w:w="0" w:type="dxa"/>
            <w:end w:w="0" w:type="dxa"/>
          </w:tcMar>
        </w:tcPr>
        <w:p>
          <w:r>
            <w:rPr>
              <w:rFonts w:ascii="Calibri" w:hAnsi="Calibri" w:eastAsia="Calibri"/>
              <w:b/>
              <w:i w:val="0"/>
              <w:color w:val="14866D"/>
              <w:sz w:val="15"/>
            </w:rPr>
            <w:t>PLAN MUNICIPAL DE DESARROLLO</w:t>
          </w:r>
        </w:p>
      </w:tc>
      <w:tc>
        <w:tcPr>
          <w:tcW w:type="dxa" w:w="3360"/>
          <w:tcMar>
            <w:top w:w="0" w:type="dxa"/>
            <w:start w:w="0" w:type="dxa"/>
            <w:bottom w:w="0" w:type="dxa"/>
            <w:end w:w="0" w:type="dxa"/>
          </w:tcMar>
        </w:tcPr>
        <w:p>
          <w:pPr>
            <w:jc w:val="right"/>
          </w:pPr>
          <w:r>
            <w:rPr>
              <w:rFonts w:ascii="Calibri" w:hAnsi="Calibri" w:eastAsia="Calibri"/>
              <w:b w:val="0"/>
              <w:i w:val="0"/>
              <w:color w:val="5E7076"/>
              <w:sz w:val="15"/>
            </w:rPr>
            <w:t>Cambita Garabitos · 05210004</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Calibri"/>
      <w:color w:val="2037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Municipal de Desarrollo de Cambita Garabitos 2025-2028</dc:title>
  <dc:subject>Información general y diagnóstico municipal con trazabilidad</dc:subject>
  <dc:creator>DDPT</dc:creator>
  <cp:keywords>PMD, municipio, diagnóstico, OMPP, CDM, trazabilidad</cp:keywords>
  <dc:description>generated by python-docx</dc:description>
  <cp:lastModifiedBy/>
  <cp:revision>1</cp:revision>
  <dcterms:created xsi:type="dcterms:W3CDTF">2013-12-23T23:15:00Z</dcterms:created>
  <dcterms:modified xsi:type="dcterms:W3CDTF">2013-12-23T23:15:00Z</dcterms:modified>
  <cp:category/>
</cp:coreProperties>
</file>