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La Victoria</w:t>
      </w:r>
    </w:p>
    <w:p>
      <w:pPr>
        <w:spacing w:after="600"/>
        <w:jc w:val="center"/>
      </w:pPr>
      <w:r>
        <w:rPr>
          <w:rFonts w:ascii="Calibri" w:hAnsi="Calibri" w:eastAsia="Calibri"/>
          <w:b w:val="0"/>
          <w:i w:val="0"/>
          <w:color w:val="5E7076"/>
          <w:sz w:val="24"/>
        </w:rPr>
        <w:t>Santo Domingo · Región Ozama</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10320009</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La Victoria es uno de los municipios incorporados recientemente al clasificador territorial. Las fuentes estadísticas usadas por el Dashboard todavía no ofrecen una ficha separada para su ámbito actual. Por esa razón, la información general utiliza únicamente antecedentes directamente identificados para el territorio y el diagnóstico no traslada cifras del municipio de origen ni promedios provinciales como sustituto.</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La Victoria forma parte de la provincia Santo Domingo y de la región de planificación Ozama. El código geográfico empleado es 10320009.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La Victoria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Santo Domingo</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Ozama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10320009</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215.0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No disponible</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No se incorporó una reseña histórica detallada porque las fuentes disponibles no permitieron identificar un texto verificable. La OMPP debe completar este apartado con la norma de creación, el archivo municipal o una publicación histórica institucional.</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El Dashboard aún no dispone de una ficha estadística municipal separada para este territorio. Por ello no se trasladaron cifras del municipio de origen ni de la provincia. La OMPP debe incorporar una línea base oficial que corresponda exactamente al nuevo ámbito municipal.</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La Victoria.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No existe una serie municipal separada en el Dashboard. El diagnóstico demográfico queda pendiente de una desagregación oficial específica; no se usaron promedios del territorio de origen como sustituto.</w:t>
      </w:r>
    </w:p>
    <w:p>
      <w:pPr>
        <w:pStyle w:val="Heading2"/>
      </w:pPr>
      <w:r>
        <w:t>2.2 Vivienda, agua, saneamiento y servicios básicos</w:t>
      </w:r>
    </w:p>
    <w:p>
      <w:r>
        <w:t>No se dispone de registros municipales separados de vivienda y servicios básicos en el Dashboard.</w:t>
      </w:r>
    </w:p>
    <w:p>
      <w:pPr>
        <w:pStyle w:val="Heading2"/>
      </w:pPr>
      <w:r>
        <w:t>2.3 Educación y capacidades humanas</w:t>
      </w:r>
    </w:p>
    <w:p>
      <w:r>
        <w:t>El Dashboard no ofrece una ficha educativa municipal separada para este territorio.</w:t>
      </w:r>
    </w:p>
    <w:p>
      <w:pPr>
        <w:pStyle w:val="Heading2"/>
      </w:pPr>
      <w:r>
        <w:t>2.4 Economía, establecimientos y empleo</w:t>
      </w:r>
    </w:p>
    <w:p>
      <w:r>
        <w:t>No se dispone de una ficha económica municipal separada en el Dashboard.</w:t>
      </w:r>
    </w:p>
    <w:p>
      <w:pPr>
        <w:pStyle w:val="Heading2"/>
      </w:pPr>
      <w:r>
        <w:t>2.5 Salud, conectividad y acceso a información</w:t>
      </w:r>
    </w:p>
    <w:p>
      <w:r>
        <w:t>No se dispone de registros municipales separados de salud y conectividad en el Dashboard.</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debilidad cuantitativa con una diferencia mínima de 2 puntos porcentuales frente al promedio nacional.</w:t>
            </w:r>
          </w:p>
        </w:tc>
      </w:tr>
    </w:tbl>
    <w:p>
      <w:pPr>
        <w:spacing w:after="0"/>
      </w:pPr>
    </w:p>
    <w:p>
      <w:pPr>
        <w:pStyle w:val="SourceNote"/>
      </w:pPr>
      <w:r>
        <w:rPr>
          <w:rFonts w:ascii="Calibri" w:hAnsi="Calibri" w:eastAsia="Calibri"/>
          <w:b w:val="0"/>
          <w:i w:val="0"/>
          <w:color w:val="5E7076"/>
          <w:sz w:val="17"/>
        </w:rPr>
        <w:t>Fuente: Verificación de cobertura del Dashboard, 2026. No se efectuó una clasificación cuantitativa sin una ficha municipal separada.</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Línea base municipal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La ficha estadística separada no está disponible.</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OMPP / ONE</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La Victoria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Levantamiento y validación de una línea base municipal priorizada.</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pendiente: utilizar una fuente oficial específica del nuevo ámbito municipal.</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DASH-GAP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 de Diagnóstico Territorial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ficha separada para el ámbito municipal actual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La Victoria, Santo Domingo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La Victoria · 10320009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La Victoria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