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La Mata</w:t>
      </w:r>
    </w:p>
    <w:p>
      <w:pPr>
        <w:spacing w:after="600"/>
        <w:jc w:val="center"/>
      </w:pPr>
      <w:r>
        <w:rPr>
          <w:rFonts w:ascii="Calibri" w:hAnsi="Calibri" w:eastAsia="Calibri"/>
          <w:b w:val="0"/>
          <w:i w:val="0"/>
          <w:color w:val="5E7076"/>
          <w:sz w:val="24"/>
        </w:rPr>
        <w:t>Sánchez Ramírez · Región Cibao Sur</w:t>
      </w:r>
    </w:p>
    <w:p>
      <w:pPr>
        <w:spacing w:after="1400"/>
        <w:jc w:val="center"/>
      </w:pPr>
      <w:r>
        <w:rPr>
          <w:rFonts w:ascii="Calibri" w:hAnsi="Calibri" w:eastAsia="Calibri"/>
          <w:b/>
          <w:i w:val="0"/>
          <w:color w:val="2F6CC6"/>
          <w:sz w:val="32"/>
        </w:rPr>
        <w:t>2025-2028</w:t>
      </w:r>
    </w:p>
    <w:p>
      <w:pPr>
        <w:spacing w:before="440"/>
        <w:jc w:val="center"/>
      </w:pPr>
      <w:r>
        <w:rPr>
          <w:rFonts w:ascii="Calibri" w:hAnsi="Calibri" w:eastAsia="Calibri"/>
          <w:b w:val="0"/>
          <w:i w:val="0"/>
          <w:color w:val="5E7076"/>
          <w:sz w:val="18"/>
        </w:rPr>
        <w:t>Código geográfico 02240004</w:t>
      </w:r>
    </w:p>
    <w:p>
      <w:r>
        <w:br w:type="page"/>
      </w:r>
    </w:p>
    <w:p>
      <w:pPr>
        <w:pStyle w:val="Heading1"/>
      </w:pPr>
      <w:r>
        <w:t>Contenido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900"/>
        <w:gridCol w:w="8460"/>
      </w:tblGrid>
      <w:tr>
        <w:trPr>
          <w:tblHeader w:val="true"/>
        </w:trPr>
        <w:tc>
          <w:tcPr>
            <w:tcW w:type="dxa" w:w="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Parte</w:t>
            </w:r>
          </w:p>
        </w:tc>
        <w:tc>
          <w:tcPr>
            <w:tcW w:type="dxa" w:w="8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Información general: equipo, introducción, identidad territorial, antecedentes, marco jurídico y metodología.</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Diagnóstico municipal: población, vivienda, servicios, educación, salud, economía y territorio.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Fortalezas y debilidades basadas en el diagnóstico; situaciones que el CDM deberá priorizar.</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 espacio de decisión del CDM con un ejemplo de formato.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Inversión pública: proyectos en ejecución o reprogramados identificados específicamente para el municipio en MapaInversiones.</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Plan de acción: ejemplo de registro para convertir los acuerdos del CDM en acciones verificables.</w:t>
            </w:r>
          </w:p>
        </w:tc>
      </w:tr>
    </w:tbl>
    <w:p>
      <w:pPr>
        <w:spacing w:after="0"/>
      </w:pPr>
    </w:p>
    <w:p>
      <w:pPr>
        <w:pStyle w:val="Heading1"/>
      </w:pPr>
      <w:r>
        <w:t>Síntesis ejecutiva</w:t>
      </w:r>
    </w:p>
    <w:p>
      <w:r>
        <w:t>La Mata, municipio de la provincia Sánchez Ramírez, registró 38,358 habitantes en 2022. Entre 2010 y 2022 su población aumentó No disponible. El 44.2% reside en área urbana y el 55.8% en área rural. Estas proporciones determinan la escala y la distribución territorial de los servicios municipales.</w:t>
      </w:r>
    </w:p>
    <w:p>
      <w:r>
        <w:t>El diagnóstico registra 43.8% de hogares con agua del acueducto dentro de la vivienda, 81.2% con recogida municipal de residuos y 15.2% que los quema. El uso de internet alcanza 71.9%. Los capítulos siguientes presentan las cifras, sus fuentes y sus límites antes de la priorización del CDM.</w:t>
      </w:r>
    </w:p>
    <w:p>
      <w:r>
        <w:br w:type="page"/>
      </w:r>
    </w:p>
    <w:p>
      <w:pPr>
        <w:pStyle w:val="Heading1"/>
      </w:pPr>
      <w:r>
        <w:t>1. Información general</w:t>
      </w:r>
    </w:p>
    <w:p>
      <w:pPr>
        <w:pStyle w:val="Heading2"/>
      </w:pPr>
      <w:r>
        <w:t>1.1 Equipo de elaboración y participación del CDM</w:t>
      </w:r>
    </w:p>
    <w:p>
      <w:r>
        <w:t>La elaboración y gestión del PMD se organiza por responsabilidades institucionales. Esta forma de presentación mantiene claras las funciones durante todo el período del plan, aun cuando cambien las personas que ocupan los cargos. La representación comunitaria y sectorial se canaliza mediante el Consejo de Desarrollo Municipal (CDM), conforme a la Ley núm. 176-07.</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Instancia</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Responsabilidad en el PMD</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Alcaldía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Conducir políticamente el proceso, articular instituciones y presentar la programación anual vinculada al plan.</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Concejo de Regidores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Conocer, deliberar, aprobar y fiscalizar los instrumentos, presupuestos y ordenanzas que correspondan.</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Oficina Municipal de Planificación y Programación (OMPP)</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Coordinar el diagnóstico, la formulación, la programación, los indicadores y los informes de avance.</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Consejo de Desarrollo Municipal (CDM)</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Participar en la elaboración, discusión y seguimiento del plan; canalizar prioridades territoriales y sectoriales.</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Áreas técnicas municipales</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Aportar información y ejecutar acciones dentro de sus competencias.</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Representación social y económica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Aportar conocimiento local, contrastar prioridades y acompañar el seguimiento mediante el CDM.</w:t>
            </w:r>
          </w:p>
        </w:tc>
      </w:tr>
    </w:tbl>
    <w:p>
      <w:pPr>
        <w:spacing w:after="0"/>
      </w:pPr>
    </w:p>
    <w:p>
      <w:pPr>
        <w:pStyle w:val="SourceNote"/>
      </w:pPr>
      <w:r>
        <w:rPr>
          <w:rFonts w:ascii="Calibri" w:hAnsi="Calibri" w:eastAsia="Calibri"/>
          <w:b w:val="0"/>
          <w:i w:val="0"/>
          <w:color w:val="5E7076"/>
          <w:sz w:val="17"/>
        </w:rPr>
        <w:t>Fuente: Ley núm. 176-07 del Distrito Nacional y los Municipios, arts. 123–125; MEPyD, Guía para la formulación de planes de desarrollo municipales, pp. 21–22.</w:t>
      </w:r>
    </w:p>
    <w:p>
      <w:pPr>
        <w:pStyle w:val="Heading2"/>
      </w:pPr>
      <w:r>
        <w:t>1.2 Introducción y ¿qué es un PMD?</w:t>
      </w:r>
    </w:p>
    <w:p>
      <w:r>
        <w:t>El Plan Municipal de Desarrollo (PMD) es el instrumento que orienta las decisiones del ayuntamiento durante un período de cuatro años. Organiza una visión compartida del territorio, identifica sus condiciones y necesidades, define objetivos y convierte las prioridades en acciones que puedan relacionarse con el presupuesto, la gestión de servicios y la coordinación con el Gobierno central.</w:t>
      </w:r>
    </w:p>
    <w:p>
      <w:r>
        <w:t>El PMD no sustituye el presupuesto ni los planes operativos anuales: los articula. Cuando una necesidad corresponde a agua potable, salud, educación, carreteras u otra institución sectorial, el plan puede incorporarla como agenda de gestión y coordinación, con resultados e indicadores verificables.</w:t>
      </w:r>
    </w:p>
    <w:p>
      <w:pPr>
        <w:pStyle w:val="SourceNote"/>
      </w:pPr>
      <w:r>
        <w:rPr>
          <w:rFonts w:ascii="Calibri" w:hAnsi="Calibri" w:eastAsia="Calibri"/>
          <w:b w:val="0"/>
          <w:i w:val="0"/>
          <w:color w:val="5E7076"/>
          <w:sz w:val="17"/>
        </w:rPr>
        <w:t>Fuente: MEPyD, Guía para la formulación de planes de desarrollo municipales, pp. 19–21 y 46–49; Ley núm. 176-07, arts. 122–125.</w:t>
      </w:r>
    </w:p>
    <w:p>
      <w:pPr>
        <w:pStyle w:val="Heading2"/>
      </w:pPr>
      <w:r>
        <w:t>1.3 Identidad territorial, historia y configuración municipal</w:t>
      </w:r>
    </w:p>
    <w:p>
      <w:r>
        <w:t>La Mata forma parte de la provincia Sánchez Ramírez y de la región de planificación Cibao Sur. El código geográfico empleado es 02240004. La identificación territorial enlaza el clasificador geográfico, la cartografía, el Dashboard de Diagnóstico Territorial y las fuentes documentales.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La Mata</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Sánchez Ramírez</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Cibao Sur</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02240004</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190.5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201.4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r>
        <w:t>No se incorporó una reseña histórica detallada porque las fuentes disponibles no permitieron identificar un texto verificable. La OMPP debe completar este apartado con la norma de creación, el archivo municipal o una publicación histórica institucional.</w:t>
      </w:r>
    </w:p>
    <w:p>
      <w:pPr>
        <w:pStyle w:val="SourceNote"/>
      </w:pPr>
      <w:r>
        <w:rPr>
          <w:rFonts w:ascii="Calibri" w:hAnsi="Calibri" w:eastAsia="Calibri"/>
          <w:b w:val="0"/>
          <w:i w:val="0"/>
          <w:color w:val="5E7076"/>
          <w:sz w:val="17"/>
        </w:rPr>
        <w:t>Fuente: Wikipedia se utiliza como apoyo secundario para historia y geografía. Los documentos anteriores se citan con período y páginas; para municipios nuevos, un plan del antiguo distrito no se presenta como PMD histórico del municipio actual.</w:t>
      </w:r>
    </w:p>
    <w:p>
      <w:pPr>
        <w:pStyle w:val="Heading2"/>
      </w:pPr>
      <w:r>
        <w:t>1.4 Perfil municipal en cifras</w:t>
      </w:r>
    </w:p>
    <w:p>
      <w:r>
        <w:t>En 2022, La Mata registró 38,358 habitantes: 19,464 hombres (50.7%) y 18,894 mujeres (49.3%). Frente a los No disponible habitantes censados en 2010, la población creció No disponible. El cambio intercensal constituye la línea base para dimensionar servicios, infraestructura y demanda de suelo; no permite atribuir por sí solo causas de migración, fecundidad o movilidad residencial. [DASH-BASE]</w:t>
      </w:r>
    </w:p>
    <w:p>
      <w:r>
        <w:t>La distribución territorial muestra 16,954 habitantes en zona urbana (44.2%) y 21,404 en zona rural (55.8%). Esta relación debe considerarse al organizar rutas de servicios, mantenimiento vial, equipamientos y mecanismos de atención a comunidades dispersas. [DASH-URB]</w:t>
      </w:r>
    </w:p>
    <w:p>
      <w:r>
        <w:t>El municipio cuenta con 13,398 hogares y 38,284 personas residentes en hogares. El promedio es de 2.86 personas por hogar. El Censo registra 15,407 viviendas, de las cuales 13,301 estaban ocupadas y 2,073 desocupadas. [DASH-HOG] [DASH-BASE]</w:t>
      </w:r>
    </w:p>
    <w:p>
      <w:pPr>
        <w:pStyle w:val="Heading2"/>
      </w:pPr>
      <w:r>
        <w:t>1.5 Antecedentes de planificación</w:t>
      </w:r>
    </w:p>
    <w:p>
      <w:r>
        <w:t>No se localizó un PMD anterior del municipio actual en el inventario descargado. Esta ausencia en el repositorio no demuestra que el documento no exista.</w:t>
      </w:r>
    </w:p>
    <w:p>
      <w:r>
        <w:br w:type="page"/>
      </w:r>
    </w:p>
    <w:p>
      <w:pPr>
        <w:pStyle w:val="Heading2"/>
      </w:pPr>
      <w:r>
        <w:t>1.6 Marco jurídico</w:t>
      </w:r>
    </w:p>
    <w:p>
      <w:r>
        <w:t>El PMD se formula dentro del sistema jurídico dominicano de planificación y gestión territorial. Su aplicación exige coherencia entre el plan, el presupuesto municipal, los instrumentos de ordenamiento, las competencias sectoriales y los mecanismos de participación y control social.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100"/>
        <w:gridCol w:w="6260"/>
      </w:tblGrid>
      <w:tr>
        <w:trPr>
          <w:tblHeader w:val="true"/>
        </w:trPr>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Norma</w:t>
            </w:r>
          </w:p>
        </w:tc>
        <w:tc>
          <w:tcPr>
            <w:tcW w:type="dxa" w:w="6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Aplicación al Plan Municipal de Desarrollo</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Constitución de la República Dominicana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Reconoce la autonomía municipal y la planificación del desarrollo económico y social.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176-07 del Distrito Nacional y los Municipios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Define finalidad, elaboración, participación del CDM, coordinación de la OMPP, aprobación, vigencia y seguimiento del PMD.</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498-06 de Planificación e Inversión Pública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Articula planificación, programación institucional e inversión pública.</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1-12 de la Estrategia Nacional de Desarrollo 2030</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 objetivos nacionales de largo plazo para las políticas territoriales.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368-22 de Ordenamiento Territorial, Uso de Suelo y Asentamientos Humanos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Vincula los instrumentos municipales con el marco nacional de ordenamiento territorial.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64-00 de Medio Ambiente y Recursos Naturales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Sustenta la protección ambiental y la gestión de recursos naturales.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147-02 sobre Gestión de Riesgos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Integra prevención, reducción de riesgos y preparación ante emergencias.</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225-20 de Gestión Integral y Coprocesamiento de Residuos Sólidos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Orienta prevención, recolección, aprovechamiento y disposición final de residuos.</w:t>
            </w:r>
          </w:p>
        </w:tc>
      </w:tr>
    </w:tbl>
    <w:p>
      <w:pPr>
        <w:spacing w:after="0"/>
      </w:pPr>
    </w:p>
    <w:p>
      <w:r>
        <w:t>Conforme a los artículos 122 a 125 de la Ley núm. 176-07, la OMPP coordina la formulación y evaluación del PMD y el CDM participa en su elaboración, discusión y seguimiento.</w:t>
      </w:r>
    </w:p>
    <w:p>
      <w:pPr>
        <w:pStyle w:val="SourceNote"/>
      </w:pPr>
      <w:r>
        <w:rPr>
          <w:rFonts w:ascii="Calibri" w:hAnsi="Calibri" w:eastAsia="Calibri"/>
          <w:b w:val="0"/>
          <w:i w:val="0"/>
          <w:color w:val="5E7076"/>
          <w:sz w:val="17"/>
        </w:rPr>
        <w:t>Fuente: Ley núm. 176-07, arts. 122–125; leyes núm. 498-06, 1-12, 368-22, 64-00, 147-02 y 225-20.</w:t>
      </w:r>
    </w:p>
    <w:p>
      <w:r>
        <w:br w:type="page"/>
      </w:r>
    </w:p>
    <w:p>
      <w:pPr>
        <w:pStyle w:val="Heading2"/>
      </w:pPr>
      <w:r>
        <w:t>1.7 Metodología</w:t>
      </w:r>
    </w:p>
    <w:p>
      <w:r>
        <w:t>La elaboración sigue la Guía para la formulación de planes de desarrollo municipales publicada por el Ministerio de Economía, Planificación y Desarrollo (MEPyD). La guía organiza el proceso en cuatro etapas enlazadas:</w:t>
      </w:r>
    </w:p>
    <w:p>
      <w:pPr>
        <w:pStyle w:val="ListNumber"/>
      </w:pPr>
      <w:r>
        <w:t>Organización del proceso. Se conforma el equipo, se acuerdan responsabilidades entre Alcaldía, Concejo de Regidores, OMPP, áreas técnicas y CDM, y se prepara el plan de trabajo.</w:t>
      </w:r>
    </w:p>
    <w:p>
      <w:pPr>
        <w:pStyle w:val="ListNumber"/>
      </w:pPr>
      <w:r>
        <w:t>Diagnóstico municipal. Se reúnen y analizan datos estadísticos, cartografía, documentos municipales y conocimiento local. La evidencia permite describir fortalezas y debilidades para revisión del CDM.</w:t>
      </w:r>
    </w:p>
    <w:p>
      <w:pPr>
        <w:pStyle w:val="ListNumber"/>
      </w:pPr>
      <w:r>
        <w:t>Formulación estratégica. Con la participación del CDM se acuerdan visión, objetivos, resultados, líneas de acción, proyectos e indicadores.</w:t>
      </w:r>
    </w:p>
    <w:p>
      <w:pPr>
        <w:pStyle w:val="ListNumber"/>
      </w:pPr>
      <w:r>
        <w:t>Gestión de los instrumentos. El PMD aprobado se vincula con programación, presupuesto, ejecución, seguimiento, evaluación y rendición de cuentas.</w:t>
      </w:r>
    </w:p>
    <w:p>
      <w:pPr>
        <w:pStyle w:val="SourceNote"/>
      </w:pPr>
      <w:r>
        <w:rPr>
          <w:rFonts w:ascii="Calibri" w:hAnsi="Calibri" w:eastAsia="Calibri"/>
          <w:b w:val="0"/>
          <w:i w:val="0"/>
          <w:color w:val="5E7076"/>
          <w:sz w:val="17"/>
        </w:rPr>
        <w:t>Fuente: MEPyD, ¿Cómo elaborar un plan municipal de desarrollo? Guía para la formulación de planes de desarrollo municipales, pp. 19–49; Ley núm. 176-07, arts. 123–125.</w:t>
      </w:r>
    </w:p>
    <w:p>
      <w:r>
        <w:br w:type="page"/>
      </w:r>
    </w:p>
    <w:p>
      <w:pPr>
        <w:pStyle w:val="Heading1"/>
      </w:pPr>
      <w:r>
        <w:t>2. Diagnóstico municipal</w:t>
      </w:r>
    </w:p>
    <w:p>
      <w:r>
        <w:t>Las 8 páginas siguientes reproducen la exportación vigente del Dashboard Territorial. Presentan la línea base estadística antes de su interpretación narrativa e incorporan los indicadores demográficos, sociales, económicos, institucionales, ambientales y de inversión disponibles. Los datos conservan el año, la fuente y el ámbito territorial; cuando la fuente solo publica un total provincial, la página lo identifica como «Provincia completa» y no lo atribuye al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Bloque</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Demografía</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pirámides 2010/2022,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Cambio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Condiciones de vida</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energía, residuos, educación, salud y conectividad</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y brechas observadas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Resultados y riesgos</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Seguridad, movilidad, incendios, inclusión, primera infancia y deporte</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Dato municipal o contexto provincial, según la fuente</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Gestión e inversión</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Inversión territorial, SISMAP, obras viales y licencias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Magnitud, ejecución y capacidad institucional</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Comparación</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Municipio, provincia, región y país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Posición relativa sin convertirla automáticamente en prioridad</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691718"/>
            <wp:docPr id="1" name="Picture 1"/>
            <wp:cNvGraphicFramePr>
              <a:graphicFrameLocks noChangeAspect="1"/>
            </wp:cNvGraphicFramePr>
            <a:graphic>
              <a:graphicData uri="http://schemas.openxmlformats.org/drawingml/2006/picture">
                <pic:pic>
                  <pic:nvPicPr>
                    <pic:cNvPr id="0" name="dashboard-pdf-page-1.jpg"/>
                    <pic:cNvPicPr/>
                  </pic:nvPicPr>
                  <pic:blipFill>
                    <a:blip r:embed="rId11"/>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2" name="Picture 2"/>
            <wp:cNvGraphicFramePr>
              <a:graphicFrameLocks noChangeAspect="1"/>
            </wp:cNvGraphicFramePr>
            <a:graphic>
              <a:graphicData uri="http://schemas.openxmlformats.org/drawingml/2006/picture">
                <pic:pic>
                  <pic:nvPicPr>
                    <pic:cNvPr id="0" name="dashboard-pdf-page-2.jpg"/>
                    <pic:cNvPicPr/>
                  </pic:nvPicPr>
                  <pic:blipFill>
                    <a:blip r:embed="rId12"/>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3" name="Picture 3"/>
            <wp:cNvGraphicFramePr>
              <a:graphicFrameLocks noChangeAspect="1"/>
            </wp:cNvGraphicFramePr>
            <a:graphic>
              <a:graphicData uri="http://schemas.openxmlformats.org/drawingml/2006/picture">
                <pic:pic>
                  <pic:nvPicPr>
                    <pic:cNvPr id="0" name="dashboard-pdf-page-3.jpg"/>
                    <pic:cNvPicPr/>
                  </pic:nvPicPr>
                  <pic:blipFill>
                    <a:blip r:embed="rId13"/>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4" name="Picture 4"/>
            <wp:cNvGraphicFramePr>
              <a:graphicFrameLocks noChangeAspect="1"/>
            </wp:cNvGraphicFramePr>
            <a:graphic>
              <a:graphicData uri="http://schemas.openxmlformats.org/drawingml/2006/picture">
                <pic:pic>
                  <pic:nvPicPr>
                    <pic:cNvPr id="0" name="dashboard-pdf-page-4.jpg"/>
                    <pic:cNvPicPr/>
                  </pic:nvPicPr>
                  <pic:blipFill>
                    <a:blip r:embed="rId14"/>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5" name="Picture 5"/>
            <wp:cNvGraphicFramePr>
              <a:graphicFrameLocks noChangeAspect="1"/>
            </wp:cNvGraphicFramePr>
            <a:graphic>
              <a:graphicData uri="http://schemas.openxmlformats.org/drawingml/2006/picture">
                <pic:pic>
                  <pic:nvPicPr>
                    <pic:cNvPr id="0" name="dashboard-pdf-page-5.jpg"/>
                    <pic:cNvPicPr/>
                  </pic:nvPicPr>
                  <pic:blipFill>
                    <a:blip r:embed="rId15"/>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6" name="Picture 6"/>
            <wp:cNvGraphicFramePr>
              <a:graphicFrameLocks noChangeAspect="1"/>
            </wp:cNvGraphicFramePr>
            <a:graphic>
              <a:graphicData uri="http://schemas.openxmlformats.org/drawingml/2006/picture">
                <pic:pic>
                  <pic:nvPicPr>
                    <pic:cNvPr id="0" name="dashboard-pdf-page-6.jpg"/>
                    <pic:cNvPicPr/>
                  </pic:nvPicPr>
                  <pic:blipFill>
                    <a:blip r:embed="rId16"/>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7" name="Picture 7"/>
            <wp:cNvGraphicFramePr>
              <a:graphicFrameLocks noChangeAspect="1"/>
            </wp:cNvGraphicFramePr>
            <a:graphic>
              <a:graphicData uri="http://schemas.openxmlformats.org/drawingml/2006/picture">
                <pic:pic>
                  <pic:nvPicPr>
                    <pic:cNvPr id="0" name="dashboard-pdf-page-7.jpg"/>
                    <pic:cNvPicPr/>
                  </pic:nvPicPr>
                  <pic:blipFill>
                    <a:blip r:embed="rId17"/>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8" name="Picture 8"/>
            <wp:cNvGraphicFramePr>
              <a:graphicFrameLocks noChangeAspect="1"/>
            </wp:cNvGraphicFramePr>
            <a:graphic>
              <a:graphicData uri="http://schemas.openxmlformats.org/drawingml/2006/picture">
                <pic:pic>
                  <pic:nvPicPr>
                    <pic:cNvPr id="0" name="dashboard-pdf-page-8.jpg"/>
                    <pic:cNvPicPr/>
                  </pic:nvPicPr>
                  <pic:blipFill>
                    <a:blip r:embed="rId18"/>
                    <a:stretch>
                      <a:fillRect/>
                    </a:stretch>
                  </pic:blipFill>
                  <pic:spPr>
                    <a:xfrm>
                      <a:off x="0" y="0"/>
                      <a:ext cx="5943600" cy="7691718"/>
                    </a:xfrm>
                    <a:prstGeom prst="rect"/>
                  </pic:spPr>
                </pic:pic>
              </a:graphicData>
            </a:graphic>
          </wp:inline>
        </w:drawing>
      </w:r>
    </w:p>
    <w:p>
      <w:pPr>
        <w:pStyle w:val="SourceNote"/>
      </w:pPr>
      <w:r>
        <w:rPr>
          <w:rFonts w:ascii="Calibri" w:hAnsi="Calibri" w:eastAsia="Calibri"/>
          <w:b w:val="0"/>
          <w:i w:val="0"/>
          <w:color w:val="5E7076"/>
          <w:sz w:val="17"/>
        </w:rPr>
        <w:t>Fuente: DDPT, Dashboard Territorial, ficha de La Mata. Exportación generada el 2026-08-02.</w:t>
      </w:r>
    </w:p>
    <w:p>
      <w:r>
        <w:br w:type="page"/>
      </w:r>
    </w:p>
    <w:p>
      <w:pPr>
        <w:pStyle w:val="Heading1"/>
      </w:pPr>
      <w:r>
        <w:t>2. Diagnóstico municipal: lectura e interpretación</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La Mata se distribuye aproximadamente en 25.2% de población menor de 15 años, 64.0% entre 15 y 64 años y 10.8% de 65 años o más. La relación de dependencia demográfica estimada es de 56.2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44.2% y el tamaño medio de los hogares es 2.86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43.8% de los hogares declara recibir agua del acueducto dentro de la vivienda, frente a 62.7% a escala nacional. Para agua de beber, el uso de botellones representa 89.3%. La comparación sugiere una condición de acceso físico y un patrón de consumo, pero no informa continuidad, presión, potabilidad ni costo. Esos cuatro aspectos deben verificarse antes de formular intervenciones. [DASH-VIDA]</w:t>
      </w:r>
    </w:p>
    <w:p>
      <w:r>
        <w:t>En saneamiento, 75.9% de los hogares reporta inodoro y 5.1%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98.6% de los hogares. La recogida de residuos por el ayuntamiento alcanza 81.2%, mientras 15.2% declara quemarlos. El gas propano es el combustible principal de cocina en 89.8%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No disponible centros y 0 matrículas agregadas. De ellas, No disponible corresponden a inicial/primario, No disponible a secundario y No disponible a educación de adultos. La cobertura corresponde a la asociación territorial usada por el Dashboard y debe verificarse cuando el distrito educativo abarque más de un municipio. [DASH-EDU]</w:t>
      </w:r>
    </w:p>
    <w:p>
      <w:r>
        <w:t>Entre la población de referencia de tres años o más, 10.4% aparece sin nivel de instrucción y 42.3%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94.4% en primaria y 86.2% en secundaria; el abandono reportado en secundaria es 5.0%.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118 establecimientos y un empleo estimado de 1,590.5, equivalente a 13.5 empleos por establecimiento. Los establecimientos de 1 a 10 personas representan 80.5% del total. Esto caracteriza la estructura formal observada por el DEE; no incluye necesariamente toda la economía informal, el autoempleo ni la producción agropecuaria familiar. [DASH-ECO]</w:t>
      </w:r>
    </w:p>
    <w:p>
      <w:r>
        <w:t>Las actividades con mayor empleo estimado en la fuente son Administración pública y defensa; planes de seguridad social de afiliación obligatoria (594.8 empleos estimados); Industrias manufactureras (432.6 empleos estimados); Comercio al por mayor y al por menor; reparación de vehículos automotores y motocicletas (313.3 empleos estimados). La mayor especialización relativa se observa en Actividades de los hogares como empleadores; actividades no diferenciadas de los hogares como productores de bienes y servicios para uso propio (cociente de localización 30.45). El cociente de localización compara concentración relativa, no productividad ni competitividad. [DASH-ECO]</w:t>
      </w:r>
    </w:p>
    <w:p>
      <w:pPr>
        <w:pStyle w:val="Heading2"/>
      </w:pPr>
      <w:r>
        <w:t>2.5 Salud, conectividad y acceso a información</w:t>
      </w:r>
    </w:p>
    <w:p>
      <w:r>
        <w:t>El Dashboard registra 12 establecimientos de salud en el municipio. La composición principal es: Centro De Primer Nivel: 10, Hospital Mediana Complejidad: 1, Centro Diagnostico: 1. Este conteo informa presencia física, no cartera de servicios, personal, horario, capacidad, calidad ni accesibilidad efectiva. La planificación municipal debe validar esos elementos con el Servicio Nacional de Salud. [DASH-SALUD]</w:t>
      </w:r>
    </w:p>
    <w:p>
      <w:r>
        <w:t>El uso de internet alcanza 71.9% y el de computadora 9.2%.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Las fuentes estadísticas utilizadas no describen con suficiente detalle uso del suelo, riesgos, hidrología, residuos, movilidad o estado de la infraestructura. Este apartado debe completarse con cartografía oficial, instrumentos ambientales y verificación técnica municipal; no se agregaron afirmaciones de prensa ni datos no comprobables.</w:t>
      </w:r>
    </w:p>
    <w:p>
      <w:pPr>
        <w:pStyle w:val="Heading2"/>
      </w:pPr>
      <w:r>
        <w:t>2.7 Indicadores territoriales adicionales</w:t>
      </w:r>
    </w:p>
    <w:p>
      <w:r>
        <w:t>El Dashboard Territorial amplía la línea base con registros administrativos recientes. La columna de ámbito es parte del dato: los valores provinciales sirven como contexto y no describen por sí solos la situación exclusiva del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2200"/>
        <w:gridCol w:w="2020"/>
        <w:gridCol w:w="1300"/>
        <w:gridCol w:w="164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Indicador</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 publicado</w:t>
            </w:r>
          </w:p>
        </w:tc>
        <w:tc>
          <w:tcPr>
            <w:tcW w:type="dxa" w:w="20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Ámbito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Período</w:t>
            </w:r>
          </w:p>
        </w:tc>
        <w:tc>
          <w:tcPr>
            <w:tcW w:type="dxa" w:w="16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Instalaciones deportivas registradas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0 instalaciones; 0.0 por 10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La Mata</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instalaciones deportivas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Puntuación SISMAP Municipal</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30.0 / 100</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La Mata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2026-07-31</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SISMAP Municipal</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Licencias de construcción</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1 licencias; 218 m²; inversión RD$ 13,421,408</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La Mata</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1 de enero–30 de junio de 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licencias emitidas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Robos reportados</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52 casos; 32.0 por 100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Sánchez Ramírez;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Enero–junio de 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robos reportados</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Homicidios intencionales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10 casos; 6.1 por 100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Sánchez Ramírez;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ONE · muertes accidentales y violentas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Fallecimientos de tránsito</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14 personas; 8.6 por 100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Sánchez Ramírez;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Enero–junio de 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fallecimientos de tránsito</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Hacinamiento extremo o moderado</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10.9%</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Sánchez Ramírez;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hacinamiento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Personas con discapacidad en ICV-1 o ICV-2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52.6%</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Sánchez Ramírez;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discapacidad por provincia</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Registros de nacimiento</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2,204 registros; 13.6 por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Sánchez Ramírez;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provincia de registro</w:t>
            </w:r>
          </w:p>
        </w:tc>
      </w:tr>
    </w:tbl>
    <w:p>
      <w:pPr>
        <w:spacing w:after="0"/>
      </w:pPr>
    </w:p>
    <w:p>
      <w:pPr>
        <w:pStyle w:val="SourceNote"/>
      </w:pPr>
      <w:r>
        <w:rPr>
          <w:rFonts w:ascii="Calibri" w:hAnsi="Calibri" w:eastAsia="Calibri"/>
          <w:b w:val="0"/>
          <w:i w:val="0"/>
          <w:color w:val="5E7076"/>
          <w:sz w:val="17"/>
        </w:rPr>
        <w:t>Fuente: DDPT, Dashboard Territorial, dataset generado el 2026-08-01T15:52:35.655Z. La ausencia de registros no se interpreta automáticamente como cero.</w:t>
      </w:r>
    </w:p>
    <w:p>
      <w:pPr>
        <w:pStyle w:val="Heading1"/>
      </w:pPr>
      <w:r>
        <w:t>3. Fortalezas y debilidades basadas en el diagnóstico</w:t>
      </w:r>
    </w:p>
    <w:p>
      <w:r>
        <w:t>La clasificación siguiente utiliza únicamente indicadores comparables del diagnóstico. Se considera diferencia relevante una separación de al menos dos puntos porcentuales frente al promedio nacional. El crecimiento poblacional, el número absoluto de establecimientos y otros datos sin denominador comparable no se clasifican automáticamente como fortalezas o debilidades.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Las fuentes comparables disponibles no permiten clasificar una fortaleza cuantitativa con una diferencia mínima de 2 puntos porcentuales frente al promedio nacional.</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43.8%; promedio nacional: 62.7% (-18.8 puntos porcentuales).</w:t>
              <w:br/>
              <w:t>• Recogida de residuos por el ayuntamiento: 81.2%; promedio nacional: 85.9% (-4.8 puntos porcentuales).</w:t>
              <w:br/>
              <w:t>• Hogares con inodoro: 75.9%; promedio nacional: 87.0% (-11.2 puntos porcentuales).</w:t>
              <w:br/>
              <w:t>• Uso de internet: 71.9%; promedio nacional: 79.0% (-7.1 puntos porcentuales).</w:t>
            </w:r>
          </w:p>
        </w:tc>
      </w:tr>
    </w:tbl>
    <w:p>
      <w:pPr>
        <w:spacing w:after="0"/>
      </w:pPr>
    </w:p>
    <w:p>
      <w:pPr>
        <w:pStyle w:val="SourceNote"/>
      </w:pPr>
      <w:r>
        <w:rPr>
          <w:rFonts w:ascii="Calibri" w:hAnsi="Calibri" w:eastAsia="Calibri"/>
          <w:b w:val="0"/>
          <w:i w:val="0"/>
          <w:color w:val="5E7076"/>
          <w:sz w:val="17"/>
        </w:rPr>
        <w:t>Fuente: ONE, X Censo Nacional de Población y Vivienda 2022; comparación con los agregados nacionales del Dashboard. La regla de ±2 puntos porcentuales se aplica de manera uniforme.</w:t>
      </w:r>
    </w:p>
    <w:p>
      <w:pPr>
        <w:pStyle w:val="Heading2"/>
      </w:pPr>
      <w:r>
        <w:t>3.1 Situaciones del diagnóstico para priorización</w:t>
      </w:r>
    </w:p>
    <w:p>
      <w:r>
        <w:t>Los hallazgos siguientes resumen situaciones verificables. No se les asigna orden de prioridad; el CDM debe contrastarlos con la experiencia de barrios, comunidades y sectores.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5100"/>
        <w:gridCol w:w="206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5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Situación observada</w:t>
            </w:r>
          </w:p>
        </w:tc>
        <w:tc>
          <w:tcPr>
            <w:tcW w:type="dxa" w:w="2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No disponible; urbanización de 44.2%.</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43.8%; hogares sin sanitario: 5.1%.</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81.2%; quema: 15.2%.</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5.0%.</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80.5% de los establecimientos observados son micro (1–10).</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71.9%; computadora: 9.2%.</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1"/>
      </w:pPr>
      <w:r>
        <w:t>4. Visión Municipal</w:t>
      </w:r>
    </w:p>
    <w:p>
      <w:r>
        <w:t>La visión municipal, los objetivos y los resultados expresan acuerdos políticos y sociales. Deben surgir de la participación del CDM y ser aprobados mediante el procedimiento municipal correspondiente. La fila siguiente muestra únicamente el formato de registro.</w:t>
      </w:r>
    </w:p>
    <w:p>
      <w:pPr>
        <w:pStyle w:val="Heading2"/>
      </w:pPr>
      <w:r>
        <w:t>4.1 Ejemplo de registro de una visión y un objetivo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60"/>
        <w:gridCol w:w="3740"/>
        <w:gridCol w:w="3360"/>
      </w:tblGrid>
      <w:tr>
        <w:trPr>
          <w:tblHeader w:val="true"/>
        </w:trPr>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37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Visión / tema</w:t>
            </w:r>
          </w:p>
        </w:tc>
        <w:tc>
          <w:tcPr>
            <w:tcW w:type="dxa" w:w="33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Objetivo / resultado</w:t>
            </w:r>
          </w:p>
        </w:tc>
      </w:tr>
      <w:tr>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3740"/>
            <w:vAlign w:val="top"/>
            <w:tcMar>
              <w:top w:w="80" w:type="dxa"/>
              <w:start w:w="120" w:type="dxa"/>
              <w:bottom w:w="80" w:type="dxa"/>
              <w:end w:w="120" w:type="dxa"/>
            </w:tcMar>
          </w:tcPr>
          <w:p>
            <w:pPr>
              <w:spacing w:after="0"/>
            </w:pPr>
            <w:r>
              <w:rPr>
                <w:rFonts w:ascii="Calibri" w:hAnsi="Calibri" w:eastAsia="Calibri"/>
                <w:b w:val="0"/>
                <w:i w:val="0"/>
                <w:color w:val="203740"/>
                <w:sz w:val="17"/>
              </w:rPr>
              <w:t>“En 2028, La Mata avanza como un municipio que mejora de manera equitativa sus servicios y protege los recursos de su territorio.”</w:t>
            </w:r>
          </w:p>
        </w:tc>
        <w:tc>
          <w:tcPr>
            <w:tcW w:type="dxa" w:w="3360"/>
            <w:vAlign w:val="top"/>
            <w:tcMar>
              <w:top w:w="80" w:type="dxa"/>
              <w:start w:w="120" w:type="dxa"/>
              <w:bottom w:w="80" w:type="dxa"/>
              <w:end w:w="120" w:type="dxa"/>
            </w:tcMar>
          </w:tcPr>
          <w:p>
            <w:pPr>
              <w:spacing w:after="0"/>
            </w:pPr>
            <w:r>
              <w:rPr>
                <w:rFonts w:ascii="Calibri" w:hAnsi="Calibri" w:eastAsia="Calibri"/>
                <w:b w:val="0"/>
                <w:i w:val="0"/>
                <w:color w:val="203740"/>
                <w:sz w:val="17"/>
              </w:rPr>
              <w:t>Ejemplo: mejorar un servicio priorizado por el CDM, usando un indicador del diagnóstico para fijar la línea base y medir el resultado.</w:t>
            </w:r>
          </w:p>
        </w:tc>
      </w:tr>
    </w:tbl>
    <w:p>
      <w:pPr>
        <w:spacing w:after="0"/>
      </w:pPr>
    </w:p>
    <w:p>
      <w:pPr>
        <w:pStyle w:val="SourceNote"/>
      </w:pPr>
      <w:r>
        <w:rPr>
          <w:rFonts w:ascii="Calibri" w:hAnsi="Calibri" w:eastAsia="Calibri"/>
          <w:b w:val="0"/>
          <w:i w:val="0"/>
          <w:color w:val="5E7076"/>
          <w:sz w:val="17"/>
        </w:rPr>
        <w:t>Fuente: MEPyD, Guía para la formulación de planes de desarrollo municipales, formulación estratégica, pp. 33–45.</w:t>
      </w:r>
    </w:p>
    <w:p>
      <w:r>
        <w:br w:type="page"/>
      </w:r>
    </w:p>
    <w:p>
      <w:pPr>
        <w:pStyle w:val="Heading1"/>
      </w:pPr>
      <w:r>
        <w:t>5. Inversión pública</w:t>
      </w:r>
    </w:p>
    <w:p>
      <w:r>
        <w:t>Con corte al 2026-08-02, MapaInversiones registra 8 proyectos en ejecución o reprogramados con identificación territorial específica para La Mata. La programación presupuestaria 2026 asociada suma RD$ 154,744,954 y la ejecución registrada suma RD$ 78,965,234. Estos proyectos pertenecen a instituciones públicas y no constituyen por sí mismos acuerdos, compromisos ni proyectos aprobados por el CDM o el ayuntamiento.</w:t>
      </w:r>
    </w:p>
    <w:p>
      <w:pPr>
        <w:pStyle w:val="SourceNote"/>
      </w:pPr>
      <w:r>
        <w:rPr>
          <w:rFonts w:ascii="Calibri" w:hAnsi="Calibri" w:eastAsia="Calibri"/>
          <w:b w:val="0"/>
          <w:i w:val="0"/>
          <w:color w:val="5E7076"/>
          <w:sz w:val="17"/>
        </w:rPr>
        <w:t>Fuente: MapaInversiones, datos abiertos 2026 y perfiles oficiales de proyectos, https://mapainversiones.gob.do/. Se incluyen únicamente proyectos con alcance municipal específico y estado EJECUCIÓN o REPROGRAMAR; los proyectos nacionales o provinciales sin municipio confirmado no se asignan artificialmente. Los importes se presentan en pesos dominicanos nominales, exactamente en la unidad publicada por la fuente y sin aplicar multiplicadores; los valores inusualmente bajos deben confirmarse en el perfil oficial.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540"/>
        <w:gridCol w:w="1980"/>
        <w:gridCol w:w="1500"/>
        <w:gridCol w:w="1170"/>
        <w:gridCol w:w="1170"/>
      </w:tblGrid>
      <w:tr>
        <w:trPr>
          <w:tblHeader w:val="true"/>
        </w:trPr>
        <w:tc>
          <w:tcPr>
            <w:tcW w:type="dxa" w:w="35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Proyecto</w:t>
            </w:r>
          </w:p>
        </w:tc>
        <w:tc>
          <w:tcPr>
            <w:tcW w:type="dxa" w:w="19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Institución</w:t>
            </w:r>
          </w:p>
        </w:tc>
        <w:tc>
          <w:tcPr>
            <w:tcW w:type="dxa" w:w="1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Estado / período</w:t>
            </w:r>
          </w:p>
        </w:tc>
        <w:tc>
          <w:tcPr>
            <w:tcW w:type="dxa" w:w="117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Asignación 2026 (RD$)</w:t>
            </w:r>
          </w:p>
        </w:tc>
        <w:tc>
          <w:tcPr>
            <w:tcW w:type="dxa" w:w="117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Ejecutado 2026 (RD$)</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 LA INFRAESTRUCTURA VIAL URBANA DEL MUNICIPIO VILLA LA MATA, PROVINCIA SANCHEZ RAMIREZ</w:t>
              <w:br/>
              <w:t>SNIP 15942 · Ficha 6213</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MINISTERIO DE OBRAS PUBLICAS Y COMUNICACIONES</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90,000,019</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71,398,148</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CONSTRUCCIÓN DE MUROS DE GAVIONES EN EL MARGEN DEL RIO CAMÚ, AFECTADO POR EL DISTURBIO TROPICAL NO.22, CARRETERA LA BIJA - PIMENTEL, MUNICIPIO VILLA LA MATA, PROVINCIA SÁNCHEZ RAMÍREZ</w:t>
              <w:br/>
              <w:t>SNIP 16825 · Ficha 7901</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MINISTERIO DE OBRAS PUBLICAS Y COMUNICACIONES</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2024–2027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38,981,691</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CAMPO DE BÉISBOL HOYO DE ORO, D.M ANGELINA, MUNICIPIO VILLA LA MATA, PROVINCIA SÁNCHEZ RAMÍREZ</w:t>
              <w:br/>
              <w:t>SNIP 17275 · Ficha 8995</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COMISIÓN PRESIDENCIAL DE APOYO AL DESARROLLO PROVINCIAL</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2026–2027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12,677,137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PROYECTO AGRARIO, MUNICIPIO LA MATA, PROVINCIA SANCHEZ RAMIREZ.</w:t>
              <w:br/>
              <w:t>SNIP 16008 · Ficha 7501</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DIRECCION DE INFRAESTRUCTURA ESCOLAR</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6,185,460</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2,872,201</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PROF. EUGENIO GENAO REYES, MUNICIPIO LA MATA, PROVINCIA SANCHEZ RAMIREZ.</w:t>
              <w:br/>
              <w:t>SNIP 16007 · Ficha 7500</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DIRECCION DE INFRAESTRUCTURA ESCOLAR</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3,189,347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1,699,203</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EMILIO ANTONIO GARCÍA, MUNICIPIO LA MATA, PROVINCIA SANCHEZ RAMIREZ.</w:t>
              <w:br/>
              <w:t>SNIP 15979 · Ficha 7472</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DIRECCION DE INFRAESTRUCTURA ESCOLAR</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1,674,748</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1,674,747</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LA SOLEDAD, MUNICIPIO LA MATA, PROVINCIA SANCHEZ RAMIREZ.</w:t>
              <w:br/>
              <w:t>SNIP 15994 · Ficha 7487</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DIRECCION DE INFRAESTRUCTURA ESCOLAR</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1,514,598</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1,183,160</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ALTAGRACIA LEONOR PEGUERO, MUNICIPIO LA MATA, PROVINCIA SANCHEZ RAMIREZ.</w:t>
              <w:br/>
              <w:t>SNIP 15980 · Ficha 7473</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DIRECCION DE INFRAESTRUCTURA ESCOLAR</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521,954</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137,774</w:t>
            </w:r>
          </w:p>
        </w:tc>
      </w:tr>
    </w:tbl>
    <w:p>
      <w:pPr>
        <w:spacing w:after="0"/>
      </w:pPr>
    </w:p>
    <w:p>
      <w:pPr>
        <w:pStyle w:val="Heading1"/>
      </w:pPr>
      <w:r>
        <w:t>6. Plan de acción a acordar por el CDM</w:t>
      </w:r>
    </w:p>
    <w:p>
      <w:r>
        <w:t>La fila siguiente sirve únicamente para mostrar cómo convertir un acuerdo futuro del CDM en una acción con línea base, indicador y decisiones verificables.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920"/>
        <w:gridCol w:w="2320"/>
        <w:gridCol w:w="2520"/>
        <w:gridCol w:w="2600"/>
      </w:tblGrid>
      <w:tr>
        <w:trPr>
          <w:tblHeader w:val="true"/>
        </w:trPr>
        <w:tc>
          <w:tcPr>
            <w:tcW w:type="dxa" w:w="19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23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Acción</w:t>
            </w:r>
          </w:p>
        </w:tc>
        <w:tc>
          <w:tcPr>
            <w:tcW w:type="dxa" w:w="25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Línea base e indicador</w:t>
            </w:r>
          </w:p>
        </w:tc>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Decisiones que debe tomar el CDM</w:t>
            </w:r>
          </w:p>
        </w:tc>
      </w:tr>
      <w:tr>
        <w:tc>
          <w:tcPr>
            <w:tcW w:type="dxa" w:w="192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2320"/>
            <w:vAlign w:val="top"/>
            <w:tcMar>
              <w:top w:w="80" w:type="dxa"/>
              <w:start w:w="120" w:type="dxa"/>
              <w:bottom w:w="80" w:type="dxa"/>
              <w:end w:w="120" w:type="dxa"/>
            </w:tcMar>
          </w:tcPr>
          <w:p>
            <w:pPr>
              <w:spacing w:after="0"/>
            </w:pPr>
            <w:r>
              <w:rPr>
                <w:rFonts w:ascii="Calibri" w:hAnsi="Calibri" w:eastAsia="Calibri"/>
                <w:b w:val="0"/>
                <w:i w:val="0"/>
                <w:color w:val="203740"/>
                <w:sz w:val="17"/>
              </w:rPr>
              <w:t>Mejoramiento de la gestión integral de residuos.</w:t>
            </w:r>
          </w:p>
        </w:tc>
        <w:tc>
          <w:tcPr>
            <w:tcW w:type="dxa" w:w="2520"/>
            <w:vAlign w:val="top"/>
            <w:tcMar>
              <w:top w:w="80" w:type="dxa"/>
              <w:start w:w="120" w:type="dxa"/>
              <w:bottom w:w="80" w:type="dxa"/>
              <w:end w:w="120" w:type="dxa"/>
            </w:tcMar>
          </w:tcPr>
          <w:p>
            <w:pPr>
              <w:spacing w:after="0"/>
            </w:pPr>
            <w:r>
              <w:rPr>
                <w:rFonts w:ascii="Calibri" w:hAnsi="Calibri" w:eastAsia="Calibri"/>
                <w:b w:val="0"/>
                <w:i w:val="0"/>
                <w:color w:val="203740"/>
                <w:sz w:val="17"/>
              </w:rPr>
              <w:t>Línea base 2022: 81.2% de hogares con recogida municipal y 15.2% que quema residuos.</w:t>
            </w:r>
          </w:p>
        </w:tc>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Alcance territorial, resultado, meta, plazo, responsables, costo, financiamiento y coordinación institucional.</w:t>
            </w:r>
          </w:p>
        </w:tc>
      </w:tr>
    </w:tbl>
    <w:p>
      <w:pPr>
        <w:spacing w:after="0"/>
      </w:pPr>
    </w:p>
    <w:p>
      <w:pPr>
        <w:pStyle w:val="SourceNote"/>
      </w:pPr>
      <w:r>
        <w:rPr>
          <w:rFonts w:ascii="Calibri" w:hAnsi="Calibri" w:eastAsia="Calibri"/>
          <w:b w:val="0"/>
          <w:i w:val="0"/>
          <w:color w:val="5E7076"/>
          <w:sz w:val="17"/>
        </w:rPr>
        <w:t>Fuente: ONE, Censo 2022 cuando existe ficha municipal; MEPyD, Guía para la formulación de planes de desarrollo municipales, pp. 33–49.</w:t>
      </w:r>
    </w:p>
    <w:p>
      <w:r>
        <w:br w:type="page"/>
      </w:r>
    </w:p>
    <w:p>
      <w:pPr>
        <w:pStyle w:val="Heading1"/>
      </w:pPr>
      <w:r>
        <w:t>Fuentes y trazabilidad</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MAPA-IP</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MapaInversiones: datos abiertos y perfiles de proyectos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8 proyectos con alcance municipal específico; corte 2026-08-02</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 si perfil oficial; media si nombre del proyecto</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DASH-TERR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DDPT Dashboard Territorial: indicadores administrativos y comparación territorial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2026-08-01</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 y provincial; ámbito rotulado en cada indicador</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 / según fuente oficial enlazada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IX y X Censos Nacionales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IX y X Censos: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Wikipedia en español: La Mata (República Dominicana)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2026-08-02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Baja / secundaria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documento anterior, el rango de páginas y su alcance territorial se consignan en el párrafo correspondiente.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La Mata, Sánchez Ramírez · PMD 2025-2028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La Mata · 02240004</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Municipal de Desarrollo de La Mata 2025-2028</dc:title>
  <dc:subject>Información general, diagnóstico territorial e inversión pública municipal con trazabilidad</dc:subject>
  <dc:creator>DDPT</dc:creator>
  <cp:keywords>PMD, municipio, diagnóstico, OMPP, CDM, trazabilidad</cp:keywords>
  <dc:description>generated by python-docx</dc:description>
  <cp:lastModifiedBy/>
  <cp:revision>1</cp:revision>
  <dcterms:created xsi:type="dcterms:W3CDTF">2013-12-23T23:15:00Z</dcterms:created>
  <dcterms:modified xsi:type="dcterms:W3CDTF">2013-12-23T23:15:00Z</dcterms:modified>
  <cp:category/>
</cp:coreProperties>
</file>