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0"/>
      </w:pPr>
    </w:p>
    <w:p>
      <w:pPr>
        <w:spacing w:after="360"/>
        <w:jc w:val="center"/>
      </w:pPr>
      <w:r>
        <w:rPr>
          <w:rFonts w:ascii="Calibri" w:hAnsi="Calibri" w:eastAsia="Calibri"/>
          <w:b/>
          <w:i w:val="0"/>
          <w:color w:val="A27719"/>
          <w:sz w:val="20"/>
        </w:rPr>
        <w:t>REPÚBLICA DOMINICANA · PLANIFICACIÓN MUNICIPAL</w:t>
      </w:r>
    </w:p>
    <w:p>
      <w:pPr>
        <w:spacing w:after="200"/>
        <w:jc w:val="center"/>
      </w:pPr>
      <w:r>
        <w:rPr>
          <w:rFonts w:ascii="Calibri" w:hAnsi="Calibri" w:eastAsia="Calibri"/>
          <w:b/>
          <w:i w:val="0"/>
          <w:color w:val="203740"/>
          <w:sz w:val="58"/>
        </w:rPr>
        <w:t>Plan Municipal de Desarrollo</w:t>
      </w:r>
    </w:p>
    <w:p>
      <w:pPr>
        <w:spacing w:after="100"/>
        <w:jc w:val="center"/>
      </w:pPr>
      <w:r>
        <w:rPr>
          <w:rFonts w:ascii="Calibri" w:hAnsi="Calibri" w:eastAsia="Calibri"/>
          <w:b/>
          <w:i w:val="0"/>
          <w:color w:val="14866D"/>
          <w:sz w:val="40"/>
        </w:rPr>
        <w:t>Villa Altagracia</w:t>
      </w:r>
    </w:p>
    <w:p>
      <w:pPr>
        <w:spacing w:after="600"/>
        <w:jc w:val="center"/>
      </w:pPr>
      <w:r>
        <w:rPr>
          <w:rFonts w:ascii="Calibri" w:hAnsi="Calibri" w:eastAsia="Calibri"/>
          <w:b w:val="0"/>
          <w:i w:val="0"/>
          <w:color w:val="5E7076"/>
          <w:sz w:val="24"/>
        </w:rPr>
        <w:t>San Cristóbal · Región Valdesia</w:t>
      </w:r>
    </w:p>
    <w:p>
      <w:pPr>
        <w:spacing w:after="1400"/>
        <w:jc w:val="center"/>
      </w:pPr>
      <w:r>
        <w:rPr>
          <w:rFonts w:ascii="Calibri" w:hAnsi="Calibri" w:eastAsia="Calibri"/>
          <w:b/>
          <w:i w:val="0"/>
          <w:color w:val="2F6CC6"/>
          <w:sz w:val="32"/>
        </w:rPr>
        <w:t>2025-2028</w:t>
      </w:r>
    </w:p>
    <w:p>
      <w:pPr>
        <w:spacing w:before="440"/>
        <w:jc w:val="center"/>
      </w:pPr>
      <w:r>
        <w:rPr>
          <w:rFonts w:ascii="Calibri" w:hAnsi="Calibri" w:eastAsia="Calibri"/>
          <w:b w:val="0"/>
          <w:i w:val="0"/>
          <w:color w:val="5E7076"/>
          <w:sz w:val="18"/>
        </w:rPr>
        <w:t>Código geográfico 05210005</w:t>
      </w:r>
    </w:p>
    <w:p>
      <w:r>
        <w:br w:type="page"/>
      </w:r>
    </w:p>
    <w:p>
      <w:pPr>
        <w:pStyle w:val="Heading1"/>
      </w:pPr>
      <w:r>
        <w:t>Contenido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900"/>
        <w:gridCol w:w="8460"/>
      </w:tblGrid>
      <w:tr>
        <w:trPr>
          <w:tblHeader w:val="true"/>
        </w:trPr>
        <w:tc>
          <w:tcPr>
            <w:tcW w:type="dxa" w:w="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Parte</w:t>
            </w:r>
          </w:p>
        </w:tc>
        <w:tc>
          <w:tcPr>
            <w:tcW w:type="dxa" w:w="8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Contenido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1</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Información general: equipo, introducción, identidad territorial, antecedentes, marco jurídico y metodología.</w:t>
            </w:r>
          </w:p>
        </w:tc>
      </w:tr>
      <w:tr>
        <w:tc>
          <w:tcPr>
            <w:tcW w:type="dxa" w:w="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w:t>
            </w:r>
          </w:p>
        </w:tc>
        <w:tc>
          <w:tcPr>
            <w:tcW w:type="dxa" w:w="8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Diagnóstico municipal: población, vivienda, servicios, educación, salud, economía y territorio.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3</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Fortalezas y debilidades basadas en el diagnóstico; situaciones que el CDM deberá priorizar.</w:t>
            </w:r>
          </w:p>
        </w:tc>
      </w:tr>
      <w:tr>
        <w:tc>
          <w:tcPr>
            <w:tcW w:type="dxa" w:w="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4</w:t>
            </w:r>
          </w:p>
        </w:tc>
        <w:tc>
          <w:tcPr>
            <w:tcW w:type="dxa" w:w="8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Visión Municipal: espacio de decisión del CDM con un ejemplo de formato.</w:t>
            </w:r>
          </w:p>
        </w:tc>
      </w:tr>
      <w:tr>
        <w:tc>
          <w:tcPr>
            <w:tcW w:type="dxa" w:w="900"/>
            <w:vAlign w:val="top"/>
            <w:tcMar>
              <w:top w:w="80" w:type="dxa"/>
              <w:start w:w="120" w:type="dxa"/>
              <w:bottom w:w="80" w:type="dxa"/>
              <w:end w:w="120" w:type="dxa"/>
            </w:tcMar>
          </w:tcPr>
          <w:p>
            <w:pPr>
              <w:spacing w:after="0"/>
            </w:pPr>
            <w:r>
              <w:rPr>
                <w:rFonts w:ascii="Calibri" w:hAnsi="Calibri" w:eastAsia="Calibri"/>
                <w:b w:val="0"/>
                <w:i w:val="0"/>
                <w:color w:val="203740"/>
                <w:sz w:val="17"/>
              </w:rPr>
              <w:t>5</w:t>
            </w:r>
          </w:p>
        </w:tc>
        <w:tc>
          <w:tcPr>
            <w:tcW w:type="dxa" w:w="8460"/>
            <w:vAlign w:val="top"/>
            <w:tcMar>
              <w:top w:w="80" w:type="dxa"/>
              <w:start w:w="120" w:type="dxa"/>
              <w:bottom w:w="80" w:type="dxa"/>
              <w:end w:w="120" w:type="dxa"/>
            </w:tcMar>
          </w:tcPr>
          <w:p>
            <w:pPr>
              <w:spacing w:after="0"/>
            </w:pPr>
            <w:r>
              <w:rPr>
                <w:rFonts w:ascii="Calibri" w:hAnsi="Calibri" w:eastAsia="Calibri"/>
                <w:b w:val="0"/>
                <w:i w:val="0"/>
                <w:color w:val="203740"/>
                <w:sz w:val="17"/>
              </w:rPr>
              <w:t>Inversión pública: proyectos en ejecución o reprogramados identificados específicamente para el municipio en MapaInversiones.</w:t>
            </w:r>
          </w:p>
        </w:tc>
      </w:tr>
      <w:tr>
        <w:tc>
          <w:tcPr>
            <w:tcW w:type="dxa" w:w="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6</w:t>
            </w:r>
          </w:p>
        </w:tc>
        <w:tc>
          <w:tcPr>
            <w:tcW w:type="dxa" w:w="8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Plan de acción: ejemplo de registro para convertir los acuerdos del CDM en acciones verificables.</w:t>
            </w:r>
          </w:p>
        </w:tc>
      </w:tr>
    </w:tbl>
    <w:p>
      <w:pPr>
        <w:spacing w:after="0"/>
      </w:pPr>
    </w:p>
    <w:p>
      <w:pPr>
        <w:pStyle w:val="Heading1"/>
      </w:pPr>
      <w:r>
        <w:t>Síntesis ejecutiva</w:t>
      </w:r>
    </w:p>
    <w:p>
      <w:r>
        <w:t>Villa Altagracia, municipio de la provincia San Cristóbal, registró 97,620 habitantes en 2022. Entre 2010 y 2022 su población aumentó 15.8%. El 52.7% reside en área urbana y el 47.3% en área rural. Estas proporciones determinan la escala y la distribución territorial de los servicios municipales.</w:t>
      </w:r>
    </w:p>
    <w:p>
      <w:r>
        <w:t>El diagnóstico registra 46.7% de hogares con agua del acueducto dentro de la vivienda, 85.6% con recogida municipal de residuos y 7.1% que los quema. El uso de internet alcanza 75.5%. Los capítulos siguientes presentan las cifras, sus fuentes y sus límites antes de la priorización del CDM.</w:t>
      </w:r>
    </w:p>
    <w:p>
      <w:r>
        <w:br w:type="page"/>
      </w:r>
    </w:p>
    <w:p>
      <w:pPr>
        <w:pStyle w:val="Heading1"/>
      </w:pPr>
      <w:r>
        <w:t>1. Información general</w:t>
      </w:r>
    </w:p>
    <w:p>
      <w:pPr>
        <w:pStyle w:val="Heading2"/>
      </w:pPr>
      <w:r>
        <w:t>1.1 Equipo de elaboración y participación del CDM</w:t>
      </w:r>
    </w:p>
    <w:p>
      <w:r>
        <w:t>La elaboración y gestión del PMD se organiza por responsabilidades institucionales. Esta forma de presentación mantiene claras las funciones durante todo el período del plan, aun cuando cambien las personas que ocupan los cargos. La representación comunitaria y sectorial se canaliza mediante el Consejo de Desarrollo Municipal (CDM), conforme a la Ley núm. 176-07.</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900"/>
        <w:gridCol w:w="6460"/>
      </w:tblGrid>
      <w:tr>
        <w:trPr>
          <w:tblHeader w:val="true"/>
        </w:trPr>
        <w:tc>
          <w:tcPr>
            <w:tcW w:type="dxa" w:w="2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Instancia</w:t>
            </w:r>
          </w:p>
        </w:tc>
        <w:tc>
          <w:tcPr>
            <w:tcW w:type="dxa" w:w="6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Responsabilidad en el PMD</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Alcaldía</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Conducir políticamente el proceso, articular instituciones y presentar la programación anual vinculada al plan.</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Concejo de Regidores</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Conocer, deliberar, aprobar y fiscalizar los instrumentos, presupuestos y ordenanzas que correspondan.</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Oficina Municipal de Planificación y Programación (OMPP)</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Coordinar el diagnóstico, la formulación, la programación, los indicadores y los informes de avance.</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Consejo de Desarrollo Municipal (CDM)</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Participar en la elaboración, discusión y seguimiento del plan; canalizar prioridades territoriales y sectoriales.</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Áreas técnicas municipales</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t>Aportar información y ejecutar acciones dentro de sus competencias.</w:t>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Representación social y económica</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Aportar conocimiento local, contrastar prioridades y acompañar el seguimiento mediante el CDM.</w:t>
            </w:r>
          </w:p>
        </w:tc>
      </w:tr>
    </w:tbl>
    <w:p>
      <w:pPr>
        <w:spacing w:after="0"/>
      </w:pPr>
    </w:p>
    <w:p>
      <w:pPr>
        <w:pStyle w:val="SourceNote"/>
      </w:pPr>
      <w:r>
        <w:rPr>
          <w:rFonts w:ascii="Calibri" w:hAnsi="Calibri" w:eastAsia="Calibri"/>
          <w:b w:val="0"/>
          <w:i w:val="0"/>
          <w:color w:val="5E7076"/>
          <w:sz w:val="17"/>
        </w:rPr>
        <w:t>Fuente: Ley núm. 176-07 del Distrito Nacional y los Municipios, arts. 123–125; MEPyD, Guía para la formulación de planes de desarrollo municipales, pp. 21–22.</w:t>
      </w:r>
    </w:p>
    <w:p>
      <w:pPr>
        <w:pStyle w:val="Heading2"/>
      </w:pPr>
      <w:r>
        <w:t>1.2 Introducción y ¿qué es un PMD?</w:t>
      </w:r>
    </w:p>
    <w:p>
      <w:r>
        <w:t>El Plan Municipal de Desarrollo (PMD) es el instrumento que orienta las decisiones del ayuntamiento durante un período de cuatro años. Organiza una visión compartida del territorio, identifica sus condiciones y necesidades, define objetivos y convierte las prioridades en acciones que puedan relacionarse con el presupuesto, la gestión de servicios y la coordinación con el Gobierno central.</w:t>
      </w:r>
    </w:p>
    <w:p>
      <w:r>
        <w:t>El PMD no sustituye el presupuesto ni los planes operativos anuales: los articula. Cuando una necesidad corresponde a agua potable, salud, educación, carreteras u otra institución sectorial, el plan puede incorporarla como agenda de gestión y coordinación, con resultados e indicadores verificables.</w:t>
      </w:r>
    </w:p>
    <w:p>
      <w:pPr>
        <w:pStyle w:val="SourceNote"/>
      </w:pPr>
      <w:r>
        <w:rPr>
          <w:rFonts w:ascii="Calibri" w:hAnsi="Calibri" w:eastAsia="Calibri"/>
          <w:b w:val="0"/>
          <w:i w:val="0"/>
          <w:color w:val="5E7076"/>
          <w:sz w:val="17"/>
        </w:rPr>
        <w:t>Fuente: MEPyD, Guía para la formulación de planes de desarrollo municipales, pp. 19–21 y 46–49; Ley núm. 176-07, arts. 122–125.</w:t>
      </w:r>
    </w:p>
    <w:p>
      <w:pPr>
        <w:pStyle w:val="Heading2"/>
      </w:pPr>
      <w:r>
        <w:t>1.3 Identidad territorial, historia y configuración municipal</w:t>
      </w:r>
    </w:p>
    <w:p>
      <w:r>
        <w:t>Villa Altagracia forma parte de la provincia San Cristóbal y de la región de planificación Valdesia. El código geográfico empleado es 05210005. La identificación territorial enlaza el clasificador geográfico, la cartografía, el Dashboard de Diagnóstico Territorial y las fuentes documentales. [GEO-01]</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3000"/>
        <w:gridCol w:w="3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territorial</w:t>
            </w:r>
          </w:p>
        </w:tc>
        <w:tc>
          <w:tcPr>
            <w:tcW w:type="dxa" w:w="3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Valor</w:t>
            </w:r>
          </w:p>
        </w:tc>
        <w:tc>
          <w:tcPr>
            <w:tcW w:type="dxa" w:w="3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 / año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Municipio</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Villa Altagracia</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Portal municipal · 2026</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San Cristóbal</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Portal municipal · 2026</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Región</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Valdesia</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Código geográfico</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05210005</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Superficie cartográfica</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427.8 km²</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GeoJSON municipal</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Densidad estimada</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228.2 hab./km²</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Censo 2022 + GeoJSON</w:t>
            </w:r>
          </w:p>
        </w:tc>
      </w:tr>
    </w:tbl>
    <w:p>
      <w:pPr>
        <w:spacing w:after="0"/>
      </w:pPr>
    </w:p>
    <w:p>
      <w:r>
        <w:t>Como referencia secundaria, la ficha municipal de Wikipedia resume la identidad y evolución histórica local de la siguiente manera: En los albores, estos eran lugares vírgenes, formados por tierras fértiles bañadas por ríos, arroyos y cañadas, cuyas aguas arrastraban oro sedimentario, lo que atrajo a muchas personas que residían en comunidades vecinas. La ubicación geográfica privilegiada hizo también de estos terrenos un paso obligado para el tránsito de las caravanas de comerciantes que se dirigían hacia Santo Domingo. Para ese entonces, el correo entre la capital y el resto del país se hacía a caballo, constituyendo este sector una cómoda ruta para llegar hasta el Cibao. Los factores precedentes se constituyeron en la causa principal de la inmigración de los primeros pobladores los cuales se estima procedían en su mayor parte de San Cristóbal, y en una menor proporción del área del Cibao. Villa Altagracia se inició como una comunidad eminentemente rural, con escasos habitantes para quienes las principales actividades económicas consistían en la agricultura, la búsqueda de oro en arroyos y cañadas y pequeños negocios. Las viviendas eran primitivas y estaban construidas en barro, o tablas de manacla, techadas de yerbas y yagua y el piso era de tierra. [WIKI-01].</w:t>
      </w:r>
    </w:p>
    <w:p>
      <w:pPr>
        <w:pStyle w:val="SourceNote"/>
      </w:pPr>
      <w:r>
        <w:rPr>
          <w:rFonts w:ascii="Calibri" w:hAnsi="Calibri" w:eastAsia="Calibri"/>
          <w:b w:val="0"/>
          <w:i w:val="0"/>
          <w:color w:val="5E7076"/>
          <w:sz w:val="17"/>
        </w:rPr>
        <w:t>Fuente: Wikipedia se utiliza como apoyo secundario para historia y geografía. Los documentos anteriores se citan con período y páginas; para municipios nuevos, un plan del antiguo distrito no se presenta como PMD histórico del municipio actual.</w:t>
      </w:r>
    </w:p>
    <w:p>
      <w:pPr>
        <w:pStyle w:val="Heading2"/>
      </w:pPr>
      <w:r>
        <w:t>1.4 Perfil municipal en cifras</w:t>
      </w:r>
    </w:p>
    <w:p>
      <w:r>
        <w:t>En 2022, Villa Altagracia registró 97,620 habitantes: 48,559 hombres (49.7%) y 49,061 mujeres (50.3%). Frente a los 84,312 habitantes censados en 2010, la población creció 15.8%. El cambio intercensal constituye la línea base para dimensionar servicios, infraestructura y demanda de suelo; no permite atribuir por sí solo causas de migración, fecundidad o movilidad residencial. [DASH-BASE]</w:t>
      </w:r>
    </w:p>
    <w:p>
      <w:r>
        <w:t>La distribución territorial muestra 51,428 habitantes en zona urbana (52.7%) y 46,192 en zona rural (47.3%). Esta relación debe considerarse al organizar rutas de servicios, mantenimiento vial, equipamientos y mecanismos de atención a comunidades dispersas. [DASH-URB]</w:t>
      </w:r>
    </w:p>
    <w:p>
      <w:r>
        <w:t>El municipio cuenta con 32,108 hogares y 97,546 personas residentes en hogares. El promedio es de 3.04 personas por hogar. El Censo registra 38,740 viviendas, de las cuales 31,900 estaban ocupadas y 6,809 desocupadas. [DASH-HOG] [DASH-BASE]</w:t>
      </w:r>
    </w:p>
    <w:p>
      <w:pPr>
        <w:pStyle w:val="Heading2"/>
      </w:pPr>
      <w:r>
        <w:t>1.5 Antecedentes de planificación</w:t>
      </w:r>
    </w:p>
    <w:p>
      <w:r>
        <w:t>No se localizó un PMD anterior del municipio actual en el inventario descargado. Esta ausencia en el repositorio no demuestra que el documento no exista.</w:t>
      </w:r>
    </w:p>
    <w:p>
      <w:r>
        <w:br w:type="page"/>
      </w:r>
    </w:p>
    <w:p>
      <w:pPr>
        <w:pStyle w:val="Heading2"/>
      </w:pPr>
      <w:r>
        <w:t>1.6 Marco jurídico</w:t>
      </w:r>
    </w:p>
    <w:p>
      <w:r>
        <w:t>El PMD se formula dentro del sistema jurídico dominicano de planificación y gestión territorial. Su aplicación exige coherencia entre el plan, el presupuesto municipal, los instrumentos de ordenamiento, las competencias sectoriales y los mecanismos de participación y control social.</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3100"/>
        <w:gridCol w:w="6260"/>
      </w:tblGrid>
      <w:tr>
        <w:trPr>
          <w:tblHeader w:val="true"/>
        </w:trPr>
        <w:tc>
          <w:tcPr>
            <w:tcW w:type="dxa" w:w="3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Norma</w:t>
            </w:r>
          </w:p>
        </w:tc>
        <w:tc>
          <w:tcPr>
            <w:tcW w:type="dxa" w:w="6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Aplicación al Plan Municipal de Desarrollo</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Constitución de la República Dominicana</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Reconoce la autonomía municipal y la planificación del desarrollo económico y social.</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176-07 del Distrito Nacional y los Municipios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Define finalidad, elaboración, participación del CDM, coordinación de la OMPP, aprobación, vigencia y seguimiento del PMD.</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498-06 de Planificación e Inversión Pública</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Articula planificación, programación institucional e inversión pública.</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1-12 de la Estrategia Nacional de Desarrollo 2030</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Aporta objetivos nacionales de largo plazo para las políticas territoriales.</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368-22 de Ordenamiento Territorial, Uso de Suelo y Asentamientos Humanos</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Vincula los instrumentos municipales con el marco nacional de ordenamiento territorial.</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64-00 de Medio Ambiente y Recursos Naturales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Sustenta la protección ambiental y la gestión de recursos naturales.</w:t>
            </w:r>
          </w:p>
        </w:tc>
      </w:tr>
      <w:tr>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Ley núm. 147-02 sobre Gestión de Riesgos</w:t>
            </w:r>
          </w:p>
        </w:tc>
        <w:tc>
          <w:tcPr>
            <w:tcW w:type="dxa" w:w="6260"/>
            <w:vAlign w:val="top"/>
            <w:tcMar>
              <w:top w:w="80" w:type="dxa"/>
              <w:start w:w="120" w:type="dxa"/>
              <w:bottom w:w="80" w:type="dxa"/>
              <w:end w:w="120" w:type="dxa"/>
            </w:tcMar>
          </w:tcPr>
          <w:p>
            <w:pPr>
              <w:spacing w:after="0"/>
            </w:pPr>
            <w:r>
              <w:rPr>
                <w:rFonts w:ascii="Calibri" w:hAnsi="Calibri" w:eastAsia="Calibri"/>
                <w:b w:val="0"/>
                <w:i w:val="0"/>
                <w:color w:val="203740"/>
                <w:sz w:val="17"/>
              </w:rPr>
              <w:t>Integra prevención, reducción de riesgos y preparación ante emergencias.</w:t>
            </w:r>
          </w:p>
        </w:tc>
      </w:tr>
      <w:tr>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Ley núm. 225-20 de Gestión Integral y Coprocesamiento de Residuos Sólidos</w:t>
            </w:r>
          </w:p>
        </w:tc>
        <w:tc>
          <w:tcPr>
            <w:tcW w:type="dxa" w:w="6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Orienta prevención, recolección, aprovechamiento y disposición final de residuos.</w:t>
            </w:r>
          </w:p>
        </w:tc>
      </w:tr>
    </w:tbl>
    <w:p>
      <w:pPr>
        <w:spacing w:after="0"/>
      </w:pPr>
    </w:p>
    <w:p>
      <w:r>
        <w:t>Conforme a los artículos 122 a 125 de la Ley núm. 176-07, la OMPP coordina la formulación y evaluación del PMD y el CDM participa en su elaboración, discusión y seguimiento.</w:t>
      </w:r>
    </w:p>
    <w:p>
      <w:pPr>
        <w:pStyle w:val="SourceNote"/>
      </w:pPr>
      <w:r>
        <w:rPr>
          <w:rFonts w:ascii="Calibri" w:hAnsi="Calibri" w:eastAsia="Calibri"/>
          <w:b w:val="0"/>
          <w:i w:val="0"/>
          <w:color w:val="5E7076"/>
          <w:sz w:val="17"/>
        </w:rPr>
        <w:t>Fuente: Ley núm. 176-07, arts. 122–125; leyes núm. 498-06, 1-12, 368-22, 64-00, 147-02 y 225-20.</w:t>
      </w:r>
    </w:p>
    <w:p>
      <w:r>
        <w:br w:type="page"/>
      </w:r>
    </w:p>
    <w:p>
      <w:pPr>
        <w:pStyle w:val="Heading2"/>
      </w:pPr>
      <w:r>
        <w:t>1.7 Metodología</w:t>
      </w:r>
    </w:p>
    <w:p>
      <w:r>
        <w:t>La elaboración sigue la Guía para la formulación de planes de desarrollo municipales publicada por el Ministerio de Economía, Planificación y Desarrollo (MEPyD). La guía organiza el proceso en cuatro etapas enlazadas:</w:t>
      </w:r>
    </w:p>
    <w:p>
      <w:pPr>
        <w:pStyle w:val="ListNumber"/>
      </w:pPr>
      <w:r>
        <w:t>Organización del proceso. Se conforma el equipo, se acuerdan responsabilidades entre Alcaldía, Concejo de Regidores, OMPP, áreas técnicas y CDM, y se prepara el plan de trabajo.</w:t>
      </w:r>
    </w:p>
    <w:p>
      <w:pPr>
        <w:pStyle w:val="ListNumber"/>
      </w:pPr>
      <w:r>
        <w:t>Diagnóstico municipal. Se reúnen y analizan datos estadísticos, cartografía, documentos municipales y conocimiento local. La evidencia permite describir fortalezas y debilidades para revisión del CDM.</w:t>
      </w:r>
    </w:p>
    <w:p>
      <w:pPr>
        <w:pStyle w:val="ListNumber"/>
      </w:pPr>
      <w:r>
        <w:t>Formulación estratégica. Con la participación del CDM se acuerdan visión, objetivos, resultados, líneas de acción, proyectos e indicadores.</w:t>
      </w:r>
    </w:p>
    <w:p>
      <w:pPr>
        <w:pStyle w:val="ListNumber"/>
      </w:pPr>
      <w:r>
        <w:t>Gestión de los instrumentos. El PMD aprobado se vincula con programación, presupuesto, ejecución, seguimiento, evaluación y rendición de cuentas.</w:t>
      </w:r>
    </w:p>
    <w:p>
      <w:pPr>
        <w:pStyle w:val="SourceNote"/>
      </w:pPr>
      <w:r>
        <w:rPr>
          <w:rFonts w:ascii="Calibri" w:hAnsi="Calibri" w:eastAsia="Calibri"/>
          <w:b w:val="0"/>
          <w:i w:val="0"/>
          <w:color w:val="5E7076"/>
          <w:sz w:val="17"/>
        </w:rPr>
        <w:t>Fuente: MEPyD, ¿Cómo elaborar un plan municipal de desarrollo? Guía para la formulación de planes de desarrollo municipales, pp. 19–49; Ley núm. 176-07, arts. 123–125.</w:t>
      </w:r>
    </w:p>
    <w:p>
      <w:r>
        <w:br w:type="page"/>
      </w:r>
    </w:p>
    <w:p>
      <w:pPr>
        <w:pStyle w:val="Heading1"/>
      </w:pPr>
      <w:r>
        <w:t>2. Diagnóstico municipal</w:t>
      </w:r>
    </w:p>
    <w:p>
      <w:r>
        <w:t>Las 8 páginas siguientes reproducen la exportación vigente del Dashboard Territorial. Presentan la línea base estadística antes de su interpretación narrativa e incorporan los indicadores demográficos, sociales, económicos, institucionales, ambientales y de inversión disponibles. Los datos conservan el año, la fuente y el ámbito territorial; cuando la fuente solo publica un total provincial, la página lo identifica como «Provincia completa» y no lo atribuye al municipio.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000"/>
        <w:gridCol w:w="4300"/>
        <w:gridCol w:w="4060"/>
      </w:tblGrid>
      <w:tr>
        <w:trPr>
          <w:tblHeader w:val="true"/>
        </w:trPr>
        <w:tc>
          <w:tcPr>
            <w:tcW w:type="dxa" w:w="1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Bloque</w:t>
            </w:r>
          </w:p>
        </w:tc>
        <w:tc>
          <w:tcPr>
            <w:tcW w:type="dxa" w:w="4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Contenido</w:t>
            </w:r>
          </w:p>
        </w:tc>
        <w:tc>
          <w:tcPr>
            <w:tcW w:type="dxa" w:w="40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Lectura esperada</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Demografía</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Población, mapa, pirámides 2010/2022, hogares y viviendas</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Cambio y composición demográfica</w:t>
            </w:r>
          </w:p>
        </w:tc>
      </w:tr>
      <w:tr>
        <w:tc>
          <w:tcPr>
            <w:tcW w:type="dxa" w:w="1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Condiciones de vida</w:t>
            </w:r>
          </w:p>
        </w:tc>
        <w:tc>
          <w:tcPr>
            <w:tcW w:type="dxa" w:w="4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saneamiento, energía, residuos, educación, salud y conectividad</w:t>
            </w:r>
          </w:p>
        </w:tc>
        <w:tc>
          <w:tcPr>
            <w:tcW w:type="dxa" w:w="4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Coberturas y brechas observadas</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Resultados y riesgos</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Seguridad, movilidad, incendios, inclusión, primera infancia y deporte</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Dato municipal o contexto provincial, según la fuente</w:t>
            </w:r>
          </w:p>
        </w:tc>
      </w:tr>
      <w:tr>
        <w:tc>
          <w:tcPr>
            <w:tcW w:type="dxa" w:w="1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Gestión e inversión</w:t>
            </w:r>
          </w:p>
        </w:tc>
        <w:tc>
          <w:tcPr>
            <w:tcW w:type="dxa" w:w="4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Inversión territorial, SISMAP, obras viales y licencias</w:t>
            </w:r>
          </w:p>
        </w:tc>
        <w:tc>
          <w:tcPr>
            <w:tcW w:type="dxa" w:w="4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Magnitud, ejecución y capacidad institucional</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Comparación</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Municipio, provincia, región y país</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Posición relativa sin convertirla automáticamente en prioridad</w:t>
            </w:r>
          </w:p>
        </w:tc>
      </w:tr>
    </w:tbl>
    <w:p>
      <w:pPr>
        <w:spacing w:after="0"/>
      </w:pPr>
    </w:p>
    <w:tbl>
      <w:tblPr>
        <w:tblW w:type="dxa" w:w="9360"/>
        <w:jc w:val="center"/>
        <w:tblLayout w:type="fixed"/>
        <w:tblLook w:firstColumn="1" w:firstRow="1" w:lastColumn="0" w:lastRow="0" w:noHBand="0" w:noVBand="1" w:val="04A0"/>
        <w:tblInd w:w="120" w:type="dxa"/>
        <w:tblBorders>
          <w:top w:val="single" w:sz="5" w:color="C9DCD7"/>
          <w:left w:val="single" w:sz="5" w:color="C9DCD7"/>
          <w:bottom w:val="single" w:sz="5" w:color="C9DCD7"/>
          <w:right w:val="single" w:sz="5" w:color="C9DCD7"/>
          <w:insideH w:val="single" w:sz="5" w:color="C9DCD7"/>
          <w:insideV w:val="single" w:sz="5" w:color="C9DCD7"/>
        </w:tblBorders>
      </w:tblPr>
      <w:tblGrid>
        <w:gridCol w:w="9360"/>
      </w:tblGrid>
      <w:tr>
        <w:tc>
          <w:tcPr>
            <w:tcW w:type="dxa" w:w="9360"/>
            <w:tcMar>
              <w:top w:w="150" w:type="dxa"/>
              <w:start w:w="180" w:type="dxa"/>
              <w:bottom w:w="150" w:type="dxa"/>
              <w:end w:w="180" w:type="dxa"/>
            </w:tcMar>
            <w:shd w:fill="F3F7F6"/>
          </w:tcPr>
          <w:p>
            <w:pPr>
              <w:spacing w:after="60"/>
            </w:pPr>
            <w:r>
              <w:rPr>
                <w:rFonts w:ascii="Calibri" w:hAnsi="Calibri" w:eastAsia="Calibri"/>
                <w:b/>
                <w:i w:val="0"/>
                <w:color w:val="14866D"/>
                <w:sz w:val="21"/>
              </w:rPr>
              <w:t>Cómo leer las láminas</w:t>
            </w:r>
          </w:p>
          <w:p>
            <w:pPr>
              <w:spacing w:after="0"/>
            </w:pPr>
            <w:r>
              <w:rPr>
                <w:rFonts w:ascii="Calibri" w:hAnsi="Calibri" w:eastAsia="Calibri"/>
                <w:b w:val="0"/>
                <w:i w:val="0"/>
                <w:color w:val="203740"/>
                <w:sz w:val="19"/>
              </w:rPr>
              <w:t>Cada lámina es una línea base, no una conclusión automática. La interpretación debe conservar tres preguntas: qué mide el indicador, qué no mide y qué comprobación territorial hace falta antes de decidir.</w:t>
            </w:r>
          </w:p>
        </w:tc>
      </w:tr>
    </w:tbl>
    <w:p>
      <w:pPr>
        <w:spacing w:after="0"/>
      </w:pPr>
    </w:p>
    <w:p>
      <w:r>
        <w:br w:type="page"/>
      </w:r>
    </w:p>
    <w:p>
      <w:pPr>
        <w:keepLines/>
        <w:spacing w:after="0"/>
        <w:jc w:val="center"/>
      </w:pPr>
      <w:r>
        <w:drawing>
          <wp:inline xmlns:a="http://schemas.openxmlformats.org/drawingml/2006/main" xmlns:pic="http://schemas.openxmlformats.org/drawingml/2006/picture">
            <wp:extent cx="5943600" cy="7691718"/>
            <wp:docPr id="1" name="Picture 1"/>
            <wp:cNvGraphicFramePr>
              <a:graphicFrameLocks noChangeAspect="1"/>
            </wp:cNvGraphicFramePr>
            <a:graphic>
              <a:graphicData uri="http://schemas.openxmlformats.org/drawingml/2006/picture">
                <pic:pic>
                  <pic:nvPicPr>
                    <pic:cNvPr id="0" name="dashboard-pdf-page-1.jpg"/>
                    <pic:cNvPicPr/>
                  </pic:nvPicPr>
                  <pic:blipFill>
                    <a:blip r:embed="rId11"/>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2" name="Picture 2"/>
            <wp:cNvGraphicFramePr>
              <a:graphicFrameLocks noChangeAspect="1"/>
            </wp:cNvGraphicFramePr>
            <a:graphic>
              <a:graphicData uri="http://schemas.openxmlformats.org/drawingml/2006/picture">
                <pic:pic>
                  <pic:nvPicPr>
                    <pic:cNvPr id="0" name="dashboard-pdf-page-2.jpg"/>
                    <pic:cNvPicPr/>
                  </pic:nvPicPr>
                  <pic:blipFill>
                    <a:blip r:embed="rId12"/>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3" name="Picture 3"/>
            <wp:cNvGraphicFramePr>
              <a:graphicFrameLocks noChangeAspect="1"/>
            </wp:cNvGraphicFramePr>
            <a:graphic>
              <a:graphicData uri="http://schemas.openxmlformats.org/drawingml/2006/picture">
                <pic:pic>
                  <pic:nvPicPr>
                    <pic:cNvPr id="0" name="dashboard-pdf-page-3.jpg"/>
                    <pic:cNvPicPr/>
                  </pic:nvPicPr>
                  <pic:blipFill>
                    <a:blip r:embed="rId13"/>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4" name="Picture 4"/>
            <wp:cNvGraphicFramePr>
              <a:graphicFrameLocks noChangeAspect="1"/>
            </wp:cNvGraphicFramePr>
            <a:graphic>
              <a:graphicData uri="http://schemas.openxmlformats.org/drawingml/2006/picture">
                <pic:pic>
                  <pic:nvPicPr>
                    <pic:cNvPr id="0" name="dashboard-pdf-page-4.jpg"/>
                    <pic:cNvPicPr/>
                  </pic:nvPicPr>
                  <pic:blipFill>
                    <a:blip r:embed="rId14"/>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5" name="Picture 5"/>
            <wp:cNvGraphicFramePr>
              <a:graphicFrameLocks noChangeAspect="1"/>
            </wp:cNvGraphicFramePr>
            <a:graphic>
              <a:graphicData uri="http://schemas.openxmlformats.org/drawingml/2006/picture">
                <pic:pic>
                  <pic:nvPicPr>
                    <pic:cNvPr id="0" name="dashboard-pdf-page-5.jpg"/>
                    <pic:cNvPicPr/>
                  </pic:nvPicPr>
                  <pic:blipFill>
                    <a:blip r:embed="rId15"/>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6" name="Picture 6"/>
            <wp:cNvGraphicFramePr>
              <a:graphicFrameLocks noChangeAspect="1"/>
            </wp:cNvGraphicFramePr>
            <a:graphic>
              <a:graphicData uri="http://schemas.openxmlformats.org/drawingml/2006/picture">
                <pic:pic>
                  <pic:nvPicPr>
                    <pic:cNvPr id="0" name="dashboard-pdf-page-6.jpg"/>
                    <pic:cNvPicPr/>
                  </pic:nvPicPr>
                  <pic:blipFill>
                    <a:blip r:embed="rId16"/>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7" name="Picture 7"/>
            <wp:cNvGraphicFramePr>
              <a:graphicFrameLocks noChangeAspect="1"/>
            </wp:cNvGraphicFramePr>
            <a:graphic>
              <a:graphicData uri="http://schemas.openxmlformats.org/drawingml/2006/picture">
                <pic:pic>
                  <pic:nvPicPr>
                    <pic:cNvPr id="0" name="dashboard-pdf-page-7.jpg"/>
                    <pic:cNvPicPr/>
                  </pic:nvPicPr>
                  <pic:blipFill>
                    <a:blip r:embed="rId17"/>
                    <a:stretch>
                      <a:fillRect/>
                    </a:stretch>
                  </pic:blipFill>
                  <pic:spPr>
                    <a:xfrm>
                      <a:off x="0" y="0"/>
                      <a:ext cx="5943600" cy="7691718"/>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691718"/>
            <wp:docPr id="8" name="Picture 8"/>
            <wp:cNvGraphicFramePr>
              <a:graphicFrameLocks noChangeAspect="1"/>
            </wp:cNvGraphicFramePr>
            <a:graphic>
              <a:graphicData uri="http://schemas.openxmlformats.org/drawingml/2006/picture">
                <pic:pic>
                  <pic:nvPicPr>
                    <pic:cNvPr id="0" name="dashboard-pdf-page-8.jpg"/>
                    <pic:cNvPicPr/>
                  </pic:nvPicPr>
                  <pic:blipFill>
                    <a:blip r:embed="rId18"/>
                    <a:stretch>
                      <a:fillRect/>
                    </a:stretch>
                  </pic:blipFill>
                  <pic:spPr>
                    <a:xfrm>
                      <a:off x="0" y="0"/>
                      <a:ext cx="5943600" cy="7691718"/>
                    </a:xfrm>
                    <a:prstGeom prst="rect"/>
                  </pic:spPr>
                </pic:pic>
              </a:graphicData>
            </a:graphic>
          </wp:inline>
        </w:drawing>
      </w:r>
    </w:p>
    <w:p>
      <w:pPr>
        <w:pStyle w:val="SourceNote"/>
      </w:pPr>
      <w:r>
        <w:rPr>
          <w:rFonts w:ascii="Calibri" w:hAnsi="Calibri" w:eastAsia="Calibri"/>
          <w:b w:val="0"/>
          <w:i w:val="0"/>
          <w:color w:val="5E7076"/>
          <w:sz w:val="17"/>
        </w:rPr>
        <w:t>Fuente: DDPT, Dashboard Territorial, ficha de Villa Altagracia. Exportación generada el 2026-08-02.</w:t>
      </w:r>
    </w:p>
    <w:p>
      <w:r>
        <w:br w:type="page"/>
      </w:r>
    </w:p>
    <w:p>
      <w:pPr>
        <w:pStyle w:val="Heading1"/>
      </w:pPr>
      <w:r>
        <w:t>2. Diagnóstico municipal: lectura e interpretación</w:t>
      </w:r>
    </w:p>
    <w:p>
      <w:r>
        <w:t>La lectura siguiente explica qué muestran los indicadores y cuáles son sus límites. Se diferencia entre dato observado, interpretación técnica y asunto que requiere comprobación municipal.</w:t>
      </w:r>
    </w:p>
    <w:p>
      <w:pPr>
        <w:pStyle w:val="Heading2"/>
      </w:pPr>
      <w:r>
        <w:t>2.1 Dinámica demográfica y hogares</w:t>
      </w:r>
    </w:p>
    <w:p>
      <w:r>
        <w:t>La estructura por edad de Villa Altagracia se distribuye aproximadamente en 28.5% de población menor de 15 años, 63.8% entre 15 y 64 años y 7.7% de 65 años o más. La relación de dependencia demográfica estimada es de 56.8 personas potencialmente dependientes por cada 100 en edad de trabajar. Estos valores orientan la demanda relativa de cuidados, espacios públicos, movilidad, formación y servicios sociales, pero deben analizarse con la distribución territorial y la capacidad real de atención. [DASH-PYR]</w:t>
      </w:r>
    </w:p>
    <w:p>
      <w:r>
        <w:t>El grado de urbanización es 52.7% y el tamaño medio de los hogares es 3.04 personas. Una mayor concentración urbana puede facilitar cobertura de rutas y equipamientos, mientras que una proporción rural relevante exige criterios de accesibilidad y costos diferenciados. La cifra no sustituye un análisis por barrio, sección o paraje. [DASH-URB] [DASH-HOG]</w:t>
      </w:r>
    </w:p>
    <w:p>
      <w:pPr>
        <w:pStyle w:val="Heading2"/>
      </w:pPr>
      <w:r>
        <w:t>2.2 Vivienda, agua, saneamiento y servicios básicos</w:t>
      </w:r>
    </w:p>
    <w:p>
      <w:r>
        <w:t>El 46.7% de los hogares declara recibir agua del acueducto dentro de la vivienda, frente a 62.7% a escala nacional. Para agua de beber, el uso de botellones representa 89.6%. La comparación sugiere una condición de acceso físico y un patrón de consumo, pero no informa continuidad, presión, potabilidad ni costo. Esos cuatro aspectos deben verificarse antes de formular intervenciones. [DASH-VIDA]</w:t>
      </w:r>
    </w:p>
    <w:p>
      <w:r>
        <w:t>En saneamiento, 81.7% de los hogares reporta inodoro y 4.8% declara no disponer de servicio sanitario. La línea base permite dimensionar la brecha general, aunque no identifica sectores ni calidad de disposición final. El levantamiento municipal debe localizar hogares críticos y distinguir competencias del ayuntamiento, INAPA, salud pública y otros actores. [DASH-VIDA]</w:t>
      </w:r>
    </w:p>
    <w:p>
      <w:r>
        <w:t>La red pública es la fuente principal de alumbrado para 99.2% de los hogares. La recogida de residuos por el ayuntamiento alcanza 85.6%, mientras 7.1% declara quemarlos. El gas propano es el combustible principal de cocina en 90.2% de los hogares. La cobertura de recogida no equivale a frecuencia, regularidad ni manejo ambientalmente adecuado; el plan operativo de residuos debe contrastar rutas, horarios, disposición final y sectores no servidos. [DASH-VIDA]</w:t>
      </w:r>
    </w:p>
    <w:p>
      <w:pPr>
        <w:pStyle w:val="Heading2"/>
      </w:pPr>
      <w:r>
        <w:t>2.3 Educación y capacidades humanas</w:t>
      </w:r>
    </w:p>
    <w:p>
      <w:r>
        <w:t>La oferta educativa asociada registra 107 centros y 25,325 matrículas agregadas. De ellas, 11,688 corresponden a inicial/primario, 11,331 a secundario y 2,306 a educación de adultos. La cobertura corresponde a la asociación territorial usada por el Dashboard y debe verificarse cuando el distrito educativo abarque más de un municipio. [DASH-EDU]</w:t>
      </w:r>
    </w:p>
    <w:p>
      <w:r>
        <w:t>Entre la población de referencia de tres años o más, 8.6% aparece sin nivel de instrucción y 47.7% registra secundaria o un nivel superior. La distribución educativa ayuda a orientar alfabetización, formación técnica, inclusión digital y articulación con empleo, pero no debe interpretarse como calidad del aprendizaje. [DASH-EDU-NIVEL]</w:t>
      </w:r>
    </w:p>
    <w:p>
      <w:r>
        <w:t>Para el distrito educativo asociado, la promoción es 95.4% en primaria y 91.1% en secundaria; el abandono reportado en secundaria es 4.5%. La OMPP debe coordinar la lectura con MINERD y evitar atribuir al gobierno local resultados que corresponden al sistema educativo. [DASH-EDU]</w:t>
      </w:r>
    </w:p>
    <w:p>
      <w:pPr>
        <w:pStyle w:val="Heading2"/>
      </w:pPr>
      <w:r>
        <w:t>2.4 Economía, establecimientos y empleo</w:t>
      </w:r>
    </w:p>
    <w:p>
      <w:r>
        <w:t>El Directorio de Empresas y Establecimientos 2024 identifica 254 establecimientos y un empleo estimado de 2,404.5, equivalente a 9.5 empleos por establecimiento. Los establecimientos de 1 a 10 personas representan 84.3% del total. Esto caracteriza la estructura formal observada por el DEE; no incluye necesariamente toda la economía informal, el autoempleo ni la producción agropecuaria familiar. [DASH-ECO]</w:t>
      </w:r>
    </w:p>
    <w:p>
      <w:r>
        <w:t>Las actividades con mayor empleo estimado en la fuente son Industrias manufactureras (1,029.7 empleos estimados); Comercio al por mayor y al por menor; reparación de vehículos automotores y motocicletas (605.0 empleos estimados); Actividades de alojamiento y de servicio de comidas (155.0 empleos estimados). La mayor especialización relativa se observa en Actividades de organizaciones y órganos extraterritoriales (cociente de localización 4.44). El cociente de localización compara concentración relativa, no productividad ni competitividad. [DASH-ECO]</w:t>
      </w:r>
    </w:p>
    <w:p>
      <w:pPr>
        <w:pStyle w:val="Heading2"/>
      </w:pPr>
      <w:r>
        <w:t>2.5 Salud, conectividad y acceso a información</w:t>
      </w:r>
    </w:p>
    <w:p>
      <w:r>
        <w:t>El Dashboard registra 20 establecimientos de salud en el municipio. La composición principal es: Centro De Primer Nivel: 17, Hospital Materno-Infantil: 1, Hospital Mediana Complejidad: 1, Centro Diagnostico: 1. Este conteo informa presencia física, no cartera de servicios, personal, horario, capacidad, calidad ni accesibilidad efectiva. La planificación municipal debe validar esos elementos con el Servicio Nacional de Salud. [DASH-SALUD]</w:t>
      </w:r>
    </w:p>
    <w:p>
      <w:r>
        <w:t>El uso de internet alcanza 75.5% y el de computadora 11.1%. La diferencia entre conectividad y disponibilidad de equipo es relevante para trámites, educación, información pública y participación digital. El dato requiere desagregación por edad, sexo y zona para diseñar acciones focalizadas. [DASH-TIC]</w:t>
      </w:r>
    </w:p>
    <w:p>
      <w:pPr>
        <w:pStyle w:val="Heading2"/>
      </w:pPr>
      <w:r>
        <w:t>2.6 Contexto territorial, ambiental y continuidad</w:t>
      </w:r>
    </w:p>
    <w:p>
      <w:r>
        <w:t>Las fuentes estadísticas utilizadas no describen con suficiente detalle uso del suelo, riesgos, hidrología, residuos, movilidad o estado de la infraestructura. Este apartado debe completarse con cartografía oficial, instrumentos ambientales y verificación técnica municipal; no se agregaron afirmaciones de prensa ni datos no comprobables.</w:t>
      </w:r>
    </w:p>
    <w:p>
      <w:pPr>
        <w:pStyle w:val="Heading2"/>
      </w:pPr>
      <w:r>
        <w:t>2.7 Indicadores territoriales adicionales</w:t>
      </w:r>
    </w:p>
    <w:p>
      <w:r>
        <w:t>El Dashboard Territorial amplía la línea base con registros administrativos recientes. La columna de ámbito es parte del dato: los valores provinciales sirven como contexto y no describen por sí solos la situación exclusiva del municipio.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200"/>
        <w:gridCol w:w="2200"/>
        <w:gridCol w:w="2020"/>
        <w:gridCol w:w="1300"/>
        <w:gridCol w:w="1640"/>
      </w:tblGrid>
      <w:tr>
        <w:trPr>
          <w:tblHeader w:val="true"/>
        </w:trPr>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Indicador</w:t>
            </w:r>
          </w:p>
        </w:tc>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Valor publicado</w:t>
            </w:r>
          </w:p>
        </w:tc>
        <w:tc>
          <w:tcPr>
            <w:tcW w:type="dxa" w:w="20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Ámbito</w:t>
            </w:r>
          </w:p>
        </w:tc>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Período</w:t>
            </w:r>
          </w:p>
        </w:tc>
        <w:tc>
          <w:tcPr>
            <w:tcW w:type="dxa" w:w="164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Incendios forestales registrados</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29 registros; 302 tareas declaradas afectadas</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Municipio de Villa Altagracia</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2025</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incendios forestales</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Centros INAIPI</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7 centros</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Municipio de Villa Altagracia</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20262</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INAIPI</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Instalaciones deportivas registradas</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23 instalaciones; 2.4 por 10 mil habitantes</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Municipio de Villa Altagracia</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2025</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instalaciones deportivas</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Inversión pública territorial</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Presupuesto RD$ 175,613,103; ejecutado RD$ 174,377,520; ejecución 99.3%</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Municipio de Villa Altagracia</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2025</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estadísticas de proyectos de inversión</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Puntuación SISMAP Municipal</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57.1 / 100</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Municipio de Villa Altagracia</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2026-07-31</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SISMAP Municipal</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Trabajos viales registrados</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148 registros; 29.0 km</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Municipio de Villa Altagracia</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Octubre de 2025–marzo de 2026</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infraestructura vial</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Licencias de construcción</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2 licencias; 568 m²; inversión RD$ 34,988,800</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Municipio de Villa Altagracia</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2025</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licencias emitidas</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Robos reportados</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1,019 casos; 147.9 por 100 mil habitantes</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San Cristóbal; no es valor municipal</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Enero–junio de 2026</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robos reportados</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Homicidios intencionales</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85 casos; 12.3 por 100 mil habitantes</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San Cristóbal; no es valor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ONE · muertes accidentales y violentas</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Fallecimientos de tránsito</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101 personas; 14.7 por 100 mil habitantes</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San Cristóbal; no es valor municipal</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Enero–junio de 2026</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fallecimientos de tránsito</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Hacinamiento extremo o moderado</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22.5%</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San Cristóbal; no es valor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hacinamiento</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Personas con discapacidad en ICV-1 o ICV-2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44.7%</w:t>
            </w:r>
          </w:p>
        </w:tc>
        <w:tc>
          <w:tcPr>
            <w:tcW w:type="dxa" w:w="202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San Cristóbal; no es valor municipal</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16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discapacidad por provincia</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Registros de nacimiento</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10,312 registros; 15.0 por mil habitantes</w:t>
            </w:r>
          </w:p>
        </w:tc>
        <w:tc>
          <w:tcPr>
            <w:tcW w:type="dxa" w:w="2020"/>
            <w:vAlign w:val="top"/>
            <w:tcMar>
              <w:top w:w="80" w:type="dxa"/>
              <w:start w:w="120" w:type="dxa"/>
              <w:bottom w:w="80" w:type="dxa"/>
              <w:end w:w="120" w:type="dxa"/>
            </w:tcMar>
          </w:tcPr>
          <w:p>
            <w:pPr>
              <w:spacing w:after="0"/>
            </w:pPr>
            <w:r>
              <w:rPr>
                <w:rFonts w:ascii="Calibri" w:hAnsi="Calibri" w:eastAsia="Calibri"/>
                <w:b w:val="0"/>
                <w:i w:val="0"/>
                <w:color w:val="203740"/>
                <w:sz w:val="17"/>
              </w:rPr>
              <w:t>Provincia completa de San Cristóbal; no es valor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1640"/>
            <w:vAlign w:val="top"/>
            <w:tcMar>
              <w:top w:w="80" w:type="dxa"/>
              <w:start w:w="120" w:type="dxa"/>
              <w:bottom w:w="80" w:type="dxa"/>
              <w:end w:w="120" w:type="dxa"/>
            </w:tcMar>
          </w:tcPr>
          <w:p>
            <w:pPr>
              <w:spacing w:after="0"/>
            </w:pPr>
            <w:r>
              <w:rPr>
                <w:rFonts w:ascii="Calibri" w:hAnsi="Calibri" w:eastAsia="Calibri"/>
                <w:b w:val="0"/>
                <w:i w:val="0"/>
                <w:color w:val="203740"/>
                <w:sz w:val="17"/>
              </w:rPr>
              <w:t>Datos abiertos · provincia de registro</w:t>
            </w:r>
          </w:p>
        </w:tc>
      </w:tr>
    </w:tbl>
    <w:p>
      <w:pPr>
        <w:spacing w:after="0"/>
      </w:pPr>
    </w:p>
    <w:p>
      <w:pPr>
        <w:pStyle w:val="SourceNote"/>
      </w:pPr>
      <w:r>
        <w:rPr>
          <w:rFonts w:ascii="Calibri" w:hAnsi="Calibri" w:eastAsia="Calibri"/>
          <w:b w:val="0"/>
          <w:i w:val="0"/>
          <w:color w:val="5E7076"/>
          <w:sz w:val="17"/>
        </w:rPr>
        <w:t>Fuente: DDPT, Dashboard Territorial, dataset generado el 2026-08-01T15:52:35.655Z. La ausencia de registros no se interpreta automáticamente como cero.</w:t>
      </w:r>
    </w:p>
    <w:p>
      <w:pPr>
        <w:pStyle w:val="Heading1"/>
      </w:pPr>
      <w:r>
        <w:t>3. Fortalezas y debilidades basadas en el diagnóstico</w:t>
      </w:r>
    </w:p>
    <w:p>
      <w:r>
        <w:t>La clasificación siguiente utiliza únicamente indicadores comparables del diagnóstico. Se considera diferencia relevante una separación de al menos dos puntos porcentuales frente al promedio nacional. El crecimiento poblacional, el número absoluto de establecimientos y otros datos sin denominador comparable no se clasifican automáticamente como fortalezas o debilidades.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4680"/>
        <w:gridCol w:w="4680"/>
      </w:tblGrid>
      <w:tr>
        <w:trPr>
          <w:tblHeader w:val="true"/>
        </w:trPr>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Fortalezas observadas</w:t>
            </w:r>
          </w:p>
        </w:tc>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Debilidades observadas</w:t>
            </w:r>
          </w:p>
        </w:tc>
      </w:tr>
      <w:tr>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Las fuentes comparables disponibles no permiten clasificar una fortaleza cuantitativa con una diferencia mínima de 2 puntos porcentuales frente al promedio nacional.</w:t>
            </w:r>
          </w:p>
        </w:tc>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Acceso a agua del acueducto dentro de la vivienda: 46.7%; promedio nacional: 62.7% (-16.0 puntos porcentuales).</w:t>
              <w:br/>
              <w:t>• Hogares con inodoro: 81.7%; promedio nacional: 87.0% (-5.3 puntos porcentuales).</w:t>
              <w:br/>
              <w:t>• Uso de internet: 75.5%; promedio nacional: 79.0% (-3.5 puntos porcentuales).</w:t>
            </w:r>
          </w:p>
        </w:tc>
      </w:tr>
    </w:tbl>
    <w:p>
      <w:pPr>
        <w:spacing w:after="0"/>
      </w:pPr>
    </w:p>
    <w:p>
      <w:pPr>
        <w:pStyle w:val="SourceNote"/>
      </w:pPr>
      <w:r>
        <w:rPr>
          <w:rFonts w:ascii="Calibri" w:hAnsi="Calibri" w:eastAsia="Calibri"/>
          <w:b w:val="0"/>
          <w:i w:val="0"/>
          <w:color w:val="5E7076"/>
          <w:sz w:val="17"/>
        </w:rPr>
        <w:t>Fuente: ONE, X Censo Nacional de Población y Vivienda 2022; comparación con los agregados nacionales del Dashboard. La regla de ±2 puntos porcentuales se aplica de manera uniforme.</w:t>
      </w:r>
    </w:p>
    <w:p>
      <w:pPr>
        <w:pStyle w:val="Heading2"/>
      </w:pPr>
      <w:r>
        <w:t>3.1 Situaciones del diagnóstico para priorización</w:t>
      </w:r>
    </w:p>
    <w:p>
      <w:r>
        <w:t>Los hallazgos siguientes resumen situaciones verificables. No se les asigna orden de prioridad; el CDM debe contrastarlos con la experiencia de barrios, comunidades y sectores.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200"/>
        <w:gridCol w:w="5100"/>
        <w:gridCol w:w="2060"/>
      </w:tblGrid>
      <w:tr>
        <w:trPr>
          <w:tblHeader w:val="true"/>
        </w:trPr>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Tema</w:t>
            </w:r>
          </w:p>
        </w:tc>
        <w:tc>
          <w:tcPr>
            <w:tcW w:type="dxa" w:w="5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Situación observada</w:t>
            </w:r>
          </w:p>
        </w:tc>
        <w:tc>
          <w:tcPr>
            <w:tcW w:type="dxa" w:w="20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Población y territorio</w:t>
            </w:r>
          </w:p>
        </w:tc>
        <w:tc>
          <w:tcPr>
            <w:tcW w:type="dxa" w:w="5100"/>
            <w:vAlign w:val="top"/>
            <w:tcMar>
              <w:top w:w="80" w:type="dxa"/>
              <w:start w:w="120" w:type="dxa"/>
              <w:bottom w:w="80" w:type="dxa"/>
              <w:end w:w="120" w:type="dxa"/>
            </w:tcMar>
          </w:tcPr>
          <w:p>
            <w:pPr>
              <w:spacing w:after="0"/>
            </w:pPr>
            <w:r>
              <w:rPr>
                <w:rFonts w:ascii="Calibri" w:hAnsi="Calibri" w:eastAsia="Calibri"/>
                <w:b w:val="0"/>
                <w:i w:val="0"/>
                <w:color w:val="203740"/>
                <w:sz w:val="17"/>
              </w:rPr>
              <w:t>Variación intercensal de 15.8%; urbanización de 52.7%.</w:t>
            </w:r>
          </w:p>
        </w:tc>
        <w:tc>
          <w:tcPr>
            <w:tcW w:type="dxa" w:w="2060"/>
            <w:vAlign w:val="top"/>
            <w:tcMar>
              <w:top w:w="80" w:type="dxa"/>
              <w:start w:w="120" w:type="dxa"/>
              <w:bottom w:w="80" w:type="dxa"/>
              <w:end w:w="120" w:type="dxa"/>
            </w:tcMar>
          </w:tcPr>
          <w:p>
            <w:pPr>
              <w:spacing w:after="0"/>
            </w:pPr>
            <w:r>
              <w:rPr>
                <w:rFonts w:ascii="Calibri" w:hAnsi="Calibri" w:eastAsia="Calibri"/>
                <w:b w:val="0"/>
                <w:i w:val="0"/>
                <w:color w:val="203740"/>
                <w:sz w:val="17"/>
              </w:rPr>
              <w:t>DASH-BASE / DASH-URB</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y saneamiento</w:t>
            </w:r>
          </w:p>
        </w:tc>
        <w:tc>
          <w:tcPr>
            <w:tcW w:type="dxa" w:w="5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de acueducto dentro: 46.7%; hogares sin sanitario: 4.8%.</w:t>
            </w:r>
          </w:p>
        </w:tc>
        <w:tc>
          <w:tcPr>
            <w:tcW w:type="dxa" w:w="2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Residuos sólidos</w:t>
            </w:r>
          </w:p>
        </w:tc>
        <w:tc>
          <w:tcPr>
            <w:tcW w:type="dxa" w:w="5100"/>
            <w:vAlign w:val="top"/>
            <w:tcMar>
              <w:top w:w="80" w:type="dxa"/>
              <w:start w:w="120" w:type="dxa"/>
              <w:bottom w:w="80" w:type="dxa"/>
              <w:end w:w="120" w:type="dxa"/>
            </w:tcMar>
          </w:tcPr>
          <w:p>
            <w:pPr>
              <w:spacing w:after="0"/>
            </w:pPr>
            <w:r>
              <w:rPr>
                <w:rFonts w:ascii="Calibri" w:hAnsi="Calibri" w:eastAsia="Calibri"/>
                <w:b w:val="0"/>
                <w:i w:val="0"/>
                <w:color w:val="203740"/>
                <w:sz w:val="17"/>
              </w:rPr>
              <w:t>Recogida municipal declarada: 85.6%; quema: 7.1%.</w:t>
            </w:r>
          </w:p>
        </w:tc>
        <w:tc>
          <w:tcPr>
            <w:tcW w:type="dxa" w:w="2060"/>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Educación</w:t>
            </w:r>
          </w:p>
        </w:tc>
        <w:tc>
          <w:tcPr>
            <w:tcW w:type="dxa" w:w="5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Abandono secundario del distrito asociado: 4.5%.</w:t>
            </w:r>
          </w:p>
        </w:tc>
        <w:tc>
          <w:tcPr>
            <w:tcW w:type="dxa" w:w="2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r>
      <w:tr>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Economía local</w:t>
            </w:r>
          </w:p>
        </w:tc>
        <w:tc>
          <w:tcPr>
            <w:tcW w:type="dxa" w:w="5100"/>
            <w:vAlign w:val="top"/>
            <w:tcMar>
              <w:top w:w="80" w:type="dxa"/>
              <w:start w:w="120" w:type="dxa"/>
              <w:bottom w:w="80" w:type="dxa"/>
              <w:end w:w="120" w:type="dxa"/>
            </w:tcMar>
          </w:tcPr>
          <w:p>
            <w:pPr>
              <w:spacing w:after="0"/>
            </w:pPr>
            <w:r>
              <w:rPr>
                <w:rFonts w:ascii="Calibri" w:hAnsi="Calibri" w:eastAsia="Calibri"/>
                <w:b w:val="0"/>
                <w:i w:val="0"/>
                <w:color w:val="203740"/>
                <w:sz w:val="17"/>
              </w:rPr>
              <w:t>84.3% de los establecimientos observados son micro (1–10).</w:t>
            </w:r>
          </w:p>
        </w:tc>
        <w:tc>
          <w:tcPr>
            <w:tcW w:type="dxa" w:w="206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r>
      <w:tr>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Conectividad</w:t>
            </w:r>
          </w:p>
        </w:tc>
        <w:tc>
          <w:tcPr>
            <w:tcW w:type="dxa" w:w="5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Internet: 75.5%; computadora: 11.1%.</w:t>
            </w:r>
          </w:p>
        </w:tc>
        <w:tc>
          <w:tcPr>
            <w:tcW w:type="dxa" w:w="2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r>
    </w:tbl>
    <w:p>
      <w:pPr>
        <w:spacing w:after="0"/>
      </w:pPr>
    </w:p>
    <w:p>
      <w:pPr>
        <w:pStyle w:val="Heading1"/>
      </w:pPr>
      <w:r>
        <w:t>4. Visión Municipal</w:t>
      </w:r>
    </w:p>
    <w:p>
      <w:r>
        <w:t>La visión municipal, los objetivos y los resultados expresan acuerdos políticos y sociales. Deben surgir de la participación del CDM y ser aprobados mediante el procedimiento municipal correspondiente. La fila siguiente muestra únicamente el formato de registro.</w:t>
      </w:r>
    </w:p>
    <w:p>
      <w:pPr>
        <w:pStyle w:val="Heading2"/>
      </w:pPr>
      <w:r>
        <w:t>4.1 Ejemplo de registro de una visión y un objetivo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260"/>
        <w:gridCol w:w="3740"/>
        <w:gridCol w:w="3360"/>
      </w:tblGrid>
      <w:tr>
        <w:trPr>
          <w:tblHeader w:val="true"/>
        </w:trPr>
        <w:tc>
          <w:tcPr>
            <w:tcW w:type="dxa" w:w="2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Carácter</w:t>
            </w:r>
          </w:p>
        </w:tc>
        <w:tc>
          <w:tcPr>
            <w:tcW w:type="dxa" w:w="374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Visión / tema</w:t>
            </w:r>
          </w:p>
        </w:tc>
        <w:tc>
          <w:tcPr>
            <w:tcW w:type="dxa" w:w="33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Objetivo / resultado</w:t>
            </w:r>
          </w:p>
        </w:tc>
      </w:tr>
      <w:tr>
        <w:tc>
          <w:tcPr>
            <w:tcW w:type="dxa" w:w="2260"/>
            <w:vAlign w:val="top"/>
            <w:tcMar>
              <w:top w:w="80" w:type="dxa"/>
              <w:start w:w="120" w:type="dxa"/>
              <w:bottom w:w="80" w:type="dxa"/>
              <w:end w:w="120" w:type="dxa"/>
            </w:tcMar>
          </w:tcPr>
          <w:p>
            <w:pPr>
              <w:spacing w:after="0"/>
            </w:pPr>
            <w:r>
              <w:rPr>
                <w:rFonts w:ascii="Calibri" w:hAnsi="Calibri" w:eastAsia="Calibri"/>
                <w:b w:val="0"/>
                <w:i w:val="0"/>
                <w:color w:val="203740"/>
                <w:sz w:val="17"/>
              </w:rPr>
              <w:t>EJEMPLO DE FORMATO · NO APROBADO</w:t>
            </w:r>
          </w:p>
        </w:tc>
        <w:tc>
          <w:tcPr>
            <w:tcW w:type="dxa" w:w="3740"/>
            <w:vAlign w:val="top"/>
            <w:tcMar>
              <w:top w:w="80" w:type="dxa"/>
              <w:start w:w="120" w:type="dxa"/>
              <w:bottom w:w="80" w:type="dxa"/>
              <w:end w:w="120" w:type="dxa"/>
            </w:tcMar>
          </w:tcPr>
          <w:p>
            <w:pPr>
              <w:spacing w:after="0"/>
            </w:pPr>
            <w:r>
              <w:rPr>
                <w:rFonts w:ascii="Calibri" w:hAnsi="Calibri" w:eastAsia="Calibri"/>
                <w:b w:val="0"/>
                <w:i w:val="0"/>
                <w:color w:val="203740"/>
                <w:sz w:val="17"/>
              </w:rPr>
              <w:t>“En 2028, Villa Altagracia avanza como un municipio que mejora de manera equitativa sus servicios y protege los recursos de su territorio.”</w:t>
            </w:r>
          </w:p>
        </w:tc>
        <w:tc>
          <w:tcPr>
            <w:tcW w:type="dxa" w:w="3360"/>
            <w:vAlign w:val="top"/>
            <w:tcMar>
              <w:top w:w="80" w:type="dxa"/>
              <w:start w:w="120" w:type="dxa"/>
              <w:bottom w:w="80" w:type="dxa"/>
              <w:end w:w="120" w:type="dxa"/>
            </w:tcMar>
          </w:tcPr>
          <w:p>
            <w:pPr>
              <w:spacing w:after="0"/>
            </w:pPr>
            <w:r>
              <w:rPr>
                <w:rFonts w:ascii="Calibri" w:hAnsi="Calibri" w:eastAsia="Calibri"/>
                <w:b w:val="0"/>
                <w:i w:val="0"/>
                <w:color w:val="203740"/>
                <w:sz w:val="17"/>
              </w:rPr>
              <w:t>Ejemplo: mejorar un servicio priorizado por el CDM, usando un indicador del diagnóstico para fijar la línea base y medir el resultado.</w:t>
            </w:r>
          </w:p>
        </w:tc>
      </w:tr>
    </w:tbl>
    <w:p>
      <w:pPr>
        <w:spacing w:after="0"/>
      </w:pPr>
    </w:p>
    <w:p>
      <w:pPr>
        <w:pStyle w:val="SourceNote"/>
      </w:pPr>
      <w:r>
        <w:rPr>
          <w:rFonts w:ascii="Calibri" w:hAnsi="Calibri" w:eastAsia="Calibri"/>
          <w:b w:val="0"/>
          <w:i w:val="0"/>
          <w:color w:val="5E7076"/>
          <w:sz w:val="17"/>
        </w:rPr>
        <w:t>Fuente: MEPyD, Guía para la formulación de planes de desarrollo municipales, formulación estratégica, pp. 33–45.</w:t>
      </w:r>
    </w:p>
    <w:p>
      <w:r>
        <w:br w:type="page"/>
      </w:r>
    </w:p>
    <w:p>
      <w:pPr>
        <w:pStyle w:val="Heading1"/>
      </w:pPr>
      <w:r>
        <w:t>5. Inversión pública</w:t>
      </w:r>
    </w:p>
    <w:p>
      <w:r>
        <w:t>Con corte al 2026-08-02, MapaInversiones registra 15 proyectos en ejecución o reprogramados con identificación territorial específica para Villa Altagracia. La programación presupuestaria 2026 asociada suma RD$ 658,117,110 y la ejecución registrada suma RD$ 433,060,069. Estos proyectos pertenecen a instituciones públicas y no constituyen por sí mismos acuerdos, compromisos ni proyectos aprobados por el CDM o el ayuntamiento.</w:t>
      </w:r>
    </w:p>
    <w:p>
      <w:pPr>
        <w:pStyle w:val="SourceNote"/>
      </w:pPr>
      <w:r>
        <w:rPr>
          <w:rFonts w:ascii="Calibri" w:hAnsi="Calibri" w:eastAsia="Calibri"/>
          <w:b w:val="0"/>
          <w:i w:val="0"/>
          <w:color w:val="5E7076"/>
          <w:sz w:val="17"/>
        </w:rPr>
        <w:t>Fuente: MapaInversiones, datos abiertos 2026 y perfiles oficiales de proyectos, https://mapainversiones.gob.do/. Se incluyen únicamente proyectos con alcance municipal específico y estado EJECUCIÓN o REPROGRAMAR; los proyectos nacionales o provinciales sin municipio confirmado no se asignan artificialmente. Los importes se presentan en pesos dominicanos nominales, exactamente en la unidad publicada por la fuente y sin aplicar multiplicadores; los valores inusualmente bajos deben confirmarse en el perfil oficial.</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3540"/>
        <w:gridCol w:w="1980"/>
        <w:gridCol w:w="1500"/>
        <w:gridCol w:w="1170"/>
        <w:gridCol w:w="1170"/>
      </w:tblGrid>
      <w:tr>
        <w:trPr>
          <w:tblHeader w:val="true"/>
        </w:trPr>
        <w:tc>
          <w:tcPr>
            <w:tcW w:type="dxa" w:w="354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Proyecto</w:t>
            </w:r>
          </w:p>
        </w:tc>
        <w:tc>
          <w:tcPr>
            <w:tcW w:type="dxa" w:w="19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Institución</w:t>
            </w:r>
          </w:p>
        </w:tc>
        <w:tc>
          <w:tcPr>
            <w:tcW w:type="dxa" w:w="15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Estado / período</w:t>
            </w:r>
          </w:p>
        </w:tc>
        <w:tc>
          <w:tcPr>
            <w:tcW w:type="dxa" w:w="117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Asignación 2026 (RD$)</w:t>
            </w:r>
          </w:p>
        </w:tc>
        <w:tc>
          <w:tcPr>
            <w:tcW w:type="dxa" w:w="117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Ejecutado 2026 (RD$)</w:t>
            </w:r>
          </w:p>
        </w:tc>
      </w:tr>
      <w:tr>
        <w:tc>
          <w:tcPr>
            <w:tcW w:type="dxa" w:w="3540"/>
            <w:vAlign w:val="top"/>
            <w:tcMar>
              <w:top w:w="80" w:type="dxa"/>
              <w:start w:w="120" w:type="dxa"/>
              <w:bottom w:w="80" w:type="dxa"/>
              <w:end w:w="120" w:type="dxa"/>
            </w:tcMar>
          </w:tcPr>
          <w:p>
            <w:pPr>
              <w:spacing w:after="0"/>
            </w:pPr>
            <w:r>
              <w:rPr>
                <w:rFonts w:ascii="Calibri" w:hAnsi="Calibri" w:eastAsia="Calibri"/>
                <w:b w:val="0"/>
                <w:i w:val="0"/>
                <w:color w:val="203740"/>
                <w:sz w:val="17"/>
              </w:rPr>
              <w:t>RECONSTRUCCIÓN DE LA INFRAESTRUCTURA VIAL URBANA DEL MUNICIPIO VILLA ALTAGRACIA, PROVINCIA SAN CRISTÓBAL</w:t>
              <w:br/>
              <w:t>SNIP 15948 · Ficha 6234</w:t>
              <w:br/>
              <w:t>Ubicación: perfil oficial</w:t>
            </w:r>
          </w:p>
        </w:tc>
        <w:tc>
          <w:tcPr>
            <w:tcW w:type="dxa" w:w="1980"/>
            <w:vAlign w:val="top"/>
            <w:tcMar>
              <w:top w:w="80" w:type="dxa"/>
              <w:start w:w="120" w:type="dxa"/>
              <w:bottom w:w="80" w:type="dxa"/>
              <w:end w:w="120" w:type="dxa"/>
            </w:tcMar>
          </w:tcPr>
          <w:p>
            <w:pPr>
              <w:spacing w:after="0"/>
            </w:pPr>
            <w:r>
              <w:rPr>
                <w:rFonts w:ascii="Calibri" w:hAnsi="Calibri" w:eastAsia="Calibri"/>
                <w:b w:val="0"/>
                <w:i w:val="0"/>
                <w:color w:val="203740"/>
                <w:sz w:val="17"/>
              </w:rPr>
              <w:t>MINISTERIO DE OBRAS PUBLICAS Y COMUNICACIONES</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2023–2027</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337,508,243</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335,446,959</w:t>
            </w:r>
          </w:p>
        </w:tc>
      </w:tr>
      <w:tr>
        <w:tc>
          <w:tcPr>
            <w:tcW w:type="dxa" w:w="35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AMPLIACIÓN ACUEDUCTO DE VILLA ALTAGRACIA, PROVINCIA SAN CRISTOBAL.</w:t>
              <w:br/>
              <w:t>SNIP 14654 · Ficha 5297</w:t>
              <w:br/>
              <w:t>Ubicación: perfil oficial</w:t>
            </w:r>
          </w:p>
        </w:tc>
        <w:tc>
          <w:tcPr>
            <w:tcW w:type="dxa" w:w="198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INSTITUTO NACIONAL DE AGUA POTABLE Y ALCANTARILLADO (INAPA)</w:t>
            </w:r>
          </w:p>
        </w:tc>
        <w:tc>
          <w:tcPr>
            <w:tcW w:type="dxa" w:w="1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2021–2027</w:t>
            </w:r>
          </w:p>
        </w:tc>
        <w:tc>
          <w:tcPr>
            <w:tcW w:type="dxa" w:w="117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198,342,863</w:t>
            </w:r>
          </w:p>
        </w:tc>
        <w:tc>
          <w:tcPr>
            <w:tcW w:type="dxa" w:w="117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89,287,004</w:t>
            </w:r>
          </w:p>
        </w:tc>
      </w:tr>
      <w:tr>
        <w:tc>
          <w:tcPr>
            <w:tcW w:type="dxa" w:w="3540"/>
            <w:vAlign w:val="top"/>
            <w:tcMar>
              <w:top w:w="80" w:type="dxa"/>
              <w:start w:w="120" w:type="dxa"/>
              <w:bottom w:w="80" w:type="dxa"/>
              <w:end w:w="120" w:type="dxa"/>
            </w:tcMar>
          </w:tcPr>
          <w:p>
            <w:pPr>
              <w:spacing w:after="0"/>
            </w:pPr>
            <w:r>
              <w:rPr>
                <w:rFonts w:ascii="Calibri" w:hAnsi="Calibri" w:eastAsia="Calibri"/>
                <w:b w:val="0"/>
                <w:i w:val="0"/>
                <w:color w:val="203740"/>
                <w:sz w:val="17"/>
              </w:rPr>
              <w:t>CONSTRUCCIÓN DE MURO DE GAVIONES EN EL ARROYO CAÑA, AFECTADO POR EL DISTURBIO TROPICAL NO. 22, MUNICIPIO VILLA ALTAGRACIA, PROVINCIA SAN CRISTÓBAL</w:t>
              <w:br/>
              <w:t>SNIP 16891 · Ficha 7912</w:t>
              <w:br/>
              <w:t>Ubicación: perfil oficial</w:t>
            </w:r>
          </w:p>
        </w:tc>
        <w:tc>
          <w:tcPr>
            <w:tcW w:type="dxa" w:w="1980"/>
            <w:vAlign w:val="top"/>
            <w:tcMar>
              <w:top w:w="80" w:type="dxa"/>
              <w:start w:w="120" w:type="dxa"/>
              <w:bottom w:w="80" w:type="dxa"/>
              <w:end w:w="120" w:type="dxa"/>
            </w:tcMar>
          </w:tcPr>
          <w:p>
            <w:pPr>
              <w:spacing w:after="0"/>
            </w:pPr>
            <w:r>
              <w:rPr>
                <w:rFonts w:ascii="Calibri" w:hAnsi="Calibri" w:eastAsia="Calibri"/>
                <w:b w:val="0"/>
                <w:i w:val="0"/>
                <w:color w:val="203740"/>
                <w:sz w:val="17"/>
              </w:rPr>
              <w:t>MINISTERIO DE OBRAS PUBLICAS Y COMUNICACIONES</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2024–2027</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38,981,691</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0</w:t>
            </w:r>
          </w:p>
        </w:tc>
      </w:tr>
      <w:tr>
        <w:tc>
          <w:tcPr>
            <w:tcW w:type="dxa" w:w="35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CONSTRUCCIÓN DE PUENTE EN LA CARRETERA EL BATEY, PIEDRA BLANCA, MUNICIPIO VILLA ALTAGRACIA, PROVINCIA SAN CRISTÓBAL</w:t>
              <w:br/>
              <w:t>SNIP 16702 · Ficha 5879</w:t>
              <w:br/>
              <w:t>Ubicación: perfil oficial</w:t>
            </w:r>
          </w:p>
        </w:tc>
        <w:tc>
          <w:tcPr>
            <w:tcW w:type="dxa" w:w="198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MINISTERIO DE OBRAS PUBLICAS Y COMUNICACIONES</w:t>
            </w:r>
          </w:p>
        </w:tc>
        <w:tc>
          <w:tcPr>
            <w:tcW w:type="dxa" w:w="1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2024–2027</w:t>
            </w:r>
          </w:p>
        </w:tc>
        <w:tc>
          <w:tcPr>
            <w:tcW w:type="dxa" w:w="117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35,984,981</w:t>
            </w:r>
          </w:p>
        </w:tc>
        <w:tc>
          <w:tcPr>
            <w:tcW w:type="dxa" w:w="117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0</w:t>
            </w:r>
          </w:p>
        </w:tc>
      </w:tr>
      <w:tr>
        <w:tc>
          <w:tcPr>
            <w:tcW w:type="dxa" w:w="3540"/>
            <w:vAlign w:val="top"/>
            <w:tcMar>
              <w:top w:w="80" w:type="dxa"/>
              <w:start w:w="120" w:type="dxa"/>
              <w:bottom w:w="80" w:type="dxa"/>
              <w:end w:w="120" w:type="dxa"/>
            </w:tcMar>
          </w:tcPr>
          <w:p>
            <w:pPr>
              <w:spacing w:after="0"/>
            </w:pPr>
            <w:r>
              <w:rPr>
                <w:rFonts w:ascii="Calibri" w:hAnsi="Calibri" w:eastAsia="Calibri"/>
                <w:b w:val="0"/>
                <w:i w:val="0"/>
                <w:color w:val="203740"/>
                <w:sz w:val="17"/>
              </w:rPr>
              <w:t>CONSTRUCCIÓN ACUEDUCTO V CENTENARIO, PARAISO I-II-III, VILLA ALTAGRACIA, PROVINCIA SAN CRISTOBAL</w:t>
              <w:br/>
              <w:t>SNIP 14560 · Ficha 5003</w:t>
              <w:br/>
              <w:t>Ubicación: perfil oficial</w:t>
            </w:r>
          </w:p>
        </w:tc>
        <w:tc>
          <w:tcPr>
            <w:tcW w:type="dxa" w:w="1980"/>
            <w:vAlign w:val="top"/>
            <w:tcMar>
              <w:top w:w="80" w:type="dxa"/>
              <w:start w:w="120" w:type="dxa"/>
              <w:bottom w:w="80" w:type="dxa"/>
              <w:end w:w="120" w:type="dxa"/>
            </w:tcMar>
          </w:tcPr>
          <w:p>
            <w:pPr>
              <w:spacing w:after="0"/>
            </w:pPr>
            <w:r>
              <w:rPr>
                <w:rFonts w:ascii="Calibri" w:hAnsi="Calibri" w:eastAsia="Calibri"/>
                <w:b w:val="0"/>
                <w:i w:val="0"/>
                <w:color w:val="203740"/>
                <w:sz w:val="17"/>
              </w:rPr>
              <w:t>INSTITUTO NACIONAL DE AGUA POTABLE Y ALCANTARILLADO (INAPA)</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2021–2027</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22,726,698</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0</w:t>
            </w:r>
          </w:p>
        </w:tc>
      </w:tr>
      <w:tr>
        <w:tc>
          <w:tcPr>
            <w:tcW w:type="dxa" w:w="35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AMPLIACIÓN PLANTA DE TRATAMIENTO DE AGUA POTABLE ACUEDUCTO VILLA ALTAGRACIA, PROVINCIA SAN CRISTOBAL</w:t>
              <w:br/>
              <w:t>SNIP 14810 · Ficha 5493</w:t>
              <w:br/>
              <w:t>Ubicación: perfil oficial</w:t>
            </w:r>
          </w:p>
        </w:tc>
        <w:tc>
          <w:tcPr>
            <w:tcW w:type="dxa" w:w="198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INSTITUTO NACIONAL DE AGUA POTABLE Y ALCANTARILLADO (INAPA)</w:t>
            </w:r>
          </w:p>
        </w:tc>
        <w:tc>
          <w:tcPr>
            <w:tcW w:type="dxa" w:w="1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2022–2027</w:t>
            </w:r>
          </w:p>
        </w:tc>
        <w:tc>
          <w:tcPr>
            <w:tcW w:type="dxa" w:w="117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19,570,875</w:t>
            </w:r>
          </w:p>
        </w:tc>
        <w:tc>
          <w:tcPr>
            <w:tcW w:type="dxa" w:w="117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8,326,106</w:t>
            </w:r>
          </w:p>
        </w:tc>
      </w:tr>
      <w:tr>
        <w:tc>
          <w:tcPr>
            <w:tcW w:type="dxa" w:w="3540"/>
            <w:vAlign w:val="top"/>
            <w:tcMar>
              <w:top w:w="80" w:type="dxa"/>
              <w:start w:w="120" w:type="dxa"/>
              <w:bottom w:w="80" w:type="dxa"/>
              <w:end w:w="120" w:type="dxa"/>
            </w:tcMar>
          </w:tcPr>
          <w:p>
            <w:pPr>
              <w:spacing w:after="0"/>
            </w:pPr>
            <w:r>
              <w:rPr>
                <w:rFonts w:ascii="Calibri" w:hAnsi="Calibri" w:eastAsia="Calibri"/>
                <w:b w:val="0"/>
                <w:i w:val="0"/>
                <w:color w:val="203740"/>
                <w:sz w:val="17"/>
              </w:rPr>
              <w:t>CONSTRUCCIÓN DEL PUENTE DE ALCANTARILLA DE CAJÓN SIMPLE EN ARROYO NOVILLERO, POBLADO NOVILLERO, AFECTADO POR EL DISTURBIO TROPICAL NO.22, MUNICIPIO VILLA ALTAGRACIA, PROVINCIA SAN CRISTÓBAL</w:t>
              <w:br/>
              <w:t>SNIP 16402 · Ficha 7908</w:t>
              <w:br/>
              <w:t>Ubicación: perfil oficial</w:t>
            </w:r>
          </w:p>
        </w:tc>
        <w:tc>
          <w:tcPr>
            <w:tcW w:type="dxa" w:w="1980"/>
            <w:vAlign w:val="top"/>
            <w:tcMar>
              <w:top w:w="80" w:type="dxa"/>
              <w:start w:w="120" w:type="dxa"/>
              <w:bottom w:w="80" w:type="dxa"/>
              <w:end w:w="120" w:type="dxa"/>
            </w:tcMar>
          </w:tcPr>
          <w:p>
            <w:pPr>
              <w:spacing w:after="0"/>
            </w:pPr>
            <w:r>
              <w:rPr>
                <w:rFonts w:ascii="Calibri" w:hAnsi="Calibri" w:eastAsia="Calibri"/>
                <w:b w:val="0"/>
                <w:i w:val="0"/>
                <w:color w:val="203740"/>
                <w:sz w:val="17"/>
              </w:rPr>
              <w:t>MINISTERIO DE OBRAS PUBLICAS Y COMUNICACIONES</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2024–2027</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5,000,000</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0</w:t>
            </w:r>
          </w:p>
        </w:tc>
      </w:tr>
      <w:tr>
        <w:tc>
          <w:tcPr>
            <w:tcW w:type="dxa" w:w="35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AURA ESTELA NÚÑEZ, MUNICIPIO VILLA ALTAGRACIA, PROVINCIA SAN CRISTÓBAL.</w:t>
              <w:br/>
              <w:t>SNIP 15520 · Ficha 7064</w:t>
              <w:br/>
              <w:t>Ubicación: perfil oficial</w:t>
            </w:r>
          </w:p>
        </w:tc>
        <w:tc>
          <w:tcPr>
            <w:tcW w:type="dxa" w:w="198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DIRECCION DE INFRAESTRUCTURA ESCOLAR</w:t>
            </w:r>
          </w:p>
        </w:tc>
        <w:tc>
          <w:tcPr>
            <w:tcW w:type="dxa" w:w="1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2023–2027</w:t>
            </w:r>
          </w:p>
        </w:tc>
        <w:tc>
          <w:tcPr>
            <w:tcW w:type="dxa" w:w="117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1,000</w:t>
            </w:r>
          </w:p>
        </w:tc>
        <w:tc>
          <w:tcPr>
            <w:tcW w:type="dxa" w:w="117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0</w:t>
            </w:r>
          </w:p>
        </w:tc>
      </w:tr>
      <w:tr>
        <w:tc>
          <w:tcPr>
            <w:tcW w:type="dxa" w:w="3540"/>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ESTILIANO SUSANA, MUNICIPIO VILLA ALTAGRACIA, PROVINCIA SAN CRISTÓBAL.</w:t>
              <w:br/>
              <w:t>SNIP 15519 · Ficha 7063</w:t>
              <w:br/>
              <w:t>Ubicación: perfil oficial</w:t>
            </w:r>
          </w:p>
        </w:tc>
        <w:tc>
          <w:tcPr>
            <w:tcW w:type="dxa" w:w="1980"/>
            <w:vAlign w:val="top"/>
            <w:tcMar>
              <w:top w:w="80" w:type="dxa"/>
              <w:start w:w="120" w:type="dxa"/>
              <w:bottom w:w="80" w:type="dxa"/>
              <w:end w:w="120" w:type="dxa"/>
            </w:tcMar>
          </w:tcPr>
          <w:p>
            <w:pPr>
              <w:spacing w:after="0"/>
            </w:pPr>
            <w:r>
              <w:rPr>
                <w:rFonts w:ascii="Calibri" w:hAnsi="Calibri" w:eastAsia="Calibri"/>
                <w:b w:val="0"/>
                <w:i w:val="0"/>
                <w:color w:val="203740"/>
                <w:sz w:val="17"/>
              </w:rPr>
              <w:t>DIRECCION DE INFRAESTRUCTURA ESCOLAR</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2023–2027</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109</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0</w:t>
            </w:r>
          </w:p>
        </w:tc>
      </w:tr>
      <w:tr>
        <w:tc>
          <w:tcPr>
            <w:tcW w:type="dxa" w:w="35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MARÍA DEL ROSARIO ALMÁNZAR, MUNICIPIO VILLA ALTAGRACIA, PROVINCIA SAN CRISTÓBAL.</w:t>
              <w:br/>
              <w:t>SNIP 15524 · Ficha 7068</w:t>
              <w:br/>
              <w:t>Ubicación: perfil oficial</w:t>
            </w:r>
          </w:p>
        </w:tc>
        <w:tc>
          <w:tcPr>
            <w:tcW w:type="dxa" w:w="198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DIRECCION DE INFRAESTRUCTURA ESCOLAR</w:t>
            </w:r>
          </w:p>
        </w:tc>
        <w:tc>
          <w:tcPr>
            <w:tcW w:type="dxa" w:w="1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2023–2027</w:t>
            </w:r>
          </w:p>
        </w:tc>
        <w:tc>
          <w:tcPr>
            <w:tcW w:type="dxa" w:w="117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109</w:t>
            </w:r>
          </w:p>
        </w:tc>
        <w:tc>
          <w:tcPr>
            <w:tcW w:type="dxa" w:w="117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0</w:t>
            </w:r>
          </w:p>
        </w:tc>
      </w:tr>
      <w:tr>
        <w:tc>
          <w:tcPr>
            <w:tcW w:type="dxa" w:w="3540"/>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PROF. LORENZO PÉREZ POCHE, MUNICIPIO VILLA ALTAGRACIA, PROVINCIA SAN CRISTÓBAL.</w:t>
              <w:br/>
              <w:t>SNIP 15521 · Ficha 7065</w:t>
              <w:br/>
              <w:t>Ubicación: perfil oficial</w:t>
            </w:r>
          </w:p>
        </w:tc>
        <w:tc>
          <w:tcPr>
            <w:tcW w:type="dxa" w:w="1980"/>
            <w:vAlign w:val="top"/>
            <w:tcMar>
              <w:top w:w="80" w:type="dxa"/>
              <w:start w:w="120" w:type="dxa"/>
              <w:bottom w:w="80" w:type="dxa"/>
              <w:end w:w="120" w:type="dxa"/>
            </w:tcMar>
          </w:tcPr>
          <w:p>
            <w:pPr>
              <w:spacing w:after="0"/>
            </w:pPr>
            <w:r>
              <w:rPr>
                <w:rFonts w:ascii="Calibri" w:hAnsi="Calibri" w:eastAsia="Calibri"/>
                <w:b w:val="0"/>
                <w:i w:val="0"/>
                <w:color w:val="203740"/>
                <w:sz w:val="17"/>
              </w:rPr>
              <w:t>DIRECCION DE INFRAESTRUCTURA ESCOLAR</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2023–2027</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109</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0</w:t>
            </w:r>
          </w:p>
        </w:tc>
      </w:tr>
      <w:tr>
        <w:tc>
          <w:tcPr>
            <w:tcW w:type="dxa" w:w="35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JAVIER ANGULO GURIDI, MUNICIPIO VILLA ALTAGRACIA, PROVINCIA SAN CRISTÓBAL.</w:t>
              <w:br/>
              <w:t>SNIP 15522 · Ficha 7066</w:t>
              <w:br/>
              <w:t>Ubicación: perfil oficial</w:t>
            </w:r>
          </w:p>
        </w:tc>
        <w:tc>
          <w:tcPr>
            <w:tcW w:type="dxa" w:w="198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DIRECCION DE INFRAESTRUCTURA ESCOLAR</w:t>
            </w:r>
          </w:p>
        </w:tc>
        <w:tc>
          <w:tcPr>
            <w:tcW w:type="dxa" w:w="1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2023–2027</w:t>
            </w:r>
          </w:p>
        </w:tc>
        <w:tc>
          <w:tcPr>
            <w:tcW w:type="dxa" w:w="117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108</w:t>
            </w:r>
          </w:p>
        </w:tc>
        <w:tc>
          <w:tcPr>
            <w:tcW w:type="dxa" w:w="117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0</w:t>
            </w:r>
          </w:p>
        </w:tc>
      </w:tr>
      <w:tr>
        <w:tc>
          <w:tcPr>
            <w:tcW w:type="dxa" w:w="3540"/>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LA CUCHILLA, MUNICIPIO VILLA ALTAGRACIA, PROVINCIA SAN CRISTÓBAL.</w:t>
              <w:br/>
              <w:t>SNIP 15523 · Ficha 7067</w:t>
              <w:br/>
              <w:t>Ubicación: perfil oficial</w:t>
            </w:r>
          </w:p>
        </w:tc>
        <w:tc>
          <w:tcPr>
            <w:tcW w:type="dxa" w:w="1980"/>
            <w:vAlign w:val="top"/>
            <w:tcMar>
              <w:top w:w="80" w:type="dxa"/>
              <w:start w:w="120" w:type="dxa"/>
              <w:bottom w:w="80" w:type="dxa"/>
              <w:end w:w="120" w:type="dxa"/>
            </w:tcMar>
          </w:tcPr>
          <w:p>
            <w:pPr>
              <w:spacing w:after="0"/>
            </w:pPr>
            <w:r>
              <w:rPr>
                <w:rFonts w:ascii="Calibri" w:hAnsi="Calibri" w:eastAsia="Calibri"/>
                <w:b w:val="0"/>
                <w:i w:val="0"/>
                <w:color w:val="203740"/>
                <w:sz w:val="17"/>
              </w:rPr>
              <w:t>DIRECCION DE INFRAESTRUCTURA ESCOLAR</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2023–2027</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108</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0</w:t>
            </w:r>
          </w:p>
        </w:tc>
      </w:tr>
      <w:tr>
        <w:tc>
          <w:tcPr>
            <w:tcW w:type="dxa" w:w="354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MARTIN LUTHER KING, MUNICIPIO VILLA ALTAGRACIA, PROVINCIA SAN CRISTÓBAL.</w:t>
              <w:br/>
              <w:t>SNIP 15526 · Ficha 7070</w:t>
              <w:br/>
              <w:t>Ubicación: perfil oficial</w:t>
            </w:r>
          </w:p>
        </w:tc>
        <w:tc>
          <w:tcPr>
            <w:tcW w:type="dxa" w:w="198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DIRECCION DE INFRAESTRUCTURA ESCOLAR</w:t>
            </w:r>
          </w:p>
        </w:tc>
        <w:tc>
          <w:tcPr>
            <w:tcW w:type="dxa" w:w="1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2023–2027</w:t>
            </w:r>
          </w:p>
        </w:tc>
        <w:tc>
          <w:tcPr>
            <w:tcW w:type="dxa" w:w="117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108</w:t>
            </w:r>
          </w:p>
        </w:tc>
        <w:tc>
          <w:tcPr>
            <w:tcW w:type="dxa" w:w="117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0</w:t>
            </w:r>
          </w:p>
        </w:tc>
      </w:tr>
      <w:tr>
        <w:tc>
          <w:tcPr>
            <w:tcW w:type="dxa" w:w="3540"/>
            <w:vAlign w:val="top"/>
            <w:tcMar>
              <w:top w:w="80" w:type="dxa"/>
              <w:start w:w="120" w:type="dxa"/>
              <w:bottom w:w="80" w:type="dxa"/>
              <w:end w:w="120" w:type="dxa"/>
            </w:tcMar>
          </w:tcPr>
          <w:p>
            <w:pPr>
              <w:spacing w:after="0"/>
            </w:pPr>
            <w:r>
              <w:rPr>
                <w:rFonts w:ascii="Calibri" w:hAnsi="Calibri" w:eastAsia="Calibri"/>
                <w:b w:val="0"/>
                <w:i w:val="0"/>
                <w:color w:val="203740"/>
                <w:sz w:val="17"/>
              </w:rPr>
              <w:t>AMPLIACIÓN DEL PLANTEL EDUCATIVO PARA INICIAL PROF. FLORA MATILDE JIMÉNEZ, MUNICIPIO VILLA ALTAGRACIA, PROVINCIA SAN CRISTÓBAL.</w:t>
              <w:br/>
              <w:t>SNIP 15525 · Ficha 7069</w:t>
              <w:br/>
              <w:t>Ubicación: perfil oficial</w:t>
            </w:r>
          </w:p>
        </w:tc>
        <w:tc>
          <w:tcPr>
            <w:tcW w:type="dxa" w:w="1980"/>
            <w:vAlign w:val="top"/>
            <w:tcMar>
              <w:top w:w="80" w:type="dxa"/>
              <w:start w:w="120" w:type="dxa"/>
              <w:bottom w:w="80" w:type="dxa"/>
              <w:end w:w="120" w:type="dxa"/>
            </w:tcMar>
          </w:tcPr>
          <w:p>
            <w:pPr>
              <w:spacing w:after="0"/>
            </w:pPr>
            <w:r>
              <w:rPr>
                <w:rFonts w:ascii="Calibri" w:hAnsi="Calibri" w:eastAsia="Calibri"/>
                <w:b w:val="0"/>
                <w:i w:val="0"/>
                <w:color w:val="203740"/>
                <w:sz w:val="17"/>
              </w:rPr>
              <w:t>DIRECCION DE INFRAESTRUCTURA ESCOLAR</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En ejecución</w:t>
              <w:br/>
              <w:t>2023–2027</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108</w:t>
            </w:r>
          </w:p>
        </w:tc>
        <w:tc>
          <w:tcPr>
            <w:tcW w:type="dxa" w:w="1170"/>
            <w:vAlign w:val="top"/>
            <w:tcMar>
              <w:top w:w="80" w:type="dxa"/>
              <w:start w:w="120" w:type="dxa"/>
              <w:bottom w:w="80" w:type="dxa"/>
              <w:end w:w="120" w:type="dxa"/>
            </w:tcMar>
          </w:tcPr>
          <w:p>
            <w:pPr>
              <w:spacing w:after="0"/>
            </w:pPr>
            <w:r>
              <w:rPr>
                <w:rFonts w:ascii="Calibri" w:hAnsi="Calibri" w:eastAsia="Calibri"/>
                <w:b w:val="0"/>
                <w:i w:val="0"/>
                <w:color w:val="203740"/>
                <w:sz w:val="17"/>
              </w:rPr>
              <w:t>0</w:t>
            </w:r>
          </w:p>
        </w:tc>
      </w:tr>
    </w:tbl>
    <w:p>
      <w:pPr>
        <w:spacing w:after="0"/>
      </w:pPr>
    </w:p>
    <w:p>
      <w:pPr>
        <w:pStyle w:val="Heading1"/>
      </w:pPr>
      <w:r>
        <w:t>6. Plan de acción a acordar por el CDM</w:t>
      </w:r>
    </w:p>
    <w:p>
      <w:r>
        <w:t>La fila siguiente sirve únicamente para mostrar cómo convertir un acuerdo futuro del CDM en una acción con línea base, indicador y decisiones verificables.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920"/>
        <w:gridCol w:w="2320"/>
        <w:gridCol w:w="2520"/>
        <w:gridCol w:w="2600"/>
      </w:tblGrid>
      <w:tr>
        <w:trPr>
          <w:tblHeader w:val="true"/>
        </w:trPr>
        <w:tc>
          <w:tcPr>
            <w:tcW w:type="dxa" w:w="19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Carácter</w:t>
            </w:r>
          </w:p>
        </w:tc>
        <w:tc>
          <w:tcPr>
            <w:tcW w:type="dxa" w:w="23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Acción</w:t>
            </w:r>
          </w:p>
        </w:tc>
        <w:tc>
          <w:tcPr>
            <w:tcW w:type="dxa" w:w="252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Línea base e indicador</w:t>
            </w:r>
          </w:p>
        </w:tc>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Decisiones que debe tomar el CDM</w:t>
            </w:r>
          </w:p>
        </w:tc>
      </w:tr>
      <w:tr>
        <w:tc>
          <w:tcPr>
            <w:tcW w:type="dxa" w:w="1920"/>
            <w:vAlign w:val="top"/>
            <w:tcMar>
              <w:top w:w="80" w:type="dxa"/>
              <w:start w:w="120" w:type="dxa"/>
              <w:bottom w:w="80" w:type="dxa"/>
              <w:end w:w="120" w:type="dxa"/>
            </w:tcMar>
          </w:tcPr>
          <w:p>
            <w:pPr>
              <w:spacing w:after="0"/>
            </w:pPr>
            <w:r>
              <w:rPr>
                <w:rFonts w:ascii="Calibri" w:hAnsi="Calibri" w:eastAsia="Calibri"/>
                <w:b w:val="0"/>
                <w:i w:val="0"/>
                <w:color w:val="203740"/>
                <w:sz w:val="17"/>
              </w:rPr>
              <w:t>EJEMPLO DE FORMATO · NO APROBADO</w:t>
            </w:r>
          </w:p>
        </w:tc>
        <w:tc>
          <w:tcPr>
            <w:tcW w:type="dxa" w:w="2320"/>
            <w:vAlign w:val="top"/>
            <w:tcMar>
              <w:top w:w="80" w:type="dxa"/>
              <w:start w:w="120" w:type="dxa"/>
              <w:bottom w:w="80" w:type="dxa"/>
              <w:end w:w="120" w:type="dxa"/>
            </w:tcMar>
          </w:tcPr>
          <w:p>
            <w:pPr>
              <w:spacing w:after="0"/>
            </w:pPr>
            <w:r>
              <w:rPr>
                <w:rFonts w:ascii="Calibri" w:hAnsi="Calibri" w:eastAsia="Calibri"/>
                <w:b w:val="0"/>
                <w:i w:val="0"/>
                <w:color w:val="203740"/>
                <w:sz w:val="17"/>
              </w:rPr>
              <w:t>Mejoramiento de la gestión integral de residuos.</w:t>
            </w:r>
          </w:p>
        </w:tc>
        <w:tc>
          <w:tcPr>
            <w:tcW w:type="dxa" w:w="2520"/>
            <w:vAlign w:val="top"/>
            <w:tcMar>
              <w:top w:w="80" w:type="dxa"/>
              <w:start w:w="120" w:type="dxa"/>
              <w:bottom w:w="80" w:type="dxa"/>
              <w:end w:w="120" w:type="dxa"/>
            </w:tcMar>
          </w:tcPr>
          <w:p>
            <w:pPr>
              <w:spacing w:after="0"/>
            </w:pPr>
            <w:r>
              <w:rPr>
                <w:rFonts w:ascii="Calibri" w:hAnsi="Calibri" w:eastAsia="Calibri"/>
                <w:b w:val="0"/>
                <w:i w:val="0"/>
                <w:color w:val="203740"/>
                <w:sz w:val="17"/>
              </w:rPr>
              <w:t>Línea base 2022: 85.6% de hogares con recogida municipal y 7.1% que quema residuos.</w:t>
            </w:r>
          </w:p>
        </w:tc>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Alcance territorial, resultado, meta, plazo, responsables, costo, financiamiento y coordinación institucional.</w:t>
            </w:r>
          </w:p>
        </w:tc>
      </w:tr>
    </w:tbl>
    <w:p>
      <w:pPr>
        <w:spacing w:after="0"/>
      </w:pPr>
    </w:p>
    <w:p>
      <w:pPr>
        <w:pStyle w:val="SourceNote"/>
      </w:pPr>
      <w:r>
        <w:rPr>
          <w:rFonts w:ascii="Calibri" w:hAnsi="Calibri" w:eastAsia="Calibri"/>
          <w:b w:val="0"/>
          <w:i w:val="0"/>
          <w:color w:val="5E7076"/>
          <w:sz w:val="17"/>
        </w:rPr>
        <w:t>Fuente: ONE, Censo 2022 cuando existe ficha municipal; MEPyD, Guía para la formulación de planes de desarrollo municipales, pp. 33–49.</w:t>
      </w:r>
    </w:p>
    <w:p>
      <w:r>
        <w:br w:type="page"/>
      </w:r>
    </w:p>
    <w:p>
      <w:pPr>
        <w:pStyle w:val="Heading1"/>
      </w:pPr>
      <w:r>
        <w:t>Fuentes y trazabilidad</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300"/>
        <w:gridCol w:w="3300"/>
        <w:gridCol w:w="1300"/>
        <w:gridCol w:w="2200"/>
        <w:gridCol w:w="1260"/>
      </w:tblGrid>
      <w:tr>
        <w:trPr>
          <w:tblHeader w:val="true"/>
        </w:trPr>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ID</w:t>
            </w:r>
          </w:p>
        </w:tc>
        <w:tc>
          <w:tcPr>
            <w:tcW w:type="dxa" w:w="3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Documento</w:t>
            </w:r>
          </w:p>
        </w:tc>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Año</w:t>
            </w:r>
          </w:p>
        </w:tc>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Página / cobertura</w:t>
            </w:r>
          </w:p>
        </w:tc>
        <w:tc>
          <w:tcPr>
            <w:tcW w:type="dxa" w:w="1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Confianza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GEO-01</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 y GeoJSON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Sin paginación</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MAPA-IP</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MapaInversiones: datos abiertos y perfiles de proyectos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15 proyectos con alcance municipal específico; corte 2026-08-02</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 si perfil oficial; media si nombre del proyecto</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DASH-TERR</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DDPT Dashboard Territorial: indicadores administrativos y comparación territorial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2026-08-01</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 y provincial; ámbito rotulado en cada indicador</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 / según fuente oficial enlazada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DASH-BASE</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IX y X Censos Nacionales de Población y Vivienda</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2010 / 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DASH-PYR</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IX y X Censos: edad y sexo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2010 / 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DASH-HOG</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hogares y viviendas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DASH-URB</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población urbana y rural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condición de vida y servicios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Anuario Estadístico Educativo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Distrito asociado</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DASH-EDU-NIVEL</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nivel de instrucción</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Directorio de Empresas y Establecimientos</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DASH-SALUD</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Registro de establecimientos SNS mostrado por Dashboard</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s/f</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tecnologías de información</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WIKI-01</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Wikipedia en español: Villa Altagracia</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2026-08-02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Sin paginación</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Baja / secundaria</w:t>
            </w:r>
          </w:p>
        </w:tc>
      </w:tr>
    </w:tbl>
    <w:p>
      <w:pPr>
        <w:spacing w:after="0"/>
      </w:pPr>
    </w:p>
    <w:p>
      <w:pPr>
        <w:pStyle w:val="SourceNote"/>
      </w:pPr>
      <w:r>
        <w:rPr>
          <w:rFonts w:ascii="Calibri" w:hAnsi="Calibri" w:eastAsia="Calibri"/>
          <w:b w:val="0"/>
          <w:i w:val="0"/>
          <w:color w:val="5E7076"/>
          <w:sz w:val="17"/>
        </w:rPr>
        <w:t>Fuente: Los datasets del Dashboard no tienen paginación. Cuando se usa texto de un documento anterior, el rango de páginas y su alcance territorial se consignan en el párrafo correspondiente.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E7076"/>
        <w:sz w:val="15"/>
      </w:rPr>
      <w:t xml:space="preserve">Villa Altagracia, San Cristóbal · PMD 2025-2028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360"/>
      <w:jc w:val="center"/>
      <w:tblLayout w:type="fixed"/>
      <w:tblLook w:firstColumn="1" w:firstRow="1" w:lastColumn="0" w:lastRow="0" w:noHBand="0" w:noVBand="1" w:val="04A0"/>
      <w:tblInd w:w="120" w:type="dxa"/>
    </w:tblPr>
    <w:tblGrid>
      <w:gridCol w:w="6000"/>
      <w:gridCol w:w="3360"/>
    </w:tblGrid>
    <w:tr>
      <w:tc>
        <w:tcPr>
          <w:tcW w:type="dxa" w:w="6000"/>
          <w:tcMar>
            <w:top w:w="0" w:type="dxa"/>
            <w:start w:w="0" w:type="dxa"/>
            <w:bottom w:w="0" w:type="dxa"/>
            <w:end w:w="0" w:type="dxa"/>
          </w:tcMar>
        </w:tcPr>
        <w:p>
          <w:r>
            <w:rPr>
              <w:rFonts w:ascii="Calibri" w:hAnsi="Calibri" w:eastAsia="Calibri"/>
              <w:b/>
              <w:i w:val="0"/>
              <w:color w:val="14866D"/>
              <w:sz w:val="15"/>
            </w:rPr>
            <w:t>PLAN MUNICIPAL DE DESARROLLO</w:t>
          </w:r>
        </w:p>
      </w:tc>
      <w:tc>
        <w:tcPr>
          <w:tcW w:type="dxa" w:w="3360"/>
          <w:tcMar>
            <w:top w:w="0" w:type="dxa"/>
            <w:start w:w="0" w:type="dxa"/>
            <w:bottom w:w="0" w:type="dxa"/>
            <w:end w:w="0" w:type="dxa"/>
          </w:tcMar>
        </w:tcPr>
        <w:p>
          <w:pPr>
            <w:jc w:val="right"/>
          </w:pPr>
          <w:r>
            <w:rPr>
              <w:rFonts w:ascii="Calibri" w:hAnsi="Calibri" w:eastAsia="Calibri"/>
              <w:b w:val="0"/>
              <w:i w:val="0"/>
              <w:color w:val="5E7076"/>
              <w:sz w:val="15"/>
            </w:rPr>
            <w:t>Villa Altagracia · 05210005</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Calibri"/>
      <w:color w:val="20374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before="80" w:after="80" w:line="240" w:lineRule="auto"/>
    </w:pPr>
    <w:rPr>
      <w:rFonts w:ascii="Calibri" w:hAnsi="Calibri" w:eastAsia="Calibri"/>
      <w:color w:val="5E707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Municipal de Desarrollo de Villa Altagracia 2025-2028</dc:title>
  <dc:subject>Información general, diagnóstico territorial e inversión pública municipal con trazabilidad</dc:subject>
  <dc:creator>DDPT</dc:creator>
  <cp:keywords>PMD, municipio, diagnóstico, OMPP, CDM, trazabilidad</cp:keywords>
  <dc:description>generated by python-docx</dc:description>
  <cp:lastModifiedBy/>
  <cp:revision>1</cp:revision>
  <dcterms:created xsi:type="dcterms:W3CDTF">2013-12-23T23:15:00Z</dcterms:created>
  <dcterms:modified xsi:type="dcterms:W3CDTF">2013-12-23T23:15:00Z</dcterms:modified>
  <cp:category/>
</cp:coreProperties>
</file>