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Sabana Larga</w:t>
      </w:r>
    </w:p>
    <w:p>
      <w:pPr>
        <w:spacing w:after="600"/>
        <w:jc w:val="center"/>
      </w:pPr>
      <w:r>
        <w:rPr>
          <w:rFonts w:ascii="Calibri" w:hAnsi="Calibri" w:eastAsia="Calibri"/>
          <w:b w:val="0"/>
          <w:i w:val="0"/>
          <w:color w:val="5E7076"/>
          <w:sz w:val="24"/>
        </w:rPr>
        <w:t>San José de Ocoa · Región Valdesia</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05310002</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proyectos en ejecución o reprogramados identificados específicamente para el municipio en MapaInversiones.</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Sabana Larga, municipio de la provincia San José de Ocoa, registró 11,636 habitantes en 2022. Entre 2010 y 2022 su población aumentó 18.8%. El 64.1% reside en área urbana y el 35.9% en área rural. Estas proporciones determinan la escala y la distribución territorial de los servicios municipales.</w:t>
      </w:r>
    </w:p>
    <w:p>
      <w:r>
        <w:t>El diagnóstico registra 55.9% de hogares con agua del acueducto dentro de la vivienda, 89.1% con recogida municipal de residuos y 7.8% que los quema. El uso de internet alcanza 61.7%.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Sabana Larga forma parte de la provincia San José de Ocoa y de la región de planificación Valdesia. El código geográfico empleado es 05310002.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Sabana Larga</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San José de Ocoa</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Valdesia</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05310002</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161.2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72.2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El PMD anterior del período 2021-2024 recoge los siguientes antecedentes sobre la formación del territorio. del municipio Sabana Larga nació en el marco de una sociedad hatera, dentro de una organización económica fundada en lo que podía ofrecer la naturaleza, tal acontecimiento debió ocurrir a principios del siglo pasado. Su nombre primitivo era Rancho Largo, llamado así porque los hateros acostumbraban a llamarle ranchos a los bohíos que fabricaban cuando iban de cacería tras los puercos cimarrones. La Comunidad de Sabana Larga comenzó en un ranchito de la más modesta condición. Los acontecimientos históricos o hecho de naturaleza económica y/o social han marcado el desarrollo del municipio. Desarrollo humano y social Demografía Según la Oficina Nacional de Estadísticas (ONE), para el censo del 2010 , la población era de 9,794 personas, 5,294 hombres y 4,500 mujeres. [PMD-ANT, págs. 16-17]</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Sabana Larga registró 11,636 habitantes: 6,349 hombres (54.6%) y 5,287 mujeres (45.4%). Frente a los 9,794 habitantes censados en 2010, la población creció 18.8%. El cambio intercensal constituye la línea base para dimensionar servicios, infraestructura y demanda de suelo; no permite atribuir por sí solo causas de migración, fecundidad o movilidad residencial. [DASH-BASE]</w:t>
      </w:r>
    </w:p>
    <w:p>
      <w:r>
        <w:t>La distribución territorial muestra 7,462 habitantes en zona urbana (64.1%) y 4,174 en zona rural (35.9%). Esta relación debe considerarse al organizar rutas de servicios, mantenimiento vial, equipamientos y mecanismos de atención a comunidades dispersas. [DASH-URB]</w:t>
      </w:r>
    </w:p>
    <w:p>
      <w:r>
        <w:t>El municipio cuenta con 4,379 hogares y 11,629 personas residentes en hogares. El promedio es de 2.66 personas por hogar. El Censo registra 5,508 viviendas, de las cuales 4,359 estaban ocupadas y 1,146 desocupadas. [DASH-HOG] [DASH-BASE]</w:t>
      </w:r>
    </w:p>
    <w:p>
      <w:pPr>
        <w:pStyle w:val="Heading2"/>
      </w:pPr>
      <w:r>
        <w:t>1.5 Antecedentes de planificación</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000"/>
        <w:gridCol w:w="1400"/>
        <w:gridCol w:w="1500"/>
        <w:gridCol w:w="3460"/>
      </w:tblGrid>
      <w:tr>
        <w:trPr>
          <w:tblHeader w:val="true"/>
        </w:trPr>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PMD localizado</w:t>
            </w:r>
          </w:p>
        </w:tc>
        <w:tc>
          <w:tcPr>
            <w:tcW w:type="dxa" w:w="14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Condición</w:t>
            </w:r>
          </w:p>
        </w:tc>
        <w:tc>
          <w:tcPr>
            <w:tcW w:type="dxa" w:w="3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Uso permitido</w:t>
            </w:r>
          </w:p>
        </w:tc>
      </w:tr>
      <w:tr>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Plan Municipal de Desarrollo de Sabana Larga</w:t>
            </w:r>
          </w:p>
        </w:tc>
        <w:tc>
          <w:tcPr>
            <w:tcW w:type="dxa" w:w="1400"/>
            <w:vAlign w:val="top"/>
            <w:tcMar>
              <w:top w:w="80" w:type="dxa"/>
              <w:start w:w="120" w:type="dxa"/>
              <w:bottom w:w="80" w:type="dxa"/>
              <w:end w:w="120" w:type="dxa"/>
            </w:tcMar>
          </w:tcPr>
          <w:p>
            <w:pPr>
              <w:spacing w:after="0"/>
            </w:pPr>
            <w:r>
              <w:rPr>
                <w:rFonts w:ascii="Calibri" w:hAnsi="Calibri" w:eastAsia="Calibri"/>
                <w:b w:val="0"/>
                <w:i w:val="0"/>
                <w:color w:val="203740"/>
                <w:sz w:val="17"/>
              </w:rPr>
              <w:t>2021-2024</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Oficial</w:t>
            </w:r>
          </w:p>
        </w:tc>
        <w:tc>
          <w:tcPr>
            <w:tcW w:type="dxa" w:w="3460"/>
            <w:vAlign w:val="top"/>
            <w:tcMar>
              <w:top w:w="80" w:type="dxa"/>
              <w:start w:w="120" w:type="dxa"/>
              <w:bottom w:w="80" w:type="dxa"/>
              <w:end w:w="120" w:type="dxa"/>
            </w:tcMar>
          </w:tcPr>
          <w:p>
            <w:pPr>
              <w:spacing w:after="0"/>
            </w:pPr>
            <w:r>
              <w:rPr>
                <w:rFonts w:ascii="Calibri" w:hAnsi="Calibri" w:eastAsia="Calibri"/>
                <w:b w:val="0"/>
                <w:i w:val="0"/>
                <w:color w:val="203740"/>
                <w:sz w:val="17"/>
              </w:rPr>
              <w:t>Antecedente histórico; verificar continuidad</w:t>
            </w:r>
          </w:p>
        </w:tc>
      </w:tr>
    </w:tbl>
    <w:p>
      <w:pPr>
        <w:spacing w:after="0"/>
      </w:pPr>
    </w:p>
    <w:p>
      <w:r>
        <w:t>Los PMD anteriores permiten reconstruir la trayectoria de problemas, activos, objetivos y proyectos. En este borrador se utilizan para contextualizar la historia local y señalar temas de continuidad. No se presume que una obra esté ejecutada, que un problema permanezca vigente ni que una prioridad anterior haya sido ratificada para 2025–2028 sin verificación de la OMPP. [PMD-ANT]</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8 páginas siguientes reproducen la exportación vigente del Dashboard Territorial. Presentan la línea base estadística antes de su interpretación narrativa e incorporan los indicadores demográficos, sociales, económicos, institucionales, ambientales y de inversión disponibles. Los datos conservan el año, la fuente y el ámbito territorial; cuando la fuente solo publica un total provincial, la página lo identifica como «Provincia completa» y no lo atribuye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Bloque</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Demografía</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Condiciones de vida</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energía, residuos, educación, salud y conectividad</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y brechas observadas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Resultados y riesgos</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Seguridad, movilidad, incendios, inclusión, primera infancia y deporte</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Dato municipal o contexto provincial, según la fuente</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Gestión e inversión</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territorial, SISMAP, obras viales y licencias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Magnitud, ejecución y capacidad institucional</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Comparación</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Municipio, provincia, región y país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Posición relativa sin convertirla automáticamente en prioridad</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691718"/>
            <wp:docPr id="1" name="Picture 1"/>
            <wp:cNvGraphicFramePr>
              <a:graphicFrameLocks noChangeAspect="1"/>
            </wp:cNvGraphicFramePr>
            <a:graphic>
              <a:graphicData uri="http://schemas.openxmlformats.org/drawingml/2006/picture">
                <pic:pic>
                  <pic:nvPicPr>
                    <pic:cNvPr id="0" name="dashboard-pdf-page-1.jpg"/>
                    <pic:cNvPicPr/>
                  </pic:nvPicPr>
                  <pic:blipFill>
                    <a:blip r:embed="rId11"/>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2" name="Picture 2"/>
            <wp:cNvGraphicFramePr>
              <a:graphicFrameLocks noChangeAspect="1"/>
            </wp:cNvGraphicFramePr>
            <a:graphic>
              <a:graphicData uri="http://schemas.openxmlformats.org/drawingml/2006/picture">
                <pic:pic>
                  <pic:nvPicPr>
                    <pic:cNvPr id="0" name="dashboard-pdf-page-2.jpg"/>
                    <pic:cNvPicPr/>
                  </pic:nvPicPr>
                  <pic:blipFill>
                    <a:blip r:embed="rId12"/>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3" name="Picture 3"/>
            <wp:cNvGraphicFramePr>
              <a:graphicFrameLocks noChangeAspect="1"/>
            </wp:cNvGraphicFramePr>
            <a:graphic>
              <a:graphicData uri="http://schemas.openxmlformats.org/drawingml/2006/picture">
                <pic:pic>
                  <pic:nvPicPr>
                    <pic:cNvPr id="0" name="dashboard-pdf-page-3.jpg"/>
                    <pic:cNvPicPr/>
                  </pic:nvPicPr>
                  <pic:blipFill>
                    <a:blip r:embed="rId13"/>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4" name="Picture 4"/>
            <wp:cNvGraphicFramePr>
              <a:graphicFrameLocks noChangeAspect="1"/>
            </wp:cNvGraphicFramePr>
            <a:graphic>
              <a:graphicData uri="http://schemas.openxmlformats.org/drawingml/2006/picture">
                <pic:pic>
                  <pic:nvPicPr>
                    <pic:cNvPr id="0" name="dashboard-pdf-page-4.jpg"/>
                    <pic:cNvPicPr/>
                  </pic:nvPicPr>
                  <pic:blipFill>
                    <a:blip r:embed="rId14"/>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5" name="Picture 5"/>
            <wp:cNvGraphicFramePr>
              <a:graphicFrameLocks noChangeAspect="1"/>
            </wp:cNvGraphicFramePr>
            <a:graphic>
              <a:graphicData uri="http://schemas.openxmlformats.org/drawingml/2006/picture">
                <pic:pic>
                  <pic:nvPicPr>
                    <pic:cNvPr id="0" name="dashboard-pdf-page-5.jpg"/>
                    <pic:cNvPicPr/>
                  </pic:nvPicPr>
                  <pic:blipFill>
                    <a:blip r:embed="rId15"/>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6" name="Picture 6"/>
            <wp:cNvGraphicFramePr>
              <a:graphicFrameLocks noChangeAspect="1"/>
            </wp:cNvGraphicFramePr>
            <a:graphic>
              <a:graphicData uri="http://schemas.openxmlformats.org/drawingml/2006/picture">
                <pic:pic>
                  <pic:nvPicPr>
                    <pic:cNvPr id="0" name="dashboard-pdf-page-6.jpg"/>
                    <pic:cNvPicPr/>
                  </pic:nvPicPr>
                  <pic:blipFill>
                    <a:blip r:embed="rId16"/>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7" name="Picture 7"/>
            <wp:cNvGraphicFramePr>
              <a:graphicFrameLocks noChangeAspect="1"/>
            </wp:cNvGraphicFramePr>
            <a:graphic>
              <a:graphicData uri="http://schemas.openxmlformats.org/drawingml/2006/picture">
                <pic:pic>
                  <pic:nvPicPr>
                    <pic:cNvPr id="0" name="dashboard-pdf-page-7.jpg"/>
                    <pic:cNvPicPr/>
                  </pic:nvPicPr>
                  <pic:blipFill>
                    <a:blip r:embed="rId17"/>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8" name="Picture 8"/>
            <wp:cNvGraphicFramePr>
              <a:graphicFrameLocks noChangeAspect="1"/>
            </wp:cNvGraphicFramePr>
            <a:graphic>
              <a:graphicData uri="http://schemas.openxmlformats.org/drawingml/2006/picture">
                <pic:pic>
                  <pic:nvPicPr>
                    <pic:cNvPr id="0" name="dashboard-pdf-page-8.jpg"/>
                    <pic:cNvPicPr/>
                  </pic:nvPicPr>
                  <pic:blipFill>
                    <a:blip r:embed="rId18"/>
                    <a:stretch>
                      <a:fillRect/>
                    </a:stretch>
                  </pic:blipFill>
                  <pic:spPr>
                    <a:xfrm>
                      <a:off x="0" y="0"/>
                      <a:ext cx="5943600" cy="7691718"/>
                    </a:xfrm>
                    <a:prstGeom prst="rect"/>
                  </pic:spPr>
                </pic:pic>
              </a:graphicData>
            </a:graphic>
          </wp:inline>
        </w:drawing>
      </w:r>
    </w:p>
    <w:p>
      <w:pPr>
        <w:pStyle w:val="SourceNote"/>
      </w:pPr>
      <w:r>
        <w:rPr>
          <w:rFonts w:ascii="Calibri" w:hAnsi="Calibri" w:eastAsia="Calibri"/>
          <w:b w:val="0"/>
          <w:i w:val="0"/>
          <w:color w:val="5E7076"/>
          <w:sz w:val="17"/>
        </w:rPr>
        <w:t>Fuente: DDPT, Dashboard Territorial, ficha de Sabana Larga. Exportación generada el 2026-08-02.</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Sabana Larga se distribuye aproximadamente en 22.3% de población menor de 15 años, 67.1% entre 15 y 64 años y 10.6% de 65 años o más. La relación de dependencia demográfica estimada es de 49.1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64.1% y el tamaño medio de los hogares es 2.66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55.9% de los hogares declara recibir agua del acueducto dentro de la vivienda, frente a 62.7% a escala nacional. Para agua de beber, el uso de botellones representa 72.9%. La comparación sugiere una condición de acceso físico y un patrón de consumo, pero no informa continuidad, presión, potabilidad ni costo. Esos cuatro aspectos deben verificarse antes de formular intervenciones. [DASH-VIDA]</w:t>
      </w:r>
    </w:p>
    <w:p>
      <w:r>
        <w:t>En saneamiento, 72.7% de los hogares reporta inodoro y 5.0%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89.1% de los hogares. La recogida de residuos por el ayuntamiento alcanza 89.1%, mientras 7.8% declara quemarlos. El gas propano es el combustible principal de cocina en 79.7%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18 centros y 2,031 matrículas agregadas. De ellas, 1,029 corresponden a inicial/primario, 830 a secundario y 172 a educación de adultos. La cobertura corresponde a la asociación territorial usada por el Dashboard y debe verificarse cuando el distrito educativo abarque más de un municipio. [DASH-EDU]</w:t>
      </w:r>
    </w:p>
    <w:p>
      <w:r>
        <w:t>Entre la población de referencia de tres años o más, 17.1% aparece sin nivel de instrucción y 36.5%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94.6% en primaria y 91.3% en secundaria; el abandono reportado en secundaria es 3.6%.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23 establecimientos y un empleo estimado de 118.8, equivalente a 5.2 empleos por establecimiento. Los establecimientos de 1 a 10 personas representan 91.3% del total. Esto caracteriza la estructura formal observada por el DEE; no incluye necesariamente toda la economía informal, el autoempleo ni la producción agropecuaria familiar. [DASH-ECO]</w:t>
      </w:r>
    </w:p>
    <w:p>
      <w:r>
        <w:t>Las actividades con mayor empleo estimado en la fuente son Comercio al por mayor y al por menor; reparación de vehículos automotores y motocicletas (35.7 empleos estimados); Administración pública y defensa; planes de seguridad social de afiliación obligatoria (34.6 empleos estimados); Industrias manufactureras (20.8 empleos estimados). La mayor especialización relativa se observa en Agricultura, ganadería, silvicultura y pesca (cociente de localización 12.83). El cociente de localización compara concentración relativa, no productividad ni competitividad. [DASH-ECO]</w:t>
      </w:r>
    </w:p>
    <w:p>
      <w:pPr>
        <w:pStyle w:val="Heading2"/>
      </w:pPr>
      <w:r>
        <w:t>2.5 Salud, conectividad y acceso a información</w:t>
      </w:r>
    </w:p>
    <w:p>
      <w:r>
        <w:t>El Dashboard registra 4 establecimientos de salud en el municipio. La composición principal es: Centro De Primer Nivel: 4. Este conteo informa presencia física, no cartera de servicios, personal, horario, capacidad, calidad ni accesibilidad efectiva. La planificación municipal debe validar esos elementos con el Servicio Nacional de Salud. [DASH-SALUD]</w:t>
      </w:r>
    </w:p>
    <w:p>
      <w:r>
        <w:t>El uso de internet alcanza 61.7% y el de computadora 7.8%.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El PMD anterior aporta antecedentes históricos y territoriales útiles para comprender la formación del municipio. Sin embargo, sus descripciones de infraestructura, ambiente, economía o gestión corresponden a otro período. Antes de reutilizarlas, la OMPP debe clasificarlas como vigentes, modificadas o superadas y registrar la evidencia actual. [PMD-ANT]</w:t>
      </w:r>
    </w:p>
    <w:p>
      <w:pPr>
        <w:pStyle w:val="Heading2"/>
      </w:pPr>
      <w:r>
        <w:t>2.7 Indicadores territoriales adicionales</w:t>
      </w:r>
    </w:p>
    <w:p>
      <w:r>
        <w:t>El Dashboard Territorial amplía la línea base con registros administrativos recientes. La columna de ámbito es parte del dato: los valores provinciales sirven como contexto y no describen por sí solos la situación exclusiva del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2200"/>
        <w:gridCol w:w="2020"/>
        <w:gridCol w:w="1300"/>
        <w:gridCol w:w="164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Indicador</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 publicado</w:t>
            </w:r>
          </w:p>
        </w:tc>
        <w:tc>
          <w:tcPr>
            <w:tcW w:type="dxa" w:w="20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Ámbito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6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Incendios forestales registrados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2 registros; 137 tareas declaradas afectadas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Sabana Larga</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incendios forestales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Centros INAIPI</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 centros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Sabana Larga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20262</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INAIPI</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Instalaciones deportivas registradas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8 instalaciones; 6.9 por 10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Sabana Larga</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instalaciones deportivas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territorial</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RD$ 127,029,260; ejecutado RD$ 126,662,769; ejecución 99.7%</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Sabana Larga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estadísticas de proyectos de inversión</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Puntuación SISMAP Municipal</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42.0 / 100</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Sabana Larga</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2026-07-31</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SISMAP Municipal</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Robos reportados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55 casos; 79.6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José de Ocoa;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robos reportados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Homicidios intencionales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6 casos; 8.7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José de Ocoa;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ONE · muertes accidentales y violentas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Fallecimientos de tránsito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3 personas; 4.3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José de Ocoa;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fallecimientos de tránsito</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Hacinamiento extremo o moderado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16.5%</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José de Ocoa;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hacinamiento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Personas con discapacidad en ICV-1 o ICV-2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62.1%</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José de Ocoa;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discapacidad por provincia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Registros de nacimiento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875 registros; 12.7 por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José de Ocoa;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provincia de registro</w:t>
            </w:r>
          </w:p>
        </w:tc>
      </w:tr>
    </w:tbl>
    <w:p>
      <w:pPr>
        <w:spacing w:after="0"/>
      </w:pPr>
    </w:p>
    <w:p>
      <w:pPr>
        <w:pStyle w:val="SourceNote"/>
      </w:pPr>
      <w:r>
        <w:rPr>
          <w:rFonts w:ascii="Calibri" w:hAnsi="Calibri" w:eastAsia="Calibri"/>
          <w:b w:val="0"/>
          <w:i w:val="0"/>
          <w:color w:val="5E7076"/>
          <w:sz w:val="17"/>
        </w:rPr>
        <w:t>Fuente: DDPT, Dashboard Territorial, dataset generado el 2026-08-01T15:52:35.655Z. La ausencia de registros no se interpreta automáticamente como cero.</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Recogida de residuos por el ayuntamiento: 89.1%; promedio nacional: 85.9% (+3.2 puntos porcentuales).</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55.9%; promedio nacional: 62.7% (-6.8 puntos porcentuales).</w:t>
              <w:br/>
              <w:t>• Hogares con inodoro: 72.7%; promedio nacional: 87.0% (-14.3 puntos porcentuales).</w:t>
              <w:br/>
              <w:t>• Electricidad de la red pública: 89.1%; promedio nacional: 98.3% (-9.2 puntos porcentuales).</w:t>
              <w:br/>
              <w:t>• Uso de internet: 61.7%; promedio nacional: 79.0% (-17.3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18.8%; urbanización de 64.1%.</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55.9%; hogares sin sanitario: 5.0%.</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89.1%; quema: 7.8%.</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3.6%.</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91.3%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61.7%; computadora: 7.8%.</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Sabana Larga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r>
        <w:br w:type="page"/>
      </w:r>
    </w:p>
    <w:p>
      <w:pPr>
        <w:pStyle w:val="Heading1"/>
      </w:pPr>
      <w:r>
        <w:t>5. Inversión pública</w:t>
      </w:r>
    </w:p>
    <w:p>
      <w:r>
        <w:t>Con corte al 2026-08-02, MapaInversiones registra 6 proyectos en ejecución o reprogramados con identificación territorial específica para Sabana Larga. La programación presupuestaria 2026 asociada suma RD$ 336,546,157 y la ejecución registrada suma RD$ 239,105,633. Estos proyectos pertenecen a instituciones públicas y no constituyen por sí mismos acuerdos, compromisos ni proyectos aprobados por el CDM o el ayuntamiento.</w:t>
      </w:r>
    </w:p>
    <w:p>
      <w:pPr>
        <w:pStyle w:val="SourceNote"/>
      </w:pPr>
      <w:r>
        <w:rPr>
          <w:rFonts w:ascii="Calibri" w:hAnsi="Calibri" w:eastAsia="Calibri"/>
          <w:b w:val="0"/>
          <w:i w:val="0"/>
          <w:color w:val="5E7076"/>
          <w:sz w:val="17"/>
        </w:rPr>
        <w:t>Fuente: MapaInversiones, datos abiertos 2026 y perfiles oficiales de proyectos, https://mapainversiones.gob.do/. Se incluyen únicamente proyectos con alcance municipal específico y estado EJECUCIÓN o REPROGRAMAR; los proyectos nacionales o provinciales sin municipio confirmado no se asignan artificialmente. Los importes se presentan en pesos dominicanos nominales, exactamente en la unidad publicada por la fuente y sin aplicar multiplicadores; los valores inusualmente bajos deben confirmarse en el perfil oficial.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540"/>
        <w:gridCol w:w="1980"/>
        <w:gridCol w:w="1500"/>
        <w:gridCol w:w="1170"/>
        <w:gridCol w:w="1170"/>
      </w:tblGrid>
      <w:tr>
        <w:trPr>
          <w:tblHeader w:val="true"/>
        </w:trPr>
        <w:tc>
          <w:tcPr>
            <w:tcW w:type="dxa" w:w="35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Proyecto</w:t>
            </w:r>
          </w:p>
        </w:tc>
        <w:tc>
          <w:tcPr>
            <w:tcW w:type="dxa" w:w="19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Institución</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 / período</w:t>
            </w:r>
          </w:p>
        </w:tc>
        <w:tc>
          <w:tcPr>
            <w:tcW w:type="dxa" w:w="117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Asignación 2026 (RD$)</w:t>
            </w:r>
          </w:p>
        </w:tc>
        <w:tc>
          <w:tcPr>
            <w:tcW w:type="dxa" w:w="117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Ejecutado 2026 (RD$)</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AMPLIACIÓN ACUEDUCTO SAN JOSE DE OCOA - SABANA LARGA, PROVINCIA SAN JOSE DE OCOA</w:t>
              <w:br/>
              <w:t>SNIP 13905 · Ficha 2183</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INSTITUTO NACIONAL DE AGUA POTABLE Y ALCANTARILLADO (INAPA)</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2018–2027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201,102,656</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196,355,670</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 MURO DE GAVIONES EN ARROYO LA VACA AFECTADO POR LA VAGUADA DE ABRIL 2022, MUNICIPIO SABANA LARGA, PROVINCIA SAN JOSÉ DE OCOA</w:t>
              <w:br/>
              <w:t>SNIP 16225 · Ficha 5916</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58,745,934</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INFRAESTRUCTURA VIAL URBANA DEL MUNICIPIO DE SABANA LARGA, PROVINCIA SAN JOSÉ DE OCOA</w:t>
              <w:br/>
              <w:t>SNIP 15309 · Ficha 6209</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37,503,998</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30,000,000</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CONSTRUCCIÓN MURO DE GAVIONES, ARROYO LA VACA, CARRETERA EL NARANJAL AFECTADO POR EL DISTURBIO TROPICAL 22, MUNICIPIO SABANA LARGA, PROVINCIA SAN JOSE DE OCOA</w:t>
              <w:br/>
              <w:t>SNIP 16412 · Ficha 7895</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2024–2027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29,860,777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9,566,326</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DEL PLAY DE BÉISBOL DEL MUNICIPIO DE SABANA LARGA, PROVINCIA SAN JOSÉ DE OCOA</w:t>
              <w:br/>
              <w:t>SNIP 16159 · Ficha 7625</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5,024,700</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3,183,638</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CONSTRUCCIÓN PUENTE DE HORMIGON POSTENSADO SOBRE ARROYO LA VACA EN LA CALLE MANOLO TAVÁREZ JUSTO, AFECTADO POR EL DISTURBIO TROPICAL NO.22, MUNICIPIO SABANA LARGA, PROVINCIA SAN JOSÉ DE OCOA</w:t>
              <w:br/>
              <w:t>SNIP 16585 · Ficha 7937</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2024–2027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4,308,092</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bl>
    <w:p>
      <w:pPr>
        <w:spacing w:after="0"/>
      </w:pPr>
    </w:p>
    <w:p>
      <w:pPr>
        <w:pStyle w:val="Heading1"/>
      </w:pPr>
      <w:r>
        <w:t>6.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89.1% de hogares con recogida municipal y 7.8%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MAPA-IP</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MapaInversiones: datos abiertos y perfiles de proyectos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 proyectos con alcance municipal específico; corte 2026-08-02</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 si perfil oficial; media si nombre del proyecto</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DASH-TERR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DDPT Dashboard Territorial: indicadores administrativos y comparación territorial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2026-08-01</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 y provincial; ámbito rotulado en cada indicador</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 / según fuente oficial enlazada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Sabana Larga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2026-08-02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PMD-ANT-01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PMD de Sabana Larga 2021-2024</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2021-2024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132 páginas; citas específicas en texto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Sabana Larga, San José de Ocoa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Sabana Larga · 05310002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Sabana Larga 2025-2028</dc:title>
  <dc:subject>Información general, diagnóstico territorial e inversión pública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