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Galván</w:t>
      </w:r>
    </w:p>
    <w:p>
      <w:pPr>
        <w:spacing w:after="600"/>
        <w:jc w:val="center"/>
      </w:pPr>
      <w:r>
        <w:rPr>
          <w:rFonts w:ascii="Calibri" w:hAnsi="Calibri" w:eastAsia="Calibri"/>
          <w:b w:val="0"/>
          <w:i w:val="0"/>
          <w:color w:val="5E7076"/>
          <w:sz w:val="24"/>
        </w:rPr>
        <w:t>Bahoruco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06030002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Galván, municipio de la provincia Bahoruco, registró 15,677 habitantes en 2022. Entre 2010 y 2022 su población disminuyó 0.2%. El 45.1% reside en área urbana y el 54.9% en área rural. Estas proporciones determinan la escala y la distribución territorial de los servicios municipales.</w:t>
      </w:r>
    </w:p>
    <w:p>
      <w:r>
        <w:t>El diagnóstico registra 36.6% de hogares con agua del acueducto dentro de la vivienda, 57.2% con recogida municipal de residuos y 30.1% que los quema. El uso de internet alcanza 51.3%.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Galván forma parte de la provincia Bahoruco y de la región de planificación Enriquillo. El código geográfico empleado es 06030002.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Galván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Bahoruco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06030002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284.8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55.0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2021-2024 recoge los siguientes antecedentes sobre la formación del territorio. DESARROLLO HUMANO Y SOCIAL 29 2.1. Situación de la pobreza 30 2.2. Documentación e identidad 30 2.3. Situación de la salud 31 2.4. Situación de la educación 32 2.5. [PMD-ANT, págs. 3-4]</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Galván registró 15,677 habitantes: 8,170 hombres (52.1%) y 7,507 mujeres (47.9%). Frente a los 15,702 habitantes censados en 2010, la población disminuyó 0.2%. El cambio intercensal constituye la línea base para dimensionar servicios, infraestructura y demanda de suelo; no permite atribuir por sí solo causas de migración, fecundidad o movilidad residencial. [DASH-BASE]</w:t>
      </w:r>
    </w:p>
    <w:p>
      <w:r>
        <w:t>La distribución territorial muestra 7,078 habitantes en zona urbana (45.1%) y 8,599 en zona rural (54.9%). Esta relación debe considerarse al organizar rutas de servicios, mantenimiento vial, equipamientos y mecanismos de atención a comunidades dispersas. [DASH-URB]</w:t>
      </w:r>
    </w:p>
    <w:p>
      <w:r>
        <w:t>El municipio cuenta con 5,359 hogares y 15,673 personas residentes en hogares. El promedio es de 2.92 personas por hogar. El Censo registra 5,891 viviendas, de las cuales 5,080 estaban ocupadas y 809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Galván</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Galván.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Galván se distribuye aproximadamente en 26.9% de población menor de 15 años, 62.6% entre 15 y 64 años y 10.4% de 65 años o más. La relación de dependencia demográfica estimada es de 59.7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45.1% y el tamaño medio de los hogares es 2.92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36.6% de los hogares declara recibir agua del acueducto dentro de la vivienda, frente a 62.7% a escala nacional. Para agua de beber, el uso de botellones representa 70.3%. La comparación sugiere una condición de acceso físico y un patrón de consumo, pero no informa continuidad, presión, potabilidad ni costo. Esos cuatro aspectos deben verificarse antes de formular intervenciones. [DASH-VIDA]</w:t>
      </w:r>
    </w:p>
    <w:p>
      <w:r>
        <w:t>En saneamiento, 54.7% de los hogares reporta inodoro y 20.3%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97.4% de los hogares. La recogida de residuos por el ayuntamiento alcanza 57.2%, mientras 30.1% declara quemarlos. El gas propano es el combustible principal de cocina en 71.9%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28 centros y 4,828 matrículas agregadas. De ellas, 2,323 corresponden a inicial/primario, 2,055 a secundario y 450 a educación de adultos. La cobertura corresponde a la asociación territorial usada por el Dashboard y debe verificarse cuando el distrito educativo abarque más de un municipio. [DASH-EDU]</w:t>
      </w:r>
    </w:p>
    <w:p>
      <w:r>
        <w:t>Entre la población de referencia de tres años o más, 17.7% aparece sin nivel de instrucción y 34.3%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88.5% en primaria y 84.6% en secundaria; el abandono reportado en secundaria es 5.8%.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 establecimientos y un empleo estimado de 146.2, equivalente a 9.1 empleos por establecimiento. Los establecimientos de 1 a 10 personas representan 93.8%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(106.9 empleos estimados); Comercio al por mayor y al por menor; reparación de vehículos automotores y motocicletas (25.5 empleos estimados); Actividades de alojamiento y de servicio de comidas (6.1 empleos estimados). La mayor especialización relativa se observa en Administración pública y defensa; planes de seguridad social de afiliación obligatoria (cociente de localización 2.84).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51.3% y el de computadora 9.5%.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30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Galván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Galván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 instalaciones; 5.7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Galván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RD$ 93,085,034; ejecutado RD$ 92,674,897; ejecución 99.6%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Galván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Galván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36.6%; promedio nacional: 62.7% (-26.0 puntos porcentuales).</w:t>
              <w:br/>
              <w:t>• Recogida de residuos por el ayuntamiento: 57.2%; promedio nacional: 85.9% (-28.8 puntos porcentuales).</w:t>
              <w:br/>
              <w:t>• Hogares con inodoro: 54.7%; promedio nacional: 87.0% (-32.3 puntos porcentuales).</w:t>
              <w:br/>
              <w:t>• Uso de internet: 51.3%; promedio nacional: 79.0% (-27.7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-0.2%; urbanización de 45.1%.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36.6%; hogares sin sanitario: 20.3%.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57.2%; quema: 30.1%.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93.8%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51.3%; computadora: 9.5%.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Galván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en ejecución o reprogramados con una vinculación municipal específica para Galván.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57.2% de hogares con recogida municipal y 30.1%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Galván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Galván 2021-2024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67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Galván, Bahoruco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Galván · 06030002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Galván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