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440" w:after="0"/>
      </w:pPr>
    </w:p>
    <w:p>
      <w:pPr>
        <w:spacing w:after="360"/>
        <w:jc w:val="center"/>
      </w:pPr>
      <w:r>
        <w:rPr>
          <w:rFonts w:ascii="Calibri" w:hAnsi="Calibri" w:eastAsia="Calibri"/>
          <w:b/>
          <w:i w:val="0"/>
          <w:color w:val="A27719"/>
          <w:sz w:val="20"/>
        </w:rPr>
        <w:t>REPÚBLICA DOMINICANA · PLANIFICACIÓN MUNICIPAL</w:t>
      </w:r>
    </w:p>
    <w:p>
      <w:pPr>
        <w:spacing w:after="200"/>
        <w:jc w:val="center"/>
      </w:pPr>
      <w:r>
        <w:rPr>
          <w:rFonts w:ascii="Calibri" w:hAnsi="Calibri" w:eastAsia="Calibri"/>
          <w:b/>
          <w:i w:val="0"/>
          <w:color w:val="203740"/>
          <w:sz w:val="58"/>
        </w:rPr>
        <w:t>Plan Municipal de Desarrollo</w:t>
      </w:r>
    </w:p>
    <w:p>
      <w:pPr>
        <w:spacing w:after="100"/>
        <w:jc w:val="center"/>
      </w:pPr>
      <w:r>
        <w:rPr>
          <w:rFonts w:ascii="Calibri" w:hAnsi="Calibri" w:eastAsia="Calibri"/>
          <w:b/>
          <w:i w:val="0"/>
          <w:color w:val="14866D"/>
          <w:sz w:val="40"/>
        </w:rPr>
        <w:t>Duvergé</w:t>
      </w:r>
    </w:p>
    <w:p>
      <w:pPr>
        <w:spacing w:after="600"/>
        <w:jc w:val="center"/>
      </w:pPr>
      <w:r>
        <w:rPr>
          <w:rFonts w:ascii="Calibri" w:hAnsi="Calibri" w:eastAsia="Calibri"/>
          <w:b w:val="0"/>
          <w:i w:val="0"/>
          <w:color w:val="5E7076"/>
          <w:sz w:val="24"/>
        </w:rPr>
        <w:t>Independencia · Región Enriquillo</w:t>
      </w:r>
    </w:p>
    <w:p>
      <w:pPr>
        <w:spacing w:after="1400"/>
        <w:jc w:val="center"/>
      </w:pPr>
      <w:r>
        <w:rPr>
          <w:rFonts w:ascii="Calibri" w:hAnsi="Calibri" w:eastAsia="Calibri"/>
          <w:b/>
          <w:i w:val="0"/>
          <w:color w:val="2F6CC6"/>
          <w:sz w:val="32"/>
        </w:rPr>
        <w:t>2025-2028</w:t>
      </w:r>
    </w:p>
    <w:p>
      <w:pPr>
        <w:spacing w:before="440"/>
        <w:jc w:val="center"/>
      </w:pPr>
      <w:r>
        <w:rPr>
          <w:rFonts w:ascii="Calibri" w:hAnsi="Calibri" w:eastAsia="Calibri"/>
          <w:b w:val="0"/>
          <w:i w:val="0"/>
          <w:color w:val="5E7076"/>
          <w:sz w:val="18"/>
        </w:rPr>
        <w:t>Código geográfico 06100002</w:t>
      </w:r>
    </w:p>
    <w:p>
      <w:r>
        <w:br w:type="page"/>
      </w:r>
    </w:p>
    <w:p>
      <w:pPr>
        <w:pStyle w:val="Heading1"/>
      </w:pPr>
      <w:r>
        <w:t>Contenido</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900"/>
        <w:gridCol w:w="8460"/>
      </w:tblGrid>
      <w:tr>
        <w:trPr>
          <w:tblHeader w:val="true"/>
        </w:trPr>
        <w:tc>
          <w:tcPr>
            <w:tcW w:type="dxa" w:w="9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Parte</w:t>
            </w:r>
          </w:p>
        </w:tc>
        <w:tc>
          <w:tcPr>
            <w:tcW w:type="dxa" w:w="84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Contenido</w:t>
            </w:r>
          </w:p>
        </w:tc>
      </w:tr>
      <w:tr>
        <w:tc>
          <w:tcPr>
            <w:tcW w:type="dxa" w:w="900"/>
            <w:vAlign w:val="top"/>
            <w:tcMar>
              <w:top w:w="80" w:type="dxa"/>
              <w:start w:w="120" w:type="dxa"/>
              <w:bottom w:w="80" w:type="dxa"/>
              <w:end w:w="120" w:type="dxa"/>
            </w:tcMar>
          </w:tcPr>
          <w:p>
            <w:pPr>
              <w:spacing w:after="0"/>
            </w:pPr>
            <w:r>
              <w:rPr>
                <w:rFonts w:ascii="Calibri" w:hAnsi="Calibri" w:eastAsia="Calibri"/>
                <w:b w:val="0"/>
                <w:i w:val="0"/>
                <w:color w:val="203740"/>
                <w:sz w:val="17"/>
              </w:rPr>
              <w:t>1</w:t>
            </w:r>
          </w:p>
        </w:tc>
        <w:tc>
          <w:tcPr>
            <w:tcW w:type="dxa" w:w="8460"/>
            <w:vAlign w:val="top"/>
            <w:tcMar>
              <w:top w:w="80" w:type="dxa"/>
              <w:start w:w="120" w:type="dxa"/>
              <w:bottom w:w="80" w:type="dxa"/>
              <w:end w:w="120" w:type="dxa"/>
            </w:tcMar>
          </w:tcPr>
          <w:p>
            <w:pPr>
              <w:spacing w:after="0"/>
            </w:pPr>
            <w:r>
              <w:rPr>
                <w:rFonts w:ascii="Calibri" w:hAnsi="Calibri" w:eastAsia="Calibri"/>
                <w:b w:val="0"/>
                <w:i w:val="0"/>
                <w:color w:val="203740"/>
                <w:sz w:val="17"/>
              </w:rPr>
              <w:t>Información general: equipo, introducción, identidad territorial, antecedentes, marco jurídico y metodología.</w:t>
            </w:r>
          </w:p>
        </w:tc>
      </w:tr>
      <w:tr>
        <w:tc>
          <w:tcPr>
            <w:tcW w:type="dxa" w:w="9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w:t>
            </w:r>
          </w:p>
        </w:tc>
        <w:tc>
          <w:tcPr>
            <w:tcW w:type="dxa" w:w="84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Diagnóstico municipal: población, vivienda, servicios, educación, salud, economía y territorio.</w:t>
            </w:r>
          </w:p>
        </w:tc>
      </w:tr>
      <w:tr>
        <w:tc>
          <w:tcPr>
            <w:tcW w:type="dxa" w:w="900"/>
            <w:vAlign w:val="top"/>
            <w:tcMar>
              <w:top w:w="80" w:type="dxa"/>
              <w:start w:w="120" w:type="dxa"/>
              <w:bottom w:w="80" w:type="dxa"/>
              <w:end w:w="120" w:type="dxa"/>
            </w:tcMar>
          </w:tcPr>
          <w:p>
            <w:pPr>
              <w:spacing w:after="0"/>
            </w:pPr>
            <w:r>
              <w:rPr>
                <w:rFonts w:ascii="Calibri" w:hAnsi="Calibri" w:eastAsia="Calibri"/>
                <w:b w:val="0"/>
                <w:i w:val="0"/>
                <w:color w:val="203740"/>
                <w:sz w:val="17"/>
              </w:rPr>
              <w:t>3</w:t>
            </w:r>
          </w:p>
        </w:tc>
        <w:tc>
          <w:tcPr>
            <w:tcW w:type="dxa" w:w="8460"/>
            <w:vAlign w:val="top"/>
            <w:tcMar>
              <w:top w:w="80" w:type="dxa"/>
              <w:start w:w="120" w:type="dxa"/>
              <w:bottom w:w="80" w:type="dxa"/>
              <w:end w:w="120" w:type="dxa"/>
            </w:tcMar>
          </w:tcPr>
          <w:p>
            <w:pPr>
              <w:spacing w:after="0"/>
            </w:pPr>
            <w:r>
              <w:rPr>
                <w:rFonts w:ascii="Calibri" w:hAnsi="Calibri" w:eastAsia="Calibri"/>
                <w:b w:val="0"/>
                <w:i w:val="0"/>
                <w:color w:val="203740"/>
                <w:sz w:val="17"/>
              </w:rPr>
              <w:t>Fortalezas y debilidades basadas en el diagnóstico; situaciones que el CDM deberá priorizar.</w:t>
            </w:r>
          </w:p>
        </w:tc>
      </w:tr>
      <w:tr>
        <w:tc>
          <w:tcPr>
            <w:tcW w:type="dxa" w:w="9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4</w:t>
            </w:r>
          </w:p>
        </w:tc>
        <w:tc>
          <w:tcPr>
            <w:tcW w:type="dxa" w:w="84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Visión Municipal: espacio de decisión del CDM con un ejemplo de formato.</w:t>
            </w:r>
          </w:p>
        </w:tc>
      </w:tr>
      <w:tr>
        <w:tc>
          <w:tcPr>
            <w:tcW w:type="dxa" w:w="900"/>
            <w:vAlign w:val="top"/>
            <w:tcMar>
              <w:top w:w="80" w:type="dxa"/>
              <w:start w:w="120" w:type="dxa"/>
              <w:bottom w:w="80" w:type="dxa"/>
              <w:end w:w="120" w:type="dxa"/>
            </w:tcMar>
          </w:tcPr>
          <w:p>
            <w:pPr>
              <w:spacing w:after="0"/>
            </w:pPr>
            <w:r>
              <w:rPr>
                <w:rFonts w:ascii="Calibri" w:hAnsi="Calibri" w:eastAsia="Calibri"/>
                <w:b w:val="0"/>
                <w:i w:val="0"/>
                <w:color w:val="203740"/>
                <w:sz w:val="17"/>
              </w:rPr>
              <w:t>5</w:t>
            </w:r>
          </w:p>
        </w:tc>
        <w:tc>
          <w:tcPr>
            <w:tcW w:type="dxa" w:w="8460"/>
            <w:vAlign w:val="top"/>
            <w:tcMar>
              <w:top w:w="80" w:type="dxa"/>
              <w:start w:w="120" w:type="dxa"/>
              <w:bottom w:w="80" w:type="dxa"/>
              <w:end w:w="120" w:type="dxa"/>
            </w:tcMar>
          </w:tcPr>
          <w:p>
            <w:pPr>
              <w:spacing w:after="0"/>
            </w:pPr>
            <w:r>
              <w:rPr>
                <w:rFonts w:ascii="Calibri" w:hAnsi="Calibri" w:eastAsia="Calibri"/>
                <w:b w:val="0"/>
                <w:i w:val="0"/>
                <w:color w:val="203740"/>
                <w:sz w:val="17"/>
              </w:rPr>
              <w:t>Inversión pública: proyectos en ejecución o reprogramados identificados específicamente para el municipio en MapaInversiones.</w:t>
            </w:r>
          </w:p>
        </w:tc>
      </w:tr>
      <w:tr>
        <w:tc>
          <w:tcPr>
            <w:tcW w:type="dxa" w:w="9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6</w:t>
            </w:r>
          </w:p>
        </w:tc>
        <w:tc>
          <w:tcPr>
            <w:tcW w:type="dxa" w:w="84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Plan de acción: ejemplo de registro para convertir los acuerdos del CDM en acciones verificables.</w:t>
            </w:r>
          </w:p>
        </w:tc>
      </w:tr>
    </w:tbl>
    <w:p>
      <w:pPr>
        <w:spacing w:after="0"/>
      </w:pPr>
    </w:p>
    <w:p>
      <w:pPr>
        <w:pStyle w:val="Heading1"/>
      </w:pPr>
      <w:r>
        <w:t>Síntesis ejecutiva</w:t>
      </w:r>
    </w:p>
    <w:p>
      <w:r>
        <w:t>Duvergé, municipio de la provincia Independencia, registró 14,125 habitantes en 2022. Entre 2010 y 2022 su población aumentó 17.4%. El 80.8% reside en área urbana y el 19.2% en área rural. Estas proporciones determinan la escala y la distribución territorial de los servicios municipales.</w:t>
      </w:r>
    </w:p>
    <w:p>
      <w:r>
        <w:t>El diagnóstico registra 59.8% de hogares con agua del acueducto dentro de la vivienda, 91.2% con recogida municipal de residuos y 6.6% que los quema. El uso de internet alcanza 54.9%. Los capítulos siguientes presentan las cifras, sus fuentes y sus límites antes de la priorización del CDM.</w:t>
      </w:r>
    </w:p>
    <w:p>
      <w:r>
        <w:br w:type="page"/>
      </w:r>
    </w:p>
    <w:p>
      <w:pPr>
        <w:pStyle w:val="Heading1"/>
      </w:pPr>
      <w:r>
        <w:t>1. Información general</w:t>
      </w:r>
    </w:p>
    <w:p>
      <w:pPr>
        <w:pStyle w:val="Heading2"/>
      </w:pPr>
      <w:r>
        <w:t>1.1 Equipo de elaboración y participación del CDM</w:t>
      </w:r>
    </w:p>
    <w:p>
      <w:r>
        <w:t>La elaboración y gestión del PMD se organiza por responsabilidades institucionales. Esta forma de presentación mantiene claras las funciones durante todo el período del plan, aun cuando cambien las personas que ocupan los cargos. La representación comunitaria y sectorial se canaliza mediante el Consejo de Desarrollo Municipal (CDM), conforme a la Ley núm. 176-07.</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2900"/>
        <w:gridCol w:w="6460"/>
      </w:tblGrid>
      <w:tr>
        <w:trPr>
          <w:tblHeader w:val="true"/>
        </w:trPr>
        <w:tc>
          <w:tcPr>
            <w:tcW w:type="dxa" w:w="29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Instancia</w:t>
            </w:r>
          </w:p>
        </w:tc>
        <w:tc>
          <w:tcPr>
            <w:tcW w:type="dxa" w:w="64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Responsabilidad en el PMD</w:t>
            </w:r>
          </w:p>
        </w:tc>
      </w:tr>
      <w:tr>
        <w:tc>
          <w:tcPr>
            <w:tcW w:type="dxa" w:w="2900"/>
            <w:vAlign w:val="top"/>
            <w:tcMar>
              <w:top w:w="80" w:type="dxa"/>
              <w:start w:w="120" w:type="dxa"/>
              <w:bottom w:w="80" w:type="dxa"/>
              <w:end w:w="120" w:type="dxa"/>
            </w:tcMar>
          </w:tcPr>
          <w:p>
            <w:pPr>
              <w:spacing w:after="0"/>
            </w:pPr>
            <w:r>
              <w:rPr>
                <w:rFonts w:ascii="Calibri" w:hAnsi="Calibri" w:eastAsia="Calibri"/>
                <w:b w:val="0"/>
                <w:i w:val="0"/>
                <w:color w:val="203740"/>
                <w:sz w:val="17"/>
              </w:rPr>
              <w:t>Alcaldía</w:t>
            </w:r>
          </w:p>
        </w:tc>
        <w:tc>
          <w:tcPr>
            <w:tcW w:type="dxa" w:w="6460"/>
            <w:vAlign w:val="top"/>
            <w:tcMar>
              <w:top w:w="80" w:type="dxa"/>
              <w:start w:w="120" w:type="dxa"/>
              <w:bottom w:w="80" w:type="dxa"/>
              <w:end w:w="120" w:type="dxa"/>
            </w:tcMar>
          </w:tcPr>
          <w:p>
            <w:pPr>
              <w:spacing w:after="0"/>
            </w:pPr>
            <w:r>
              <w:rPr>
                <w:rFonts w:ascii="Calibri" w:hAnsi="Calibri" w:eastAsia="Calibri"/>
                <w:b w:val="0"/>
                <w:i w:val="0"/>
                <w:color w:val="203740"/>
                <w:sz w:val="17"/>
              </w:rPr>
              <w:t>Conducir políticamente el proceso, articular instituciones y presentar la programación anual vinculada al plan.</w:t>
            </w:r>
          </w:p>
        </w:tc>
      </w:tr>
      <w:tr>
        <w:tc>
          <w:tcPr>
            <w:tcW w:type="dxa" w:w="29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Concejo de Regidores</w:t>
            </w:r>
          </w:p>
        </w:tc>
        <w:tc>
          <w:tcPr>
            <w:tcW w:type="dxa" w:w="64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Conocer, deliberar, aprobar y fiscalizar los instrumentos, presupuestos y ordenanzas que correspondan.</w:t>
            </w:r>
          </w:p>
        </w:tc>
      </w:tr>
      <w:tr>
        <w:tc>
          <w:tcPr>
            <w:tcW w:type="dxa" w:w="2900"/>
            <w:vAlign w:val="top"/>
            <w:tcMar>
              <w:top w:w="80" w:type="dxa"/>
              <w:start w:w="120" w:type="dxa"/>
              <w:bottom w:w="80" w:type="dxa"/>
              <w:end w:w="120" w:type="dxa"/>
            </w:tcMar>
          </w:tcPr>
          <w:p>
            <w:pPr>
              <w:spacing w:after="0"/>
            </w:pPr>
            <w:r>
              <w:rPr>
                <w:rFonts w:ascii="Calibri" w:hAnsi="Calibri" w:eastAsia="Calibri"/>
                <w:b w:val="0"/>
                <w:i w:val="0"/>
                <w:color w:val="203740"/>
                <w:sz w:val="17"/>
              </w:rPr>
              <w:t>Oficina Municipal de Planificación y Programación (OMPP)</w:t>
            </w:r>
          </w:p>
        </w:tc>
        <w:tc>
          <w:tcPr>
            <w:tcW w:type="dxa" w:w="6460"/>
            <w:vAlign w:val="top"/>
            <w:tcMar>
              <w:top w:w="80" w:type="dxa"/>
              <w:start w:w="120" w:type="dxa"/>
              <w:bottom w:w="80" w:type="dxa"/>
              <w:end w:w="120" w:type="dxa"/>
            </w:tcMar>
          </w:tcPr>
          <w:p>
            <w:pPr>
              <w:spacing w:after="0"/>
            </w:pPr>
            <w:r>
              <w:rPr>
                <w:rFonts w:ascii="Calibri" w:hAnsi="Calibri" w:eastAsia="Calibri"/>
                <w:b w:val="0"/>
                <w:i w:val="0"/>
                <w:color w:val="203740"/>
                <w:sz w:val="17"/>
              </w:rPr>
              <w:t>Coordinar el diagnóstico, la formulación, la programación, los indicadores y los informes de avance.</w:t>
            </w:r>
          </w:p>
        </w:tc>
      </w:tr>
      <w:tr>
        <w:tc>
          <w:tcPr>
            <w:tcW w:type="dxa" w:w="29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Consejo de Desarrollo Municipal (CDM)</w:t>
            </w:r>
          </w:p>
        </w:tc>
        <w:tc>
          <w:tcPr>
            <w:tcW w:type="dxa" w:w="64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Participar en la elaboración, discusión y seguimiento del plan; canalizar prioridades territoriales y sectoriales.</w:t>
            </w:r>
          </w:p>
        </w:tc>
      </w:tr>
      <w:tr>
        <w:tc>
          <w:tcPr>
            <w:tcW w:type="dxa" w:w="2900"/>
            <w:vAlign w:val="top"/>
            <w:tcMar>
              <w:top w:w="80" w:type="dxa"/>
              <w:start w:w="120" w:type="dxa"/>
              <w:bottom w:w="80" w:type="dxa"/>
              <w:end w:w="120" w:type="dxa"/>
            </w:tcMar>
          </w:tcPr>
          <w:p>
            <w:pPr>
              <w:spacing w:after="0"/>
            </w:pPr>
            <w:r>
              <w:rPr>
                <w:rFonts w:ascii="Calibri" w:hAnsi="Calibri" w:eastAsia="Calibri"/>
                <w:b w:val="0"/>
                <w:i w:val="0"/>
                <w:color w:val="203740"/>
                <w:sz w:val="17"/>
              </w:rPr>
              <w:t>Áreas técnicas municipales</w:t>
            </w:r>
          </w:p>
        </w:tc>
        <w:tc>
          <w:tcPr>
            <w:tcW w:type="dxa" w:w="6460"/>
            <w:vAlign w:val="top"/>
            <w:tcMar>
              <w:top w:w="80" w:type="dxa"/>
              <w:start w:w="120" w:type="dxa"/>
              <w:bottom w:w="80" w:type="dxa"/>
              <w:end w:w="120" w:type="dxa"/>
            </w:tcMar>
          </w:tcPr>
          <w:p>
            <w:pPr>
              <w:spacing w:after="0"/>
            </w:pPr>
            <w:r>
              <w:rPr>
                <w:rFonts w:ascii="Calibri" w:hAnsi="Calibri" w:eastAsia="Calibri"/>
                <w:b w:val="0"/>
                <w:i w:val="0"/>
                <w:color w:val="203740"/>
                <w:sz w:val="17"/>
              </w:rPr>
              <w:t>Aportar información y ejecutar acciones dentro de sus competencias.</w:t>
            </w:r>
          </w:p>
        </w:tc>
      </w:tr>
      <w:tr>
        <w:tc>
          <w:tcPr>
            <w:tcW w:type="dxa" w:w="29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Representación social y económica</w:t>
            </w:r>
          </w:p>
        </w:tc>
        <w:tc>
          <w:tcPr>
            <w:tcW w:type="dxa" w:w="64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Aportar conocimiento local, contrastar prioridades y acompañar el seguimiento mediante el CDM.</w:t>
            </w:r>
          </w:p>
        </w:tc>
      </w:tr>
    </w:tbl>
    <w:p>
      <w:pPr>
        <w:spacing w:after="0"/>
      </w:pPr>
    </w:p>
    <w:p>
      <w:pPr>
        <w:pStyle w:val="SourceNote"/>
      </w:pPr>
      <w:r>
        <w:rPr>
          <w:rFonts w:ascii="Calibri" w:hAnsi="Calibri" w:eastAsia="Calibri"/>
          <w:b w:val="0"/>
          <w:i w:val="0"/>
          <w:color w:val="5E7076"/>
          <w:sz w:val="17"/>
        </w:rPr>
        <w:t>Fuente: Ley núm. 176-07 del Distrito Nacional y los Municipios, arts. 123–125; MEPyD, Guía para la formulación de planes de desarrollo municipales, pp. 21–22.</w:t>
      </w:r>
    </w:p>
    <w:p>
      <w:pPr>
        <w:pStyle w:val="Heading2"/>
      </w:pPr>
      <w:r>
        <w:t>1.2 Introducción y ¿qué es un PMD?</w:t>
      </w:r>
    </w:p>
    <w:p>
      <w:r>
        <w:t>El Plan Municipal de Desarrollo (PMD) es el instrumento que orienta las decisiones del ayuntamiento durante un período de cuatro años. Organiza una visión compartida del territorio, identifica sus condiciones y necesidades, define objetivos y convierte las prioridades en acciones que puedan relacionarse con el presupuesto, la gestión de servicios y la coordinación con el Gobierno central.</w:t>
      </w:r>
    </w:p>
    <w:p>
      <w:r>
        <w:t>El PMD no sustituye el presupuesto ni los planes operativos anuales: los articula. Cuando una necesidad corresponde a agua potable, salud, educación, carreteras u otra institución sectorial, el plan puede incorporarla como agenda de gestión y coordinación, con resultados e indicadores verificables.</w:t>
      </w:r>
    </w:p>
    <w:p>
      <w:pPr>
        <w:pStyle w:val="SourceNote"/>
      </w:pPr>
      <w:r>
        <w:rPr>
          <w:rFonts w:ascii="Calibri" w:hAnsi="Calibri" w:eastAsia="Calibri"/>
          <w:b w:val="0"/>
          <w:i w:val="0"/>
          <w:color w:val="5E7076"/>
          <w:sz w:val="17"/>
        </w:rPr>
        <w:t>Fuente: MEPyD, Guía para la formulación de planes de desarrollo municipales, pp. 19–21 y 46–49; Ley núm. 176-07, arts. 122–125.</w:t>
      </w:r>
    </w:p>
    <w:p>
      <w:pPr>
        <w:pStyle w:val="Heading2"/>
      </w:pPr>
      <w:r>
        <w:t>1.3 Identidad territorial, historia y configuración municipal</w:t>
      </w:r>
    </w:p>
    <w:p>
      <w:r>
        <w:t>Duvergé forma parte de la provincia Independencia y de la región de planificación Enriquillo. El código geográfico empleado es 06100002. La identificación territorial enlaza el clasificador geográfico, la cartografía, el Dashboard de Diagnóstico Territorial y las fuentes documentales. [GEO-01]</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2600"/>
        <w:gridCol w:w="3000"/>
        <w:gridCol w:w="3760"/>
      </w:tblGrid>
      <w:tr>
        <w:trPr>
          <w:tblHeader w:val="true"/>
        </w:trPr>
        <w:tc>
          <w:tcPr>
            <w:tcW w:type="dxa" w:w="26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Dato territorial</w:t>
            </w:r>
          </w:p>
        </w:tc>
        <w:tc>
          <w:tcPr>
            <w:tcW w:type="dxa" w:w="30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Valor</w:t>
            </w:r>
          </w:p>
        </w:tc>
        <w:tc>
          <w:tcPr>
            <w:tcW w:type="dxa" w:w="37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Fuente / año</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Municipio</w:t>
            </w:r>
          </w:p>
        </w:tc>
        <w:tc>
          <w:tcPr>
            <w:tcW w:type="dxa" w:w="3000"/>
            <w:vAlign w:val="top"/>
            <w:tcMar>
              <w:top w:w="80" w:type="dxa"/>
              <w:start w:w="120" w:type="dxa"/>
              <w:bottom w:w="80" w:type="dxa"/>
              <w:end w:w="120" w:type="dxa"/>
            </w:tcMar>
          </w:tcPr>
          <w:p>
            <w:pPr>
              <w:spacing w:after="0"/>
            </w:pPr>
            <w:r>
              <w:rPr>
                <w:rFonts w:ascii="Calibri" w:hAnsi="Calibri" w:eastAsia="Calibri"/>
                <w:b w:val="0"/>
                <w:i w:val="0"/>
                <w:color w:val="203740"/>
                <w:sz w:val="17"/>
              </w:rPr>
              <w:t>Duvergé</w:t>
            </w:r>
          </w:p>
        </w:tc>
        <w:tc>
          <w:tcPr>
            <w:tcW w:type="dxa" w:w="3760"/>
            <w:vAlign w:val="top"/>
            <w:tcMar>
              <w:top w:w="80" w:type="dxa"/>
              <w:start w:w="120" w:type="dxa"/>
              <w:bottom w:w="80" w:type="dxa"/>
              <w:end w:w="120" w:type="dxa"/>
            </w:tcMar>
          </w:tcPr>
          <w:p>
            <w:pPr>
              <w:spacing w:after="0"/>
            </w:pPr>
            <w:r>
              <w:rPr>
                <w:rFonts w:ascii="Calibri" w:hAnsi="Calibri" w:eastAsia="Calibri"/>
                <w:b w:val="0"/>
                <w:i w:val="0"/>
                <w:color w:val="203740"/>
                <w:sz w:val="17"/>
              </w:rPr>
              <w:t>Portal municipal · 2026</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Provincia</w:t>
            </w:r>
          </w:p>
        </w:tc>
        <w:tc>
          <w:tcPr>
            <w:tcW w:type="dxa" w:w="30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Independencia</w:t>
            </w:r>
          </w:p>
        </w:tc>
        <w:tc>
          <w:tcPr>
            <w:tcW w:type="dxa" w:w="3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Portal municipal · 2026</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Región</w:t>
            </w:r>
          </w:p>
        </w:tc>
        <w:tc>
          <w:tcPr>
            <w:tcW w:type="dxa" w:w="3000"/>
            <w:vAlign w:val="top"/>
            <w:tcMar>
              <w:top w:w="80" w:type="dxa"/>
              <w:start w:w="120" w:type="dxa"/>
              <w:bottom w:w="80" w:type="dxa"/>
              <w:end w:w="120" w:type="dxa"/>
            </w:tcMar>
          </w:tcPr>
          <w:p>
            <w:pPr>
              <w:spacing w:after="0"/>
            </w:pPr>
            <w:r>
              <w:rPr>
                <w:rFonts w:ascii="Calibri" w:hAnsi="Calibri" w:eastAsia="Calibri"/>
                <w:b w:val="0"/>
                <w:i w:val="0"/>
                <w:color w:val="203740"/>
                <w:sz w:val="17"/>
              </w:rPr>
              <w:t>Enriquillo</w:t>
            </w:r>
          </w:p>
        </w:tc>
        <w:tc>
          <w:tcPr>
            <w:tcW w:type="dxa" w:w="3760"/>
            <w:vAlign w:val="top"/>
            <w:tcMar>
              <w:top w:w="80" w:type="dxa"/>
              <w:start w:w="120" w:type="dxa"/>
              <w:bottom w:w="80" w:type="dxa"/>
              <w:end w:w="120" w:type="dxa"/>
            </w:tcMar>
          </w:tcPr>
          <w:p>
            <w:pPr>
              <w:spacing w:after="0"/>
            </w:pPr>
            <w:r>
              <w:rPr>
                <w:rFonts w:ascii="Calibri" w:hAnsi="Calibri" w:eastAsia="Calibri"/>
                <w:b w:val="0"/>
                <w:i w:val="0"/>
                <w:color w:val="203740"/>
                <w:sz w:val="17"/>
              </w:rPr>
              <w:t>Clasificador geográfico</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Código geográfico</w:t>
            </w:r>
          </w:p>
        </w:tc>
        <w:tc>
          <w:tcPr>
            <w:tcW w:type="dxa" w:w="30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06100002</w:t>
            </w:r>
          </w:p>
        </w:tc>
        <w:tc>
          <w:tcPr>
            <w:tcW w:type="dxa" w:w="3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Clasificador geográfico</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Superficie cartográfica</w:t>
            </w:r>
          </w:p>
        </w:tc>
        <w:tc>
          <w:tcPr>
            <w:tcW w:type="dxa" w:w="3000"/>
            <w:vAlign w:val="top"/>
            <w:tcMar>
              <w:top w:w="80" w:type="dxa"/>
              <w:start w:w="120" w:type="dxa"/>
              <w:bottom w:w="80" w:type="dxa"/>
              <w:end w:w="120" w:type="dxa"/>
            </w:tcMar>
          </w:tcPr>
          <w:p>
            <w:pPr>
              <w:spacing w:after="0"/>
            </w:pPr>
            <w:r>
              <w:rPr>
                <w:rFonts w:ascii="Calibri" w:hAnsi="Calibri" w:eastAsia="Calibri"/>
                <w:b w:val="0"/>
                <w:i w:val="0"/>
                <w:color w:val="203740"/>
                <w:sz w:val="17"/>
              </w:rPr>
              <w:t>511.1 km²</w:t>
            </w:r>
          </w:p>
        </w:tc>
        <w:tc>
          <w:tcPr>
            <w:tcW w:type="dxa" w:w="3760"/>
            <w:vAlign w:val="top"/>
            <w:tcMar>
              <w:top w:w="80" w:type="dxa"/>
              <w:start w:w="120" w:type="dxa"/>
              <w:bottom w:w="80" w:type="dxa"/>
              <w:end w:w="120" w:type="dxa"/>
            </w:tcMar>
          </w:tcPr>
          <w:p>
            <w:pPr>
              <w:spacing w:after="0"/>
            </w:pPr>
            <w:r>
              <w:rPr>
                <w:rFonts w:ascii="Calibri" w:hAnsi="Calibri" w:eastAsia="Calibri"/>
                <w:b w:val="0"/>
                <w:i w:val="0"/>
                <w:color w:val="203740"/>
                <w:sz w:val="17"/>
              </w:rPr>
              <w:t>GeoJSON municipal</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Densidad estimada</w:t>
            </w:r>
          </w:p>
        </w:tc>
        <w:tc>
          <w:tcPr>
            <w:tcW w:type="dxa" w:w="30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27.6 hab./km²</w:t>
            </w:r>
          </w:p>
        </w:tc>
        <w:tc>
          <w:tcPr>
            <w:tcW w:type="dxa" w:w="3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Censo 2022 + GeoJSON</w:t>
            </w:r>
          </w:p>
        </w:tc>
      </w:tr>
    </w:tbl>
    <w:p>
      <w:pPr>
        <w:spacing w:after="0"/>
      </w:pPr>
    </w:p>
    <w:p>
      <w:r>
        <w:t>El PMD anterior del período 2012-2016 recoge los siguientes antecedentes sobre la formación del territorio. El origen de Duvergé se remonta al año 1772 cuando un grupo de hateros españoles y esclavos africanos fundaron el poblado Las Damas. Este nombre tiene su origen en que durante los combates los hombres utilizaban la orilla del río para proteger a las mujeres, las cuales le decían Damas. Una vez terminaban las contiendas bélicas exclamaban: ¡Vamos por nuestras Damas! Así surgió el nombre de Las Damas. La jurisdicción de Las Damas fue ubicada tanto en Azua como en Barahona. [PMD-ANT, págs. 11-12]</w:t>
      </w:r>
    </w:p>
    <w:p>
      <w:pPr>
        <w:pStyle w:val="SourceNote"/>
      </w:pPr>
      <w:r>
        <w:rPr>
          <w:rFonts w:ascii="Calibri" w:hAnsi="Calibri" w:eastAsia="Calibri"/>
          <w:b w:val="0"/>
          <w:i w:val="0"/>
          <w:color w:val="5E7076"/>
          <w:sz w:val="17"/>
        </w:rPr>
        <w:t>Fuente: Wikipedia se utiliza como apoyo secundario para historia y geografía. Los documentos anteriores se citan con período y páginas; para municipios nuevos, un plan del antiguo distrito no se presenta como PMD histórico del municipio actual.</w:t>
      </w:r>
    </w:p>
    <w:p>
      <w:pPr>
        <w:pStyle w:val="Heading2"/>
      </w:pPr>
      <w:r>
        <w:t>1.4 Perfil municipal en cifras</w:t>
      </w:r>
    </w:p>
    <w:p>
      <w:r>
        <w:t>En 2022, Duvergé registró 14,125 habitantes: 7,002 hombres (49.6%) y 7,123 mujeres (50.4%). Frente a los 12,029 habitantes censados en 2010, la población creció 17.4%. El cambio intercensal constituye la línea base para dimensionar servicios, infraestructura y demanda de suelo; no permite atribuir por sí solo causas de migración, fecundidad o movilidad residencial. [DASH-BASE]</w:t>
      </w:r>
    </w:p>
    <w:p>
      <w:r>
        <w:t>La distribución territorial muestra 11,419 habitantes en zona urbana (80.8%) y 2,706 en zona rural (19.2%). Esta relación debe considerarse al organizar rutas de servicios, mantenimiento vial, equipamientos y mecanismos de atención a comunidades dispersas. [DASH-URB]</w:t>
      </w:r>
    </w:p>
    <w:p>
      <w:r>
        <w:t>El municipio cuenta con 4,445 hogares y 14,120 personas residentes en hogares. El promedio es de 3.18 personas por hogar. El Censo registra 5,227 viviendas, de las cuales 4,367 estaban ocupadas y 856 desocupadas. [DASH-HOG] [DASH-BASE]</w:t>
      </w:r>
    </w:p>
    <w:p>
      <w:pPr>
        <w:pStyle w:val="Heading2"/>
      </w:pPr>
      <w:r>
        <w:t>1.5 Antecedentes de planificación</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3000"/>
        <w:gridCol w:w="1400"/>
        <w:gridCol w:w="1500"/>
        <w:gridCol w:w="3460"/>
      </w:tblGrid>
      <w:tr>
        <w:trPr>
          <w:tblHeader w:val="true"/>
        </w:trPr>
        <w:tc>
          <w:tcPr>
            <w:tcW w:type="dxa" w:w="30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PMD localizado</w:t>
            </w:r>
          </w:p>
        </w:tc>
        <w:tc>
          <w:tcPr>
            <w:tcW w:type="dxa" w:w="14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Período</w:t>
            </w:r>
          </w:p>
        </w:tc>
        <w:tc>
          <w:tcPr>
            <w:tcW w:type="dxa" w:w="15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Condición</w:t>
            </w:r>
          </w:p>
        </w:tc>
        <w:tc>
          <w:tcPr>
            <w:tcW w:type="dxa" w:w="34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Uso permitido</w:t>
            </w:r>
          </w:p>
        </w:tc>
      </w:tr>
      <w:tr>
        <w:tc>
          <w:tcPr>
            <w:tcW w:type="dxa" w:w="3000"/>
            <w:vAlign w:val="top"/>
            <w:tcMar>
              <w:top w:w="80" w:type="dxa"/>
              <w:start w:w="120" w:type="dxa"/>
              <w:bottom w:w="80" w:type="dxa"/>
              <w:end w:w="120" w:type="dxa"/>
            </w:tcMar>
          </w:tcPr>
          <w:p>
            <w:pPr>
              <w:spacing w:after="0"/>
            </w:pPr>
            <w:r>
              <w:rPr>
                <w:rFonts w:ascii="Calibri" w:hAnsi="Calibri" w:eastAsia="Calibri"/>
                <w:b w:val="0"/>
                <w:i w:val="0"/>
                <w:color w:val="203740"/>
                <w:sz w:val="17"/>
              </w:rPr>
              <w:t>Plan Municipal de Desarrollo de Duvergé</w:t>
            </w:r>
          </w:p>
        </w:tc>
        <w:tc>
          <w:tcPr>
            <w:tcW w:type="dxa" w:w="1400"/>
            <w:vAlign w:val="top"/>
            <w:tcMar>
              <w:top w:w="80" w:type="dxa"/>
              <w:start w:w="120" w:type="dxa"/>
              <w:bottom w:w="80" w:type="dxa"/>
              <w:end w:w="120" w:type="dxa"/>
            </w:tcMar>
          </w:tcPr>
          <w:p>
            <w:pPr>
              <w:spacing w:after="0"/>
            </w:pPr>
            <w:r>
              <w:rPr>
                <w:rFonts w:ascii="Calibri" w:hAnsi="Calibri" w:eastAsia="Calibri"/>
                <w:b w:val="0"/>
                <w:i w:val="0"/>
                <w:color w:val="203740"/>
                <w:sz w:val="17"/>
              </w:rPr>
              <w:t>2022-2025</w:t>
            </w:r>
          </w:p>
        </w:tc>
        <w:tc>
          <w:tcPr>
            <w:tcW w:type="dxa" w:w="1500"/>
            <w:vAlign w:val="top"/>
            <w:tcMar>
              <w:top w:w="80" w:type="dxa"/>
              <w:start w:w="120" w:type="dxa"/>
              <w:bottom w:w="80" w:type="dxa"/>
              <w:end w:w="120" w:type="dxa"/>
            </w:tcMar>
          </w:tcPr>
          <w:p>
            <w:pPr>
              <w:spacing w:after="0"/>
            </w:pPr>
            <w:r>
              <w:rPr>
                <w:rFonts w:ascii="Calibri" w:hAnsi="Calibri" w:eastAsia="Calibri"/>
                <w:b w:val="0"/>
                <w:i w:val="0"/>
                <w:color w:val="203740"/>
                <w:sz w:val="17"/>
              </w:rPr>
              <w:t>Oficial</w:t>
            </w:r>
          </w:p>
        </w:tc>
        <w:tc>
          <w:tcPr>
            <w:tcW w:type="dxa" w:w="3460"/>
            <w:vAlign w:val="top"/>
            <w:tcMar>
              <w:top w:w="80" w:type="dxa"/>
              <w:start w:w="120" w:type="dxa"/>
              <w:bottom w:w="80" w:type="dxa"/>
              <w:end w:w="120" w:type="dxa"/>
            </w:tcMar>
          </w:tcPr>
          <w:p>
            <w:pPr>
              <w:spacing w:after="0"/>
            </w:pPr>
            <w:r>
              <w:rPr>
                <w:rFonts w:ascii="Calibri" w:hAnsi="Calibri" w:eastAsia="Calibri"/>
                <w:b w:val="0"/>
                <w:i w:val="0"/>
                <w:color w:val="203740"/>
                <w:sz w:val="17"/>
              </w:rPr>
              <w:t>Antecedente histórico; verificar continuidad</w:t>
            </w:r>
          </w:p>
        </w:tc>
      </w:tr>
      <w:tr>
        <w:tc>
          <w:tcPr>
            <w:tcW w:type="dxa" w:w="30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Plan Municipal de Desarrollo de Duvergé</w:t>
            </w:r>
          </w:p>
        </w:tc>
        <w:tc>
          <w:tcPr>
            <w:tcW w:type="dxa" w:w="14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2012-2016</w:t>
            </w:r>
          </w:p>
        </w:tc>
        <w:tc>
          <w:tcPr>
            <w:tcW w:type="dxa" w:w="15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Oficial</w:t>
            </w:r>
          </w:p>
        </w:tc>
        <w:tc>
          <w:tcPr>
            <w:tcW w:type="dxa" w:w="34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Antecedente histórico; verificar continuidad</w:t>
            </w:r>
          </w:p>
        </w:tc>
      </w:tr>
    </w:tbl>
    <w:p>
      <w:pPr>
        <w:spacing w:after="0"/>
      </w:pPr>
    </w:p>
    <w:p>
      <w:r>
        <w:t>Los PMD anteriores permiten reconstruir la trayectoria de problemas, activos, objetivos y proyectos. En este borrador se utilizan para contextualizar la historia local y señalar temas de continuidad. No se presume que una obra esté ejecutada, que un problema permanezca vigente ni que una prioridad anterior haya sido ratificada para 2025–2028 sin verificación de la OMPP. [PMD-ANT]</w:t>
      </w:r>
    </w:p>
    <w:p>
      <w:r>
        <w:br w:type="page"/>
      </w:r>
    </w:p>
    <w:p>
      <w:pPr>
        <w:pStyle w:val="Heading2"/>
      </w:pPr>
      <w:r>
        <w:t>1.6 Marco jurídico</w:t>
      </w:r>
    </w:p>
    <w:p>
      <w:r>
        <w:t>El PMD se formula dentro del sistema jurídico dominicano de planificación y gestión territorial. Su aplicación exige coherencia entre el plan, el presupuesto municipal, los instrumentos de ordenamiento, las competencias sectoriales y los mecanismos de participación y control social.</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3100"/>
        <w:gridCol w:w="6260"/>
      </w:tblGrid>
      <w:tr>
        <w:trPr>
          <w:tblHeader w:val="true"/>
        </w:trPr>
        <w:tc>
          <w:tcPr>
            <w:tcW w:type="dxa" w:w="31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Norma</w:t>
            </w:r>
          </w:p>
        </w:tc>
        <w:tc>
          <w:tcPr>
            <w:tcW w:type="dxa" w:w="62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Aplicación al Plan Municipal de Desarrollo</w:t>
            </w:r>
          </w:p>
        </w:tc>
      </w:tr>
      <w:tr>
        <w:tc>
          <w:tcPr>
            <w:tcW w:type="dxa" w:w="3100"/>
            <w:vAlign w:val="top"/>
            <w:tcMar>
              <w:top w:w="80" w:type="dxa"/>
              <w:start w:w="120" w:type="dxa"/>
              <w:bottom w:w="80" w:type="dxa"/>
              <w:end w:w="120" w:type="dxa"/>
            </w:tcMar>
          </w:tcPr>
          <w:p>
            <w:pPr>
              <w:spacing w:after="0"/>
            </w:pPr>
            <w:r>
              <w:rPr>
                <w:rFonts w:ascii="Calibri" w:hAnsi="Calibri" w:eastAsia="Calibri"/>
                <w:b w:val="0"/>
                <w:i w:val="0"/>
                <w:color w:val="203740"/>
                <w:sz w:val="17"/>
              </w:rPr>
              <w:t>Constitución de la República Dominicana</w:t>
            </w:r>
          </w:p>
        </w:tc>
        <w:tc>
          <w:tcPr>
            <w:tcW w:type="dxa" w:w="6260"/>
            <w:vAlign w:val="top"/>
            <w:tcMar>
              <w:top w:w="80" w:type="dxa"/>
              <w:start w:w="120" w:type="dxa"/>
              <w:bottom w:w="80" w:type="dxa"/>
              <w:end w:w="120" w:type="dxa"/>
            </w:tcMar>
          </w:tcPr>
          <w:p>
            <w:pPr>
              <w:spacing w:after="0"/>
            </w:pPr>
            <w:r>
              <w:rPr>
                <w:rFonts w:ascii="Calibri" w:hAnsi="Calibri" w:eastAsia="Calibri"/>
                <w:b w:val="0"/>
                <w:i w:val="0"/>
                <w:color w:val="203740"/>
                <w:sz w:val="17"/>
              </w:rPr>
              <w:t>Reconoce la autonomía municipal y la planificación del desarrollo económico y social.</w:t>
            </w:r>
          </w:p>
        </w:tc>
      </w:tr>
      <w:tr>
        <w:tc>
          <w:tcPr>
            <w:tcW w:type="dxa" w:w="3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Ley núm. 176-07 del Distrito Nacional y los Municipios</w:t>
            </w:r>
          </w:p>
        </w:tc>
        <w:tc>
          <w:tcPr>
            <w:tcW w:type="dxa" w:w="6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Define finalidad, elaboración, participación del CDM, coordinación de la OMPP, aprobación, vigencia y seguimiento del PMD.</w:t>
            </w:r>
          </w:p>
        </w:tc>
      </w:tr>
      <w:tr>
        <w:tc>
          <w:tcPr>
            <w:tcW w:type="dxa" w:w="3100"/>
            <w:vAlign w:val="top"/>
            <w:tcMar>
              <w:top w:w="80" w:type="dxa"/>
              <w:start w:w="120" w:type="dxa"/>
              <w:bottom w:w="80" w:type="dxa"/>
              <w:end w:w="120" w:type="dxa"/>
            </w:tcMar>
          </w:tcPr>
          <w:p>
            <w:pPr>
              <w:spacing w:after="0"/>
            </w:pPr>
            <w:r>
              <w:rPr>
                <w:rFonts w:ascii="Calibri" w:hAnsi="Calibri" w:eastAsia="Calibri"/>
                <w:b w:val="0"/>
                <w:i w:val="0"/>
                <w:color w:val="203740"/>
                <w:sz w:val="17"/>
              </w:rPr>
              <w:t>Ley núm. 498-06 de Planificación e Inversión Pública</w:t>
            </w:r>
          </w:p>
        </w:tc>
        <w:tc>
          <w:tcPr>
            <w:tcW w:type="dxa" w:w="6260"/>
            <w:vAlign w:val="top"/>
            <w:tcMar>
              <w:top w:w="80" w:type="dxa"/>
              <w:start w:w="120" w:type="dxa"/>
              <w:bottom w:w="80" w:type="dxa"/>
              <w:end w:w="120" w:type="dxa"/>
            </w:tcMar>
          </w:tcPr>
          <w:p>
            <w:pPr>
              <w:spacing w:after="0"/>
            </w:pPr>
            <w:r>
              <w:rPr>
                <w:rFonts w:ascii="Calibri" w:hAnsi="Calibri" w:eastAsia="Calibri"/>
                <w:b w:val="0"/>
                <w:i w:val="0"/>
                <w:color w:val="203740"/>
                <w:sz w:val="17"/>
              </w:rPr>
              <w:t>Articula planificación, programación institucional e inversión pública.</w:t>
            </w:r>
          </w:p>
        </w:tc>
      </w:tr>
      <w:tr>
        <w:tc>
          <w:tcPr>
            <w:tcW w:type="dxa" w:w="3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Ley núm. 1-12 de la Estrategia Nacional de Desarrollo 2030</w:t>
            </w:r>
          </w:p>
        </w:tc>
        <w:tc>
          <w:tcPr>
            <w:tcW w:type="dxa" w:w="6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Aporta objetivos nacionales de largo plazo para las políticas territoriales.</w:t>
            </w:r>
          </w:p>
        </w:tc>
      </w:tr>
      <w:tr>
        <w:tc>
          <w:tcPr>
            <w:tcW w:type="dxa" w:w="3100"/>
            <w:vAlign w:val="top"/>
            <w:tcMar>
              <w:top w:w="80" w:type="dxa"/>
              <w:start w:w="120" w:type="dxa"/>
              <w:bottom w:w="80" w:type="dxa"/>
              <w:end w:w="120" w:type="dxa"/>
            </w:tcMar>
          </w:tcPr>
          <w:p>
            <w:pPr>
              <w:spacing w:after="0"/>
            </w:pPr>
            <w:r>
              <w:rPr>
                <w:rFonts w:ascii="Calibri" w:hAnsi="Calibri" w:eastAsia="Calibri"/>
                <w:b w:val="0"/>
                <w:i w:val="0"/>
                <w:color w:val="203740"/>
                <w:sz w:val="17"/>
              </w:rPr>
              <w:t>Ley núm. 368-22 de Ordenamiento Territorial, Uso de Suelo y Asentamientos Humanos</w:t>
            </w:r>
          </w:p>
        </w:tc>
        <w:tc>
          <w:tcPr>
            <w:tcW w:type="dxa" w:w="6260"/>
            <w:vAlign w:val="top"/>
            <w:tcMar>
              <w:top w:w="80" w:type="dxa"/>
              <w:start w:w="120" w:type="dxa"/>
              <w:bottom w:w="80" w:type="dxa"/>
              <w:end w:w="120" w:type="dxa"/>
            </w:tcMar>
          </w:tcPr>
          <w:p>
            <w:pPr>
              <w:spacing w:after="0"/>
            </w:pPr>
            <w:r>
              <w:rPr>
                <w:rFonts w:ascii="Calibri" w:hAnsi="Calibri" w:eastAsia="Calibri"/>
                <w:b w:val="0"/>
                <w:i w:val="0"/>
                <w:color w:val="203740"/>
                <w:sz w:val="17"/>
              </w:rPr>
              <w:t>Vincula los instrumentos municipales con el marco nacional de ordenamiento territorial.</w:t>
            </w:r>
          </w:p>
        </w:tc>
      </w:tr>
      <w:tr>
        <w:tc>
          <w:tcPr>
            <w:tcW w:type="dxa" w:w="3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Ley núm. 64-00 de Medio Ambiente y Recursos Naturales</w:t>
            </w:r>
          </w:p>
        </w:tc>
        <w:tc>
          <w:tcPr>
            <w:tcW w:type="dxa" w:w="6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Sustenta la protección ambiental y la gestión de recursos naturales.</w:t>
            </w:r>
          </w:p>
        </w:tc>
      </w:tr>
      <w:tr>
        <w:tc>
          <w:tcPr>
            <w:tcW w:type="dxa" w:w="3100"/>
            <w:vAlign w:val="top"/>
            <w:tcMar>
              <w:top w:w="80" w:type="dxa"/>
              <w:start w:w="120" w:type="dxa"/>
              <w:bottom w:w="80" w:type="dxa"/>
              <w:end w:w="120" w:type="dxa"/>
            </w:tcMar>
          </w:tcPr>
          <w:p>
            <w:pPr>
              <w:spacing w:after="0"/>
            </w:pPr>
            <w:r>
              <w:rPr>
                <w:rFonts w:ascii="Calibri" w:hAnsi="Calibri" w:eastAsia="Calibri"/>
                <w:b w:val="0"/>
                <w:i w:val="0"/>
                <w:color w:val="203740"/>
                <w:sz w:val="17"/>
              </w:rPr>
              <w:t>Ley núm. 147-02 sobre Gestión de Riesgos</w:t>
            </w:r>
          </w:p>
        </w:tc>
        <w:tc>
          <w:tcPr>
            <w:tcW w:type="dxa" w:w="6260"/>
            <w:vAlign w:val="top"/>
            <w:tcMar>
              <w:top w:w="80" w:type="dxa"/>
              <w:start w:w="120" w:type="dxa"/>
              <w:bottom w:w="80" w:type="dxa"/>
              <w:end w:w="120" w:type="dxa"/>
            </w:tcMar>
          </w:tcPr>
          <w:p>
            <w:pPr>
              <w:spacing w:after="0"/>
            </w:pPr>
            <w:r>
              <w:rPr>
                <w:rFonts w:ascii="Calibri" w:hAnsi="Calibri" w:eastAsia="Calibri"/>
                <w:b w:val="0"/>
                <w:i w:val="0"/>
                <w:color w:val="203740"/>
                <w:sz w:val="17"/>
              </w:rPr>
              <w:t>Integra prevención, reducción de riesgos y preparación ante emergencias.</w:t>
            </w:r>
          </w:p>
        </w:tc>
      </w:tr>
      <w:tr>
        <w:tc>
          <w:tcPr>
            <w:tcW w:type="dxa" w:w="3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Ley núm. 225-20 de Gestión Integral y Coprocesamiento de Residuos Sólidos</w:t>
            </w:r>
          </w:p>
        </w:tc>
        <w:tc>
          <w:tcPr>
            <w:tcW w:type="dxa" w:w="6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Orienta prevención, recolección, aprovechamiento y disposición final de residuos.</w:t>
            </w:r>
          </w:p>
        </w:tc>
      </w:tr>
    </w:tbl>
    <w:p>
      <w:pPr>
        <w:spacing w:after="0"/>
      </w:pPr>
    </w:p>
    <w:p>
      <w:r>
        <w:t>Conforme a los artículos 122 a 125 de la Ley núm. 176-07, la OMPP coordina la formulación y evaluación del PMD y el CDM participa en su elaboración, discusión y seguimiento.</w:t>
      </w:r>
    </w:p>
    <w:p>
      <w:pPr>
        <w:pStyle w:val="SourceNote"/>
      </w:pPr>
      <w:r>
        <w:rPr>
          <w:rFonts w:ascii="Calibri" w:hAnsi="Calibri" w:eastAsia="Calibri"/>
          <w:b w:val="0"/>
          <w:i w:val="0"/>
          <w:color w:val="5E7076"/>
          <w:sz w:val="17"/>
        </w:rPr>
        <w:t>Fuente: Ley núm. 176-07, arts. 122–125; leyes núm. 498-06, 1-12, 368-22, 64-00, 147-02 y 225-20.</w:t>
      </w:r>
    </w:p>
    <w:p>
      <w:r>
        <w:br w:type="page"/>
      </w:r>
    </w:p>
    <w:p>
      <w:pPr>
        <w:pStyle w:val="Heading2"/>
      </w:pPr>
      <w:r>
        <w:t>1.7 Metodología</w:t>
      </w:r>
    </w:p>
    <w:p>
      <w:r>
        <w:t>La elaboración sigue la Guía para la formulación de planes de desarrollo municipales publicada por el Ministerio de Economía, Planificación y Desarrollo (MEPyD). La guía organiza el proceso en cuatro etapas enlazadas:</w:t>
      </w:r>
    </w:p>
    <w:p>
      <w:pPr>
        <w:pStyle w:val="ListNumber"/>
      </w:pPr>
      <w:r>
        <w:t>Organización del proceso. Se conforma el equipo, se acuerdan responsabilidades entre Alcaldía, Concejo de Regidores, OMPP, áreas técnicas y CDM, y se prepara el plan de trabajo.</w:t>
      </w:r>
    </w:p>
    <w:p>
      <w:pPr>
        <w:pStyle w:val="ListNumber"/>
      </w:pPr>
      <w:r>
        <w:t>Diagnóstico municipal. Se reúnen y analizan datos estadísticos, cartografía, documentos municipales y conocimiento local. La evidencia permite describir fortalezas y debilidades para revisión del CDM.</w:t>
      </w:r>
    </w:p>
    <w:p>
      <w:pPr>
        <w:pStyle w:val="ListNumber"/>
      </w:pPr>
      <w:r>
        <w:t>Formulación estratégica. Con la participación del CDM se acuerdan visión, objetivos, resultados, líneas de acción, proyectos e indicadores.</w:t>
      </w:r>
    </w:p>
    <w:p>
      <w:pPr>
        <w:pStyle w:val="ListNumber"/>
      </w:pPr>
      <w:r>
        <w:t>Gestión de los instrumentos. El PMD aprobado se vincula con programación, presupuesto, ejecución, seguimiento, evaluación y rendición de cuentas.</w:t>
      </w:r>
    </w:p>
    <w:p>
      <w:pPr>
        <w:pStyle w:val="SourceNote"/>
      </w:pPr>
      <w:r>
        <w:rPr>
          <w:rFonts w:ascii="Calibri" w:hAnsi="Calibri" w:eastAsia="Calibri"/>
          <w:b w:val="0"/>
          <w:i w:val="0"/>
          <w:color w:val="5E7076"/>
          <w:sz w:val="17"/>
        </w:rPr>
        <w:t>Fuente: MEPyD, ¿Cómo elaborar un plan municipal de desarrollo? Guía para la formulación de planes de desarrollo municipales, pp. 19–49; Ley núm. 176-07, arts. 123–125.</w:t>
      </w:r>
    </w:p>
    <w:p>
      <w:r>
        <w:br w:type="page"/>
      </w:r>
    </w:p>
    <w:p>
      <w:pPr>
        <w:pStyle w:val="Heading1"/>
      </w:pPr>
      <w:r>
        <w:t>2. Diagnóstico municipal</w:t>
      </w:r>
    </w:p>
    <w:p>
      <w:r>
        <w:t>Las 8 páginas siguientes reproducen la exportación vigente del Dashboard Territorial. Presentan la línea base estadística antes de su interpretación narrativa e incorporan los indicadores demográficos, sociales, económicos, institucionales, ambientales y de inversión disponibles. Los datos conservan el año, la fuente y el ámbito territorial; cuando la fuente solo publica un total provincial, la página lo identifica como «Provincia completa» y no lo atribuye al municipio.</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1000"/>
        <w:gridCol w:w="4300"/>
        <w:gridCol w:w="4060"/>
      </w:tblGrid>
      <w:tr>
        <w:trPr>
          <w:tblHeader w:val="true"/>
        </w:trPr>
        <w:tc>
          <w:tcPr>
            <w:tcW w:type="dxa" w:w="10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Bloque</w:t>
            </w:r>
          </w:p>
        </w:tc>
        <w:tc>
          <w:tcPr>
            <w:tcW w:type="dxa" w:w="43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Contenido</w:t>
            </w:r>
          </w:p>
        </w:tc>
        <w:tc>
          <w:tcPr>
            <w:tcW w:type="dxa" w:w="40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Lectura esperada</w:t>
            </w:r>
          </w:p>
        </w:tc>
      </w:tr>
      <w:tr>
        <w:tc>
          <w:tcPr>
            <w:tcW w:type="dxa" w:w="1000"/>
            <w:vAlign w:val="top"/>
            <w:tcMar>
              <w:top w:w="80" w:type="dxa"/>
              <w:start w:w="120" w:type="dxa"/>
              <w:bottom w:w="80" w:type="dxa"/>
              <w:end w:w="120" w:type="dxa"/>
            </w:tcMar>
          </w:tcPr>
          <w:p>
            <w:pPr>
              <w:spacing w:after="0"/>
            </w:pPr>
            <w:r>
              <w:rPr>
                <w:rFonts w:ascii="Calibri" w:hAnsi="Calibri" w:eastAsia="Calibri"/>
                <w:b w:val="0"/>
                <w:i w:val="0"/>
                <w:color w:val="203740"/>
                <w:sz w:val="17"/>
              </w:rPr>
              <w:t>Demografía</w:t>
            </w:r>
          </w:p>
        </w:tc>
        <w:tc>
          <w:tcPr>
            <w:tcW w:type="dxa" w:w="4300"/>
            <w:vAlign w:val="top"/>
            <w:tcMar>
              <w:top w:w="80" w:type="dxa"/>
              <w:start w:w="120" w:type="dxa"/>
              <w:bottom w:w="80" w:type="dxa"/>
              <w:end w:w="120" w:type="dxa"/>
            </w:tcMar>
          </w:tcPr>
          <w:p>
            <w:pPr>
              <w:spacing w:after="0"/>
            </w:pPr>
            <w:r>
              <w:rPr>
                <w:rFonts w:ascii="Calibri" w:hAnsi="Calibri" w:eastAsia="Calibri"/>
                <w:b w:val="0"/>
                <w:i w:val="0"/>
                <w:color w:val="203740"/>
                <w:sz w:val="17"/>
              </w:rPr>
              <w:t>Población, mapa, pirámides 2010/2022, hogares y viviendas</w:t>
            </w:r>
          </w:p>
        </w:tc>
        <w:tc>
          <w:tcPr>
            <w:tcW w:type="dxa" w:w="4060"/>
            <w:vAlign w:val="top"/>
            <w:tcMar>
              <w:top w:w="80" w:type="dxa"/>
              <w:start w:w="120" w:type="dxa"/>
              <w:bottom w:w="80" w:type="dxa"/>
              <w:end w:w="120" w:type="dxa"/>
            </w:tcMar>
          </w:tcPr>
          <w:p>
            <w:pPr>
              <w:spacing w:after="0"/>
            </w:pPr>
            <w:r>
              <w:rPr>
                <w:rFonts w:ascii="Calibri" w:hAnsi="Calibri" w:eastAsia="Calibri"/>
                <w:b w:val="0"/>
                <w:i w:val="0"/>
                <w:color w:val="203740"/>
                <w:sz w:val="17"/>
              </w:rPr>
              <w:t>Cambio y composición demográfica</w:t>
            </w:r>
          </w:p>
        </w:tc>
      </w:tr>
      <w:tr>
        <w:tc>
          <w:tcPr>
            <w:tcW w:type="dxa" w:w="10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Condiciones de vida</w:t>
            </w:r>
          </w:p>
        </w:tc>
        <w:tc>
          <w:tcPr>
            <w:tcW w:type="dxa" w:w="4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Agua, saneamiento, energía, residuos, educación, salud y conectividad</w:t>
            </w:r>
          </w:p>
        </w:tc>
        <w:tc>
          <w:tcPr>
            <w:tcW w:type="dxa" w:w="40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Coberturas y brechas observadas</w:t>
            </w:r>
          </w:p>
        </w:tc>
      </w:tr>
      <w:tr>
        <w:tc>
          <w:tcPr>
            <w:tcW w:type="dxa" w:w="1000"/>
            <w:vAlign w:val="top"/>
            <w:tcMar>
              <w:top w:w="80" w:type="dxa"/>
              <w:start w:w="120" w:type="dxa"/>
              <w:bottom w:w="80" w:type="dxa"/>
              <w:end w:w="120" w:type="dxa"/>
            </w:tcMar>
          </w:tcPr>
          <w:p>
            <w:pPr>
              <w:spacing w:after="0"/>
            </w:pPr>
            <w:r>
              <w:rPr>
                <w:rFonts w:ascii="Calibri" w:hAnsi="Calibri" w:eastAsia="Calibri"/>
                <w:b w:val="0"/>
                <w:i w:val="0"/>
                <w:color w:val="203740"/>
                <w:sz w:val="17"/>
              </w:rPr>
              <w:t>Resultados y riesgos</w:t>
            </w:r>
          </w:p>
        </w:tc>
        <w:tc>
          <w:tcPr>
            <w:tcW w:type="dxa" w:w="4300"/>
            <w:vAlign w:val="top"/>
            <w:tcMar>
              <w:top w:w="80" w:type="dxa"/>
              <w:start w:w="120" w:type="dxa"/>
              <w:bottom w:w="80" w:type="dxa"/>
              <w:end w:w="120" w:type="dxa"/>
            </w:tcMar>
          </w:tcPr>
          <w:p>
            <w:pPr>
              <w:spacing w:after="0"/>
            </w:pPr>
            <w:r>
              <w:rPr>
                <w:rFonts w:ascii="Calibri" w:hAnsi="Calibri" w:eastAsia="Calibri"/>
                <w:b w:val="0"/>
                <w:i w:val="0"/>
                <w:color w:val="203740"/>
                <w:sz w:val="17"/>
              </w:rPr>
              <w:t>Seguridad, movilidad, incendios, inclusión, primera infancia y deporte</w:t>
            </w:r>
          </w:p>
        </w:tc>
        <w:tc>
          <w:tcPr>
            <w:tcW w:type="dxa" w:w="4060"/>
            <w:vAlign w:val="top"/>
            <w:tcMar>
              <w:top w:w="80" w:type="dxa"/>
              <w:start w:w="120" w:type="dxa"/>
              <w:bottom w:w="80" w:type="dxa"/>
              <w:end w:w="120" w:type="dxa"/>
            </w:tcMar>
          </w:tcPr>
          <w:p>
            <w:pPr>
              <w:spacing w:after="0"/>
            </w:pPr>
            <w:r>
              <w:rPr>
                <w:rFonts w:ascii="Calibri" w:hAnsi="Calibri" w:eastAsia="Calibri"/>
                <w:b w:val="0"/>
                <w:i w:val="0"/>
                <w:color w:val="203740"/>
                <w:sz w:val="17"/>
              </w:rPr>
              <w:t>Dato municipal o contexto provincial, según la fuente</w:t>
            </w:r>
          </w:p>
        </w:tc>
      </w:tr>
      <w:tr>
        <w:tc>
          <w:tcPr>
            <w:tcW w:type="dxa" w:w="10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Gestión e inversión</w:t>
            </w:r>
          </w:p>
        </w:tc>
        <w:tc>
          <w:tcPr>
            <w:tcW w:type="dxa" w:w="4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Inversión territorial, SISMAP, obras viales y licencias</w:t>
            </w:r>
          </w:p>
        </w:tc>
        <w:tc>
          <w:tcPr>
            <w:tcW w:type="dxa" w:w="40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Magnitud, ejecución y capacidad institucional</w:t>
            </w:r>
          </w:p>
        </w:tc>
      </w:tr>
      <w:tr>
        <w:tc>
          <w:tcPr>
            <w:tcW w:type="dxa" w:w="1000"/>
            <w:vAlign w:val="top"/>
            <w:tcMar>
              <w:top w:w="80" w:type="dxa"/>
              <w:start w:w="120" w:type="dxa"/>
              <w:bottom w:w="80" w:type="dxa"/>
              <w:end w:w="120" w:type="dxa"/>
            </w:tcMar>
          </w:tcPr>
          <w:p>
            <w:pPr>
              <w:spacing w:after="0"/>
            </w:pPr>
            <w:r>
              <w:rPr>
                <w:rFonts w:ascii="Calibri" w:hAnsi="Calibri" w:eastAsia="Calibri"/>
                <w:b w:val="0"/>
                <w:i w:val="0"/>
                <w:color w:val="203740"/>
                <w:sz w:val="17"/>
              </w:rPr>
              <w:t>Comparación</w:t>
            </w:r>
          </w:p>
        </w:tc>
        <w:tc>
          <w:tcPr>
            <w:tcW w:type="dxa" w:w="4300"/>
            <w:vAlign w:val="top"/>
            <w:tcMar>
              <w:top w:w="80" w:type="dxa"/>
              <w:start w:w="120" w:type="dxa"/>
              <w:bottom w:w="80" w:type="dxa"/>
              <w:end w:w="120" w:type="dxa"/>
            </w:tcMar>
          </w:tcPr>
          <w:p>
            <w:pPr>
              <w:spacing w:after="0"/>
            </w:pPr>
            <w:r>
              <w:rPr>
                <w:rFonts w:ascii="Calibri" w:hAnsi="Calibri" w:eastAsia="Calibri"/>
                <w:b w:val="0"/>
                <w:i w:val="0"/>
                <w:color w:val="203740"/>
                <w:sz w:val="17"/>
              </w:rPr>
              <w:t>Municipio, provincia, región y país</w:t>
            </w:r>
          </w:p>
        </w:tc>
        <w:tc>
          <w:tcPr>
            <w:tcW w:type="dxa" w:w="4060"/>
            <w:vAlign w:val="top"/>
            <w:tcMar>
              <w:top w:w="80" w:type="dxa"/>
              <w:start w:w="120" w:type="dxa"/>
              <w:bottom w:w="80" w:type="dxa"/>
              <w:end w:w="120" w:type="dxa"/>
            </w:tcMar>
          </w:tcPr>
          <w:p>
            <w:pPr>
              <w:spacing w:after="0"/>
            </w:pPr>
            <w:r>
              <w:rPr>
                <w:rFonts w:ascii="Calibri" w:hAnsi="Calibri" w:eastAsia="Calibri"/>
                <w:b w:val="0"/>
                <w:i w:val="0"/>
                <w:color w:val="203740"/>
                <w:sz w:val="17"/>
              </w:rPr>
              <w:t>Posición relativa sin convertirla automáticamente en prioridad</w:t>
            </w:r>
          </w:p>
        </w:tc>
      </w:tr>
    </w:tbl>
    <w:p>
      <w:pPr>
        <w:spacing w:after="0"/>
      </w:pPr>
    </w:p>
    <w:tbl>
      <w:tblPr>
        <w:tblW w:type="dxa" w:w="9360"/>
        <w:jc w:val="center"/>
        <w:tblLayout w:type="fixed"/>
        <w:tblLook w:firstColumn="1" w:firstRow="1" w:lastColumn="0" w:lastRow="0" w:noHBand="0" w:noVBand="1" w:val="04A0"/>
        <w:tblInd w:w="120" w:type="dxa"/>
        <w:tblBorders>
          <w:top w:val="single" w:sz="5" w:color="C9DCD7"/>
          <w:left w:val="single" w:sz="5" w:color="C9DCD7"/>
          <w:bottom w:val="single" w:sz="5" w:color="C9DCD7"/>
          <w:right w:val="single" w:sz="5" w:color="C9DCD7"/>
          <w:insideH w:val="single" w:sz="5" w:color="C9DCD7"/>
          <w:insideV w:val="single" w:sz="5" w:color="C9DCD7"/>
        </w:tblBorders>
      </w:tblPr>
      <w:tblGrid>
        <w:gridCol w:w="9360"/>
      </w:tblGrid>
      <w:tr>
        <w:tc>
          <w:tcPr>
            <w:tcW w:type="dxa" w:w="9360"/>
            <w:tcMar>
              <w:top w:w="150" w:type="dxa"/>
              <w:start w:w="180" w:type="dxa"/>
              <w:bottom w:w="150" w:type="dxa"/>
              <w:end w:w="180" w:type="dxa"/>
            </w:tcMar>
            <w:shd w:fill="F3F7F6"/>
          </w:tcPr>
          <w:p>
            <w:pPr>
              <w:spacing w:after="60"/>
            </w:pPr>
            <w:r>
              <w:rPr>
                <w:rFonts w:ascii="Calibri" w:hAnsi="Calibri" w:eastAsia="Calibri"/>
                <w:b/>
                <w:i w:val="0"/>
                <w:color w:val="14866D"/>
                <w:sz w:val="21"/>
              </w:rPr>
              <w:t>Cómo leer las láminas</w:t>
            </w:r>
          </w:p>
          <w:p>
            <w:pPr>
              <w:spacing w:after="0"/>
            </w:pPr>
            <w:r>
              <w:rPr>
                <w:rFonts w:ascii="Calibri" w:hAnsi="Calibri" w:eastAsia="Calibri"/>
                <w:b w:val="0"/>
                <w:i w:val="0"/>
                <w:color w:val="203740"/>
                <w:sz w:val="19"/>
              </w:rPr>
              <w:t>Cada lámina es una línea base, no una conclusión automática. La interpretación debe conservar tres preguntas: qué mide el indicador, qué no mide y qué comprobación territorial hace falta antes de decidir.</w:t>
            </w:r>
          </w:p>
        </w:tc>
      </w:tr>
    </w:tbl>
    <w:p>
      <w:pPr>
        <w:spacing w:after="0"/>
      </w:pPr>
    </w:p>
    <w:p>
      <w:r>
        <w:br w:type="page"/>
      </w:r>
    </w:p>
    <w:p>
      <w:pPr>
        <w:keepLines/>
        <w:spacing w:after="0"/>
        <w:jc w:val="center"/>
      </w:pPr>
      <w:r>
        <w:drawing>
          <wp:inline xmlns:a="http://schemas.openxmlformats.org/drawingml/2006/main" xmlns:pic="http://schemas.openxmlformats.org/drawingml/2006/picture">
            <wp:extent cx="5943600" cy="7691718"/>
            <wp:docPr id="1" name="Picture 1"/>
            <wp:cNvGraphicFramePr>
              <a:graphicFrameLocks noChangeAspect="1"/>
            </wp:cNvGraphicFramePr>
            <a:graphic>
              <a:graphicData uri="http://schemas.openxmlformats.org/drawingml/2006/picture">
                <pic:pic>
                  <pic:nvPicPr>
                    <pic:cNvPr id="0" name="dashboard-pdf-page-1.jpg"/>
                    <pic:cNvPicPr/>
                  </pic:nvPicPr>
                  <pic:blipFill>
                    <a:blip r:embed="rId11"/>
                    <a:stretch>
                      <a:fillRect/>
                    </a:stretch>
                  </pic:blipFill>
                  <pic:spPr>
                    <a:xfrm>
                      <a:off x="0" y="0"/>
                      <a:ext cx="5943600" cy="7691718"/>
                    </a:xfrm>
                    <a:prstGeom prst="rect"/>
                  </pic:spPr>
                </pic:pic>
              </a:graphicData>
            </a:graphic>
          </wp:inline>
        </w:drawing>
      </w:r>
    </w:p>
    <w:p>
      <w:r>
        <w:br w:type="page"/>
      </w:r>
    </w:p>
    <w:p>
      <w:pPr>
        <w:keepLines/>
        <w:spacing w:after="0"/>
        <w:jc w:val="center"/>
      </w:pPr>
      <w:r>
        <w:drawing>
          <wp:inline xmlns:a="http://schemas.openxmlformats.org/drawingml/2006/main" xmlns:pic="http://schemas.openxmlformats.org/drawingml/2006/picture">
            <wp:extent cx="5943600" cy="7691718"/>
            <wp:docPr id="2" name="Picture 2"/>
            <wp:cNvGraphicFramePr>
              <a:graphicFrameLocks noChangeAspect="1"/>
            </wp:cNvGraphicFramePr>
            <a:graphic>
              <a:graphicData uri="http://schemas.openxmlformats.org/drawingml/2006/picture">
                <pic:pic>
                  <pic:nvPicPr>
                    <pic:cNvPr id="0" name="dashboard-pdf-page-2.jpg"/>
                    <pic:cNvPicPr/>
                  </pic:nvPicPr>
                  <pic:blipFill>
                    <a:blip r:embed="rId12"/>
                    <a:stretch>
                      <a:fillRect/>
                    </a:stretch>
                  </pic:blipFill>
                  <pic:spPr>
                    <a:xfrm>
                      <a:off x="0" y="0"/>
                      <a:ext cx="5943600" cy="7691718"/>
                    </a:xfrm>
                    <a:prstGeom prst="rect"/>
                  </pic:spPr>
                </pic:pic>
              </a:graphicData>
            </a:graphic>
          </wp:inline>
        </w:drawing>
      </w:r>
    </w:p>
    <w:p>
      <w:r>
        <w:br w:type="page"/>
      </w:r>
    </w:p>
    <w:p>
      <w:pPr>
        <w:keepLines/>
        <w:spacing w:after="0"/>
        <w:jc w:val="center"/>
      </w:pPr>
      <w:r>
        <w:drawing>
          <wp:inline xmlns:a="http://schemas.openxmlformats.org/drawingml/2006/main" xmlns:pic="http://schemas.openxmlformats.org/drawingml/2006/picture">
            <wp:extent cx="5943600" cy="7691718"/>
            <wp:docPr id="3" name="Picture 3"/>
            <wp:cNvGraphicFramePr>
              <a:graphicFrameLocks noChangeAspect="1"/>
            </wp:cNvGraphicFramePr>
            <a:graphic>
              <a:graphicData uri="http://schemas.openxmlformats.org/drawingml/2006/picture">
                <pic:pic>
                  <pic:nvPicPr>
                    <pic:cNvPr id="0" name="dashboard-pdf-page-3.jpg"/>
                    <pic:cNvPicPr/>
                  </pic:nvPicPr>
                  <pic:blipFill>
                    <a:blip r:embed="rId13"/>
                    <a:stretch>
                      <a:fillRect/>
                    </a:stretch>
                  </pic:blipFill>
                  <pic:spPr>
                    <a:xfrm>
                      <a:off x="0" y="0"/>
                      <a:ext cx="5943600" cy="7691718"/>
                    </a:xfrm>
                    <a:prstGeom prst="rect"/>
                  </pic:spPr>
                </pic:pic>
              </a:graphicData>
            </a:graphic>
          </wp:inline>
        </w:drawing>
      </w:r>
    </w:p>
    <w:p>
      <w:r>
        <w:br w:type="page"/>
      </w:r>
    </w:p>
    <w:p>
      <w:pPr>
        <w:keepLines/>
        <w:spacing w:after="0"/>
        <w:jc w:val="center"/>
      </w:pPr>
      <w:r>
        <w:drawing>
          <wp:inline xmlns:a="http://schemas.openxmlformats.org/drawingml/2006/main" xmlns:pic="http://schemas.openxmlformats.org/drawingml/2006/picture">
            <wp:extent cx="5943600" cy="7691718"/>
            <wp:docPr id="4" name="Picture 4"/>
            <wp:cNvGraphicFramePr>
              <a:graphicFrameLocks noChangeAspect="1"/>
            </wp:cNvGraphicFramePr>
            <a:graphic>
              <a:graphicData uri="http://schemas.openxmlformats.org/drawingml/2006/picture">
                <pic:pic>
                  <pic:nvPicPr>
                    <pic:cNvPr id="0" name="dashboard-pdf-page-4.jpg"/>
                    <pic:cNvPicPr/>
                  </pic:nvPicPr>
                  <pic:blipFill>
                    <a:blip r:embed="rId14"/>
                    <a:stretch>
                      <a:fillRect/>
                    </a:stretch>
                  </pic:blipFill>
                  <pic:spPr>
                    <a:xfrm>
                      <a:off x="0" y="0"/>
                      <a:ext cx="5943600" cy="7691718"/>
                    </a:xfrm>
                    <a:prstGeom prst="rect"/>
                  </pic:spPr>
                </pic:pic>
              </a:graphicData>
            </a:graphic>
          </wp:inline>
        </w:drawing>
      </w:r>
    </w:p>
    <w:p>
      <w:r>
        <w:br w:type="page"/>
      </w:r>
    </w:p>
    <w:p>
      <w:pPr>
        <w:keepLines/>
        <w:spacing w:after="0"/>
        <w:jc w:val="center"/>
      </w:pPr>
      <w:r>
        <w:drawing>
          <wp:inline xmlns:a="http://schemas.openxmlformats.org/drawingml/2006/main" xmlns:pic="http://schemas.openxmlformats.org/drawingml/2006/picture">
            <wp:extent cx="5943600" cy="7691718"/>
            <wp:docPr id="5" name="Picture 5"/>
            <wp:cNvGraphicFramePr>
              <a:graphicFrameLocks noChangeAspect="1"/>
            </wp:cNvGraphicFramePr>
            <a:graphic>
              <a:graphicData uri="http://schemas.openxmlformats.org/drawingml/2006/picture">
                <pic:pic>
                  <pic:nvPicPr>
                    <pic:cNvPr id="0" name="dashboard-pdf-page-5.jpg"/>
                    <pic:cNvPicPr/>
                  </pic:nvPicPr>
                  <pic:blipFill>
                    <a:blip r:embed="rId15"/>
                    <a:stretch>
                      <a:fillRect/>
                    </a:stretch>
                  </pic:blipFill>
                  <pic:spPr>
                    <a:xfrm>
                      <a:off x="0" y="0"/>
                      <a:ext cx="5943600" cy="7691718"/>
                    </a:xfrm>
                    <a:prstGeom prst="rect"/>
                  </pic:spPr>
                </pic:pic>
              </a:graphicData>
            </a:graphic>
          </wp:inline>
        </w:drawing>
      </w:r>
    </w:p>
    <w:p>
      <w:r>
        <w:br w:type="page"/>
      </w:r>
    </w:p>
    <w:p>
      <w:pPr>
        <w:keepLines/>
        <w:spacing w:after="0"/>
        <w:jc w:val="center"/>
      </w:pPr>
      <w:r>
        <w:drawing>
          <wp:inline xmlns:a="http://schemas.openxmlformats.org/drawingml/2006/main" xmlns:pic="http://schemas.openxmlformats.org/drawingml/2006/picture">
            <wp:extent cx="5943600" cy="7691718"/>
            <wp:docPr id="6" name="Picture 6"/>
            <wp:cNvGraphicFramePr>
              <a:graphicFrameLocks noChangeAspect="1"/>
            </wp:cNvGraphicFramePr>
            <a:graphic>
              <a:graphicData uri="http://schemas.openxmlformats.org/drawingml/2006/picture">
                <pic:pic>
                  <pic:nvPicPr>
                    <pic:cNvPr id="0" name="dashboard-pdf-page-6.jpg"/>
                    <pic:cNvPicPr/>
                  </pic:nvPicPr>
                  <pic:blipFill>
                    <a:blip r:embed="rId16"/>
                    <a:stretch>
                      <a:fillRect/>
                    </a:stretch>
                  </pic:blipFill>
                  <pic:spPr>
                    <a:xfrm>
                      <a:off x="0" y="0"/>
                      <a:ext cx="5943600" cy="7691718"/>
                    </a:xfrm>
                    <a:prstGeom prst="rect"/>
                  </pic:spPr>
                </pic:pic>
              </a:graphicData>
            </a:graphic>
          </wp:inline>
        </w:drawing>
      </w:r>
    </w:p>
    <w:p>
      <w:r>
        <w:br w:type="page"/>
      </w:r>
    </w:p>
    <w:p>
      <w:pPr>
        <w:keepLines/>
        <w:spacing w:after="0"/>
        <w:jc w:val="center"/>
      </w:pPr>
      <w:r>
        <w:drawing>
          <wp:inline xmlns:a="http://schemas.openxmlformats.org/drawingml/2006/main" xmlns:pic="http://schemas.openxmlformats.org/drawingml/2006/picture">
            <wp:extent cx="5943600" cy="7691718"/>
            <wp:docPr id="7" name="Picture 7"/>
            <wp:cNvGraphicFramePr>
              <a:graphicFrameLocks noChangeAspect="1"/>
            </wp:cNvGraphicFramePr>
            <a:graphic>
              <a:graphicData uri="http://schemas.openxmlformats.org/drawingml/2006/picture">
                <pic:pic>
                  <pic:nvPicPr>
                    <pic:cNvPr id="0" name="dashboard-pdf-page-7.jpg"/>
                    <pic:cNvPicPr/>
                  </pic:nvPicPr>
                  <pic:blipFill>
                    <a:blip r:embed="rId17"/>
                    <a:stretch>
                      <a:fillRect/>
                    </a:stretch>
                  </pic:blipFill>
                  <pic:spPr>
                    <a:xfrm>
                      <a:off x="0" y="0"/>
                      <a:ext cx="5943600" cy="7691718"/>
                    </a:xfrm>
                    <a:prstGeom prst="rect"/>
                  </pic:spPr>
                </pic:pic>
              </a:graphicData>
            </a:graphic>
          </wp:inline>
        </w:drawing>
      </w:r>
    </w:p>
    <w:p>
      <w:r>
        <w:br w:type="page"/>
      </w:r>
    </w:p>
    <w:p>
      <w:pPr>
        <w:keepLines/>
        <w:spacing w:after="0"/>
        <w:jc w:val="center"/>
      </w:pPr>
      <w:r>
        <w:drawing>
          <wp:inline xmlns:a="http://schemas.openxmlformats.org/drawingml/2006/main" xmlns:pic="http://schemas.openxmlformats.org/drawingml/2006/picture">
            <wp:extent cx="5943600" cy="7691718"/>
            <wp:docPr id="8" name="Picture 8"/>
            <wp:cNvGraphicFramePr>
              <a:graphicFrameLocks noChangeAspect="1"/>
            </wp:cNvGraphicFramePr>
            <a:graphic>
              <a:graphicData uri="http://schemas.openxmlformats.org/drawingml/2006/picture">
                <pic:pic>
                  <pic:nvPicPr>
                    <pic:cNvPr id="0" name="dashboard-pdf-page-8.jpg"/>
                    <pic:cNvPicPr/>
                  </pic:nvPicPr>
                  <pic:blipFill>
                    <a:blip r:embed="rId18"/>
                    <a:stretch>
                      <a:fillRect/>
                    </a:stretch>
                  </pic:blipFill>
                  <pic:spPr>
                    <a:xfrm>
                      <a:off x="0" y="0"/>
                      <a:ext cx="5943600" cy="7691718"/>
                    </a:xfrm>
                    <a:prstGeom prst="rect"/>
                  </pic:spPr>
                </pic:pic>
              </a:graphicData>
            </a:graphic>
          </wp:inline>
        </w:drawing>
      </w:r>
    </w:p>
    <w:p>
      <w:pPr>
        <w:pStyle w:val="SourceNote"/>
      </w:pPr>
      <w:r>
        <w:rPr>
          <w:rFonts w:ascii="Calibri" w:hAnsi="Calibri" w:eastAsia="Calibri"/>
          <w:b w:val="0"/>
          <w:i w:val="0"/>
          <w:color w:val="5E7076"/>
          <w:sz w:val="17"/>
        </w:rPr>
        <w:t>Fuente: DDPT, Dashboard Territorial, ficha de Duvergé. Exportación generada el 2026-08-02.</w:t>
      </w:r>
    </w:p>
    <w:p>
      <w:r>
        <w:br w:type="page"/>
      </w:r>
    </w:p>
    <w:p>
      <w:pPr>
        <w:pStyle w:val="Heading1"/>
      </w:pPr>
      <w:r>
        <w:t>2. Diagnóstico municipal: lectura e interpretación</w:t>
      </w:r>
    </w:p>
    <w:p>
      <w:r>
        <w:t>La lectura siguiente explica qué muestran los indicadores y cuáles son sus límites. Se diferencia entre dato observado, interpretación técnica y asunto que requiere comprobación municipal.</w:t>
      </w:r>
    </w:p>
    <w:p>
      <w:pPr>
        <w:pStyle w:val="Heading2"/>
      </w:pPr>
      <w:r>
        <w:t>2.1 Dinámica demográfica y hogares</w:t>
      </w:r>
    </w:p>
    <w:p>
      <w:r>
        <w:t>La estructura por edad de Duvergé se distribuye aproximadamente en 27.7% de población menor de 15 años, 61.5% entre 15 y 64 años y 10.7% de 65 años o más. La relación de dependencia demográfica estimada es de 62.6 personas potencialmente dependientes por cada 100 en edad de trabajar. Estos valores orientan la demanda relativa de cuidados, espacios públicos, movilidad, formación y servicios sociales, pero deben analizarse con la distribución territorial y la capacidad real de atención. [DASH-PYR]</w:t>
      </w:r>
    </w:p>
    <w:p>
      <w:r>
        <w:t>El grado de urbanización es 80.8% y el tamaño medio de los hogares es 3.18 personas. Una mayor concentración urbana puede facilitar cobertura de rutas y equipamientos, mientras que una proporción rural relevante exige criterios de accesibilidad y costos diferenciados. La cifra no sustituye un análisis por barrio, sección o paraje. [DASH-URB] [DASH-HOG]</w:t>
      </w:r>
    </w:p>
    <w:p>
      <w:pPr>
        <w:pStyle w:val="Heading2"/>
      </w:pPr>
      <w:r>
        <w:t>2.2 Vivienda, agua, saneamiento y servicios básicos</w:t>
      </w:r>
    </w:p>
    <w:p>
      <w:r>
        <w:t>El 59.8% de los hogares declara recibir agua del acueducto dentro de la vivienda, frente a 62.7% a escala nacional. Para agua de beber, el uso de botellones representa 78.0%. La comparación sugiere una condición de acceso físico y un patrón de consumo, pero no informa continuidad, presión, potabilidad ni costo. Esos cuatro aspectos deben verificarse antes de formular intervenciones. [DASH-VIDA]</w:t>
      </w:r>
    </w:p>
    <w:p>
      <w:r>
        <w:t>En saneamiento, 76.0% de los hogares reporta inodoro y 4.8% declara no disponer de servicio sanitario. La línea base permite dimensionar la brecha general, aunque no identifica sectores ni calidad de disposición final. El levantamiento municipal debe localizar hogares críticos y distinguir competencias del ayuntamiento, INAPA, salud pública y otros actores. [DASH-VIDA]</w:t>
      </w:r>
    </w:p>
    <w:p>
      <w:r>
        <w:t>La red pública es la fuente principal de alumbrado para 96.2% de los hogares. La recogida de residuos por el ayuntamiento alcanza 91.2%, mientras 6.6% declara quemarlos. El gas propano es el combustible principal de cocina en 81.5% de los hogares. La cobertura de recogida no equivale a frecuencia, regularidad ni manejo ambientalmente adecuado; el plan operativo de residuos debe contrastar rutas, horarios, disposición final y sectores no servidos. [DASH-VIDA]</w:t>
      </w:r>
    </w:p>
    <w:p>
      <w:pPr>
        <w:pStyle w:val="Heading2"/>
      </w:pPr>
      <w:r>
        <w:t>2.3 Educación y capacidades humanas</w:t>
      </w:r>
    </w:p>
    <w:p>
      <w:r>
        <w:t>La oferta educativa asociada registra 17 centros y 4,188 matrículas agregadas. De ellas, 664 corresponden a inicial/primario, 2,906 a secundario y 618 a educación de adultos. La cobertura corresponde a la asociación territorial usada por el Dashboard y debe verificarse cuando el distrito educativo abarque más de un municipio. [DASH-EDU]</w:t>
      </w:r>
    </w:p>
    <w:p>
      <w:r>
        <w:t>Entre la población de referencia de tres años o más, 11.5% aparece sin nivel de instrucción y 44.9% registra secundaria o un nivel superior. La distribución educativa ayuda a orientar alfabetización, formación técnica, inclusión digital y articulación con empleo, pero no debe interpretarse como calidad del aprendizaje. [DASH-EDU-NIVEL]</w:t>
      </w:r>
    </w:p>
    <w:p>
      <w:r>
        <w:t>Para el distrito educativo asociado, la promoción es 88.2% en primaria y 89.0% en secundaria; el abandono reportado en secundaria es 5.0%. La OMPP debe coordinar la lectura con MINERD y evitar atribuir al gobierno local resultados que corresponden al sistema educativo. [DASH-EDU]</w:t>
      </w:r>
    </w:p>
    <w:p>
      <w:pPr>
        <w:pStyle w:val="Heading2"/>
      </w:pPr>
      <w:r>
        <w:t>2.4 Economía, establecimientos y empleo</w:t>
      </w:r>
    </w:p>
    <w:p>
      <w:r>
        <w:t>El Directorio de Empresas y Establecimientos 2024 identifica 37 establecimientos y un empleo estimado de 259.6, equivalente a 7.0 empleos por establecimiento. Los establecimientos de 1 a 10 personas representan 81.1% del total. Esto caracteriza la estructura formal observada por el DEE; no incluye necesariamente toda la economía informal, el autoempleo ni la producción agropecuaria familiar. [DASH-ECO]</w:t>
      </w:r>
    </w:p>
    <w:p>
      <w:r>
        <w:t>Las actividades con mayor empleo estimado en la fuente son Comercio al por mayor y al por menor; reparación de vehículos automotores y motocicletas (95.8 empleos estimados); Agricultura, ganadería, silvicultura y pesca (34.8 empleos estimados); Actividades de alojamiento y de servicio de comidas (29.1 empleos estimados). La mayor especialización relativa se observa en Agricultura, ganadería, silvicultura y pesca (cociente de localización 10.29). El cociente de localización compara concentración relativa, no productividad ni competitividad. [DASH-ECO]</w:t>
      </w:r>
    </w:p>
    <w:p>
      <w:pPr>
        <w:pStyle w:val="Heading2"/>
      </w:pPr>
      <w:r>
        <w:t>2.5 Salud, conectividad y acceso a información</w:t>
      </w:r>
    </w:p>
    <w:p>
      <w:r>
        <w:t>El Dashboard registra 8 establecimientos de salud en el municipio. La composición principal es: Centro De Primer Nivel: 7, Hospital Mediana Complejidad: 1. Este conteo informa presencia física, no cartera de servicios, personal, horario, capacidad, calidad ni accesibilidad efectiva. La planificación municipal debe validar esos elementos con el Servicio Nacional de Salud. [DASH-SALUD]</w:t>
      </w:r>
    </w:p>
    <w:p>
      <w:r>
        <w:t>El uso de internet alcanza 54.9% y el de computadora 9.8%. La diferencia entre conectividad y disponibilidad de equipo es relevante para trámites, educación, información pública y participación digital. El dato requiere desagregación por edad, sexo y zona para diseñar acciones focalizadas. [DASH-TIC]</w:t>
      </w:r>
    </w:p>
    <w:p>
      <w:pPr>
        <w:pStyle w:val="Heading2"/>
      </w:pPr>
      <w:r>
        <w:t>2.6 Contexto territorial, ambiental y continuidad</w:t>
      </w:r>
    </w:p>
    <w:p>
      <w:r>
        <w:t>El PMD anterior aporta antecedentes históricos y territoriales útiles para comprender la formación del municipio. Sin embargo, sus descripciones de infraestructura, ambiente, economía o gestión corresponden a otro período. Antes de reutilizarlas, la OMPP debe clasificarlas como vigentes, modificadas o superadas y registrar la evidencia actual. [PMD-ANT]</w:t>
      </w:r>
    </w:p>
    <w:p>
      <w:pPr>
        <w:pStyle w:val="Heading2"/>
      </w:pPr>
      <w:r>
        <w:t>2.7 Indicadores territoriales adicionales</w:t>
      </w:r>
    </w:p>
    <w:p>
      <w:r>
        <w:t>El Dashboard Territorial amplía la línea base con registros administrativos recientes. La columna de ámbito es parte del dato: los valores provinciales sirven como contexto y no describen por sí solos la situación exclusiva del municipio.</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2200"/>
        <w:gridCol w:w="2200"/>
        <w:gridCol w:w="2020"/>
        <w:gridCol w:w="1300"/>
        <w:gridCol w:w="1640"/>
      </w:tblGrid>
      <w:tr>
        <w:trPr>
          <w:tblHeader w:val="true"/>
        </w:trPr>
        <w:tc>
          <w:tcPr>
            <w:tcW w:type="dxa" w:w="22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Indicador</w:t>
            </w:r>
          </w:p>
        </w:tc>
        <w:tc>
          <w:tcPr>
            <w:tcW w:type="dxa" w:w="22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Valor publicado</w:t>
            </w:r>
          </w:p>
        </w:tc>
        <w:tc>
          <w:tcPr>
            <w:tcW w:type="dxa" w:w="202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Ámbito</w:t>
            </w:r>
          </w:p>
        </w:tc>
        <w:tc>
          <w:tcPr>
            <w:tcW w:type="dxa" w:w="13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Período</w:t>
            </w:r>
          </w:p>
        </w:tc>
        <w:tc>
          <w:tcPr>
            <w:tcW w:type="dxa" w:w="164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Fuente</w:t>
            </w:r>
          </w:p>
        </w:tc>
      </w:tr>
      <w:tr>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Incendios forestales registrados</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6 registros; 1,689 tareas declaradas afectadas</w:t>
            </w:r>
          </w:p>
        </w:tc>
        <w:tc>
          <w:tcPr>
            <w:tcW w:type="dxa" w:w="2020"/>
            <w:vAlign w:val="top"/>
            <w:tcMar>
              <w:top w:w="80" w:type="dxa"/>
              <w:start w:w="120" w:type="dxa"/>
              <w:bottom w:w="80" w:type="dxa"/>
              <w:end w:w="120" w:type="dxa"/>
            </w:tcMar>
          </w:tcPr>
          <w:p>
            <w:pPr>
              <w:spacing w:after="0"/>
            </w:pPr>
            <w:r>
              <w:rPr>
                <w:rFonts w:ascii="Calibri" w:hAnsi="Calibri" w:eastAsia="Calibri"/>
                <w:b w:val="0"/>
                <w:i w:val="0"/>
                <w:color w:val="203740"/>
                <w:sz w:val="17"/>
              </w:rPr>
              <w:t>Municipio de Duvergé</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2025</w:t>
            </w:r>
          </w:p>
        </w:tc>
        <w:tc>
          <w:tcPr>
            <w:tcW w:type="dxa" w:w="1640"/>
            <w:vAlign w:val="top"/>
            <w:tcMar>
              <w:top w:w="80" w:type="dxa"/>
              <w:start w:w="120" w:type="dxa"/>
              <w:bottom w:w="80" w:type="dxa"/>
              <w:end w:w="120" w:type="dxa"/>
            </w:tcMar>
          </w:tcPr>
          <w:p>
            <w:pPr>
              <w:spacing w:after="0"/>
            </w:pPr>
            <w:r>
              <w:rPr>
                <w:rFonts w:ascii="Calibri" w:hAnsi="Calibri" w:eastAsia="Calibri"/>
                <w:b w:val="0"/>
                <w:i w:val="0"/>
                <w:color w:val="203740"/>
                <w:sz w:val="17"/>
              </w:rPr>
              <w:t>Datos abiertos · incendios forestales</w:t>
            </w:r>
          </w:p>
        </w:tc>
      </w:tr>
      <w:tr>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Centros INAIPI</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 centros</w:t>
            </w:r>
          </w:p>
        </w:tc>
        <w:tc>
          <w:tcPr>
            <w:tcW w:type="dxa" w:w="202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Municipio de Duvergé</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20262</w:t>
            </w:r>
          </w:p>
        </w:tc>
        <w:tc>
          <w:tcPr>
            <w:tcW w:type="dxa" w:w="164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Datos abiertos · INAIPI</w:t>
            </w:r>
          </w:p>
        </w:tc>
      </w:tr>
      <w:tr>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Instalaciones deportivas registradas</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9 instalaciones; 6.4 por 10 mil habitantes</w:t>
            </w:r>
          </w:p>
        </w:tc>
        <w:tc>
          <w:tcPr>
            <w:tcW w:type="dxa" w:w="2020"/>
            <w:vAlign w:val="top"/>
            <w:tcMar>
              <w:top w:w="80" w:type="dxa"/>
              <w:start w:w="120" w:type="dxa"/>
              <w:bottom w:w="80" w:type="dxa"/>
              <w:end w:w="120" w:type="dxa"/>
            </w:tcMar>
          </w:tcPr>
          <w:p>
            <w:pPr>
              <w:spacing w:after="0"/>
            </w:pPr>
            <w:r>
              <w:rPr>
                <w:rFonts w:ascii="Calibri" w:hAnsi="Calibri" w:eastAsia="Calibri"/>
                <w:b w:val="0"/>
                <w:i w:val="0"/>
                <w:color w:val="203740"/>
                <w:sz w:val="17"/>
              </w:rPr>
              <w:t>Municipio de Duvergé</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2025</w:t>
            </w:r>
          </w:p>
        </w:tc>
        <w:tc>
          <w:tcPr>
            <w:tcW w:type="dxa" w:w="1640"/>
            <w:vAlign w:val="top"/>
            <w:tcMar>
              <w:top w:w="80" w:type="dxa"/>
              <w:start w:w="120" w:type="dxa"/>
              <w:bottom w:w="80" w:type="dxa"/>
              <w:end w:w="120" w:type="dxa"/>
            </w:tcMar>
          </w:tcPr>
          <w:p>
            <w:pPr>
              <w:spacing w:after="0"/>
            </w:pPr>
            <w:r>
              <w:rPr>
                <w:rFonts w:ascii="Calibri" w:hAnsi="Calibri" w:eastAsia="Calibri"/>
                <w:b w:val="0"/>
                <w:i w:val="0"/>
                <w:color w:val="203740"/>
                <w:sz w:val="17"/>
              </w:rPr>
              <w:t>Datos abiertos · instalaciones deportivas</w:t>
            </w:r>
          </w:p>
        </w:tc>
      </w:tr>
      <w:tr>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Inversión pública territorial</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Presupuesto RD$ 71,310,289; ejecutado RD$ 70,460,974; ejecución 98.8%</w:t>
            </w:r>
          </w:p>
        </w:tc>
        <w:tc>
          <w:tcPr>
            <w:tcW w:type="dxa" w:w="202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Municipio de Duvergé</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2025</w:t>
            </w:r>
          </w:p>
        </w:tc>
        <w:tc>
          <w:tcPr>
            <w:tcW w:type="dxa" w:w="164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Datos abiertos · estadísticas de proyectos de inversión</w:t>
            </w:r>
          </w:p>
        </w:tc>
      </w:tr>
      <w:tr>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Puntuación SISMAP Municipal</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35.8 / 100</w:t>
            </w:r>
          </w:p>
        </w:tc>
        <w:tc>
          <w:tcPr>
            <w:tcW w:type="dxa" w:w="2020"/>
            <w:vAlign w:val="top"/>
            <w:tcMar>
              <w:top w:w="80" w:type="dxa"/>
              <w:start w:w="120" w:type="dxa"/>
              <w:bottom w:w="80" w:type="dxa"/>
              <w:end w:w="120" w:type="dxa"/>
            </w:tcMar>
          </w:tcPr>
          <w:p>
            <w:pPr>
              <w:spacing w:after="0"/>
            </w:pPr>
            <w:r>
              <w:rPr>
                <w:rFonts w:ascii="Calibri" w:hAnsi="Calibri" w:eastAsia="Calibri"/>
                <w:b w:val="0"/>
                <w:i w:val="0"/>
                <w:color w:val="203740"/>
                <w:sz w:val="17"/>
              </w:rPr>
              <w:t>Municipio de Duvergé</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2026-07-31</w:t>
            </w:r>
          </w:p>
        </w:tc>
        <w:tc>
          <w:tcPr>
            <w:tcW w:type="dxa" w:w="1640"/>
            <w:vAlign w:val="top"/>
            <w:tcMar>
              <w:top w:w="80" w:type="dxa"/>
              <w:start w:w="120" w:type="dxa"/>
              <w:bottom w:w="80" w:type="dxa"/>
              <w:end w:w="120" w:type="dxa"/>
            </w:tcMar>
          </w:tcPr>
          <w:p>
            <w:pPr>
              <w:spacing w:after="0"/>
            </w:pPr>
            <w:r>
              <w:rPr>
                <w:rFonts w:ascii="Calibri" w:hAnsi="Calibri" w:eastAsia="Calibri"/>
                <w:b w:val="0"/>
                <w:i w:val="0"/>
                <w:color w:val="203740"/>
                <w:sz w:val="17"/>
              </w:rPr>
              <w:t>SISMAP Municipal</w:t>
            </w:r>
          </w:p>
        </w:tc>
      </w:tr>
      <w:tr>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Robos reportados</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14 casos; 23.1 por 100 mil habitantes</w:t>
            </w:r>
          </w:p>
        </w:tc>
        <w:tc>
          <w:tcPr>
            <w:tcW w:type="dxa" w:w="202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Provincia completa de Independencia; no es valor municipal</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Enero–junio de 2026</w:t>
            </w:r>
          </w:p>
        </w:tc>
        <w:tc>
          <w:tcPr>
            <w:tcW w:type="dxa" w:w="164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Datos abiertos · robos reportados</w:t>
            </w:r>
          </w:p>
        </w:tc>
      </w:tr>
      <w:tr>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Homicidios intencionales</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3 casos; 4.9 por 100 mil habitantes</w:t>
            </w:r>
          </w:p>
        </w:tc>
        <w:tc>
          <w:tcPr>
            <w:tcW w:type="dxa" w:w="2020"/>
            <w:vAlign w:val="top"/>
            <w:tcMar>
              <w:top w:w="80" w:type="dxa"/>
              <w:start w:w="120" w:type="dxa"/>
              <w:bottom w:w="80" w:type="dxa"/>
              <w:end w:w="120" w:type="dxa"/>
            </w:tcMar>
          </w:tcPr>
          <w:p>
            <w:pPr>
              <w:spacing w:after="0"/>
            </w:pPr>
            <w:r>
              <w:rPr>
                <w:rFonts w:ascii="Calibri" w:hAnsi="Calibri" w:eastAsia="Calibri"/>
                <w:b w:val="0"/>
                <w:i w:val="0"/>
                <w:color w:val="203740"/>
                <w:sz w:val="17"/>
              </w:rPr>
              <w:t>Provincia completa de Independencia; no es valor municipal</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2024</w:t>
            </w:r>
          </w:p>
        </w:tc>
        <w:tc>
          <w:tcPr>
            <w:tcW w:type="dxa" w:w="1640"/>
            <w:vAlign w:val="top"/>
            <w:tcMar>
              <w:top w:w="80" w:type="dxa"/>
              <w:start w:w="120" w:type="dxa"/>
              <w:bottom w:w="80" w:type="dxa"/>
              <w:end w:w="120" w:type="dxa"/>
            </w:tcMar>
          </w:tcPr>
          <w:p>
            <w:pPr>
              <w:spacing w:after="0"/>
            </w:pPr>
            <w:r>
              <w:rPr>
                <w:rFonts w:ascii="Calibri" w:hAnsi="Calibri" w:eastAsia="Calibri"/>
                <w:b w:val="0"/>
                <w:i w:val="0"/>
                <w:color w:val="203740"/>
                <w:sz w:val="17"/>
              </w:rPr>
              <w:t>ONE · muertes accidentales y violentas</w:t>
            </w:r>
          </w:p>
        </w:tc>
      </w:tr>
      <w:tr>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Fallecimientos de tránsito</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7 personas; 11.5 por 100 mil habitantes</w:t>
            </w:r>
          </w:p>
        </w:tc>
        <w:tc>
          <w:tcPr>
            <w:tcW w:type="dxa" w:w="202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Provincia completa de Independencia; no es valor municipal</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Enero–junio de 2026</w:t>
            </w:r>
          </w:p>
        </w:tc>
        <w:tc>
          <w:tcPr>
            <w:tcW w:type="dxa" w:w="164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Datos abiertos · fallecimientos de tránsito</w:t>
            </w:r>
          </w:p>
        </w:tc>
      </w:tr>
      <w:tr>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Hacinamiento extremo o moderado</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21.3%</w:t>
            </w:r>
          </w:p>
        </w:tc>
        <w:tc>
          <w:tcPr>
            <w:tcW w:type="dxa" w:w="2020"/>
            <w:vAlign w:val="top"/>
            <w:tcMar>
              <w:top w:w="80" w:type="dxa"/>
              <w:start w:w="120" w:type="dxa"/>
              <w:bottom w:w="80" w:type="dxa"/>
              <w:end w:w="120" w:type="dxa"/>
            </w:tcMar>
          </w:tcPr>
          <w:p>
            <w:pPr>
              <w:spacing w:after="0"/>
            </w:pPr>
            <w:r>
              <w:rPr>
                <w:rFonts w:ascii="Calibri" w:hAnsi="Calibri" w:eastAsia="Calibri"/>
                <w:b w:val="0"/>
                <w:i w:val="0"/>
                <w:color w:val="203740"/>
                <w:sz w:val="17"/>
              </w:rPr>
              <w:t>Provincia completa de Independencia; no es valor municipal</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2026</w:t>
            </w:r>
          </w:p>
        </w:tc>
        <w:tc>
          <w:tcPr>
            <w:tcW w:type="dxa" w:w="1640"/>
            <w:vAlign w:val="top"/>
            <w:tcMar>
              <w:top w:w="80" w:type="dxa"/>
              <w:start w:w="120" w:type="dxa"/>
              <w:bottom w:w="80" w:type="dxa"/>
              <w:end w:w="120" w:type="dxa"/>
            </w:tcMar>
          </w:tcPr>
          <w:p>
            <w:pPr>
              <w:spacing w:after="0"/>
            </w:pPr>
            <w:r>
              <w:rPr>
                <w:rFonts w:ascii="Calibri" w:hAnsi="Calibri" w:eastAsia="Calibri"/>
                <w:b w:val="0"/>
                <w:i w:val="0"/>
                <w:color w:val="203740"/>
                <w:sz w:val="17"/>
              </w:rPr>
              <w:t>Datos abiertos · hacinamiento</w:t>
            </w:r>
          </w:p>
        </w:tc>
      </w:tr>
      <w:tr>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Personas con discapacidad en ICV-1 o ICV-2</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65.0%</w:t>
            </w:r>
          </w:p>
        </w:tc>
        <w:tc>
          <w:tcPr>
            <w:tcW w:type="dxa" w:w="202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Provincia completa de Independencia; no es valor municipal</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2026</w:t>
            </w:r>
          </w:p>
        </w:tc>
        <w:tc>
          <w:tcPr>
            <w:tcW w:type="dxa" w:w="164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Datos abiertos · discapacidad por provincia</w:t>
            </w:r>
          </w:p>
        </w:tc>
      </w:tr>
      <w:tr>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Registros de nacimiento</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521 registros; 8.6 por mil habitantes</w:t>
            </w:r>
          </w:p>
        </w:tc>
        <w:tc>
          <w:tcPr>
            <w:tcW w:type="dxa" w:w="2020"/>
            <w:vAlign w:val="top"/>
            <w:tcMar>
              <w:top w:w="80" w:type="dxa"/>
              <w:start w:w="120" w:type="dxa"/>
              <w:bottom w:w="80" w:type="dxa"/>
              <w:end w:w="120" w:type="dxa"/>
            </w:tcMar>
          </w:tcPr>
          <w:p>
            <w:pPr>
              <w:spacing w:after="0"/>
            </w:pPr>
            <w:r>
              <w:rPr>
                <w:rFonts w:ascii="Calibri" w:hAnsi="Calibri" w:eastAsia="Calibri"/>
                <w:b w:val="0"/>
                <w:i w:val="0"/>
                <w:color w:val="203740"/>
                <w:sz w:val="17"/>
              </w:rPr>
              <w:t>Provincia completa de Independencia; no es valor municipal</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2024</w:t>
            </w:r>
          </w:p>
        </w:tc>
        <w:tc>
          <w:tcPr>
            <w:tcW w:type="dxa" w:w="1640"/>
            <w:vAlign w:val="top"/>
            <w:tcMar>
              <w:top w:w="80" w:type="dxa"/>
              <w:start w:w="120" w:type="dxa"/>
              <w:bottom w:w="80" w:type="dxa"/>
              <w:end w:w="120" w:type="dxa"/>
            </w:tcMar>
          </w:tcPr>
          <w:p>
            <w:pPr>
              <w:spacing w:after="0"/>
            </w:pPr>
            <w:r>
              <w:rPr>
                <w:rFonts w:ascii="Calibri" w:hAnsi="Calibri" w:eastAsia="Calibri"/>
                <w:b w:val="0"/>
                <w:i w:val="0"/>
                <w:color w:val="203740"/>
                <w:sz w:val="17"/>
              </w:rPr>
              <w:t>Datos abiertos · provincia de registro</w:t>
            </w:r>
          </w:p>
        </w:tc>
      </w:tr>
    </w:tbl>
    <w:p>
      <w:pPr>
        <w:spacing w:after="0"/>
      </w:pPr>
    </w:p>
    <w:p>
      <w:pPr>
        <w:pStyle w:val="SourceNote"/>
      </w:pPr>
      <w:r>
        <w:rPr>
          <w:rFonts w:ascii="Calibri" w:hAnsi="Calibri" w:eastAsia="Calibri"/>
          <w:b w:val="0"/>
          <w:i w:val="0"/>
          <w:color w:val="5E7076"/>
          <w:sz w:val="17"/>
        </w:rPr>
        <w:t>Fuente: DDPT, Dashboard Territorial, dataset generado el 2026-08-01T15:52:35.655Z. La ausencia de registros no se interpreta automáticamente como cero.</w:t>
      </w:r>
    </w:p>
    <w:p>
      <w:pPr>
        <w:pStyle w:val="Heading1"/>
      </w:pPr>
      <w:r>
        <w:t>3. Fortalezas y debilidades basadas en el diagnóstico</w:t>
      </w:r>
    </w:p>
    <w:p>
      <w:r>
        <w:t>La clasificación siguiente utiliza únicamente indicadores comparables del diagnóstico. Se considera diferencia relevante una separación de al menos dos puntos porcentuales frente al promedio nacional. El crecimiento poblacional, el número absoluto de establecimientos y otros datos sin denominador comparable no se clasifican automáticamente como fortalezas o debilidades.</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4680"/>
        <w:gridCol w:w="4680"/>
      </w:tblGrid>
      <w:tr>
        <w:trPr>
          <w:tblHeader w:val="true"/>
        </w:trPr>
        <w:tc>
          <w:tcPr>
            <w:tcW w:type="dxa" w:w="468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Fortalezas observadas</w:t>
            </w:r>
          </w:p>
        </w:tc>
        <w:tc>
          <w:tcPr>
            <w:tcW w:type="dxa" w:w="468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Debilidades observadas</w:t>
            </w:r>
          </w:p>
        </w:tc>
      </w:tr>
      <w:tr>
        <w:tc>
          <w:tcPr>
            <w:tcW w:type="dxa" w:w="4680"/>
            <w:vAlign w:val="top"/>
            <w:tcMar>
              <w:top w:w="80" w:type="dxa"/>
              <w:start w:w="120" w:type="dxa"/>
              <w:bottom w:w="80" w:type="dxa"/>
              <w:end w:w="120" w:type="dxa"/>
            </w:tcMar>
          </w:tcPr>
          <w:p>
            <w:pPr>
              <w:spacing w:after="0"/>
            </w:pPr>
            <w:r>
              <w:rPr>
                <w:rFonts w:ascii="Calibri" w:hAnsi="Calibri" w:eastAsia="Calibri"/>
                <w:b w:val="0"/>
                <w:i w:val="0"/>
                <w:color w:val="203740"/>
                <w:sz w:val="17"/>
              </w:rPr>
              <w:t>• Recogida de residuos por el ayuntamiento: 91.2%; promedio nacional: 85.9% (+5.3 puntos porcentuales).</w:t>
            </w:r>
          </w:p>
        </w:tc>
        <w:tc>
          <w:tcPr>
            <w:tcW w:type="dxa" w:w="4680"/>
            <w:vAlign w:val="top"/>
            <w:tcMar>
              <w:top w:w="80" w:type="dxa"/>
              <w:start w:w="120" w:type="dxa"/>
              <w:bottom w:w="80" w:type="dxa"/>
              <w:end w:w="120" w:type="dxa"/>
            </w:tcMar>
          </w:tcPr>
          <w:p>
            <w:pPr>
              <w:spacing w:after="0"/>
            </w:pPr>
            <w:r>
              <w:rPr>
                <w:rFonts w:ascii="Calibri" w:hAnsi="Calibri" w:eastAsia="Calibri"/>
                <w:b w:val="0"/>
                <w:i w:val="0"/>
                <w:color w:val="203740"/>
                <w:sz w:val="17"/>
              </w:rPr>
              <w:t>• Acceso a agua del acueducto dentro de la vivienda: 59.8%; promedio nacional: 62.7% (-2.9 puntos porcentuales).</w:t>
              <w:br/>
              <w:t>• Hogares con inodoro: 76.0%; promedio nacional: 87.0% (-11.1 puntos porcentuales).</w:t>
              <w:br/>
              <w:t>• Electricidad de la red pública: 96.2%; promedio nacional: 98.3% (-2.0 puntos porcentuales).</w:t>
              <w:br/>
              <w:t>• Uso de internet: 54.9%; promedio nacional: 79.0% (-24.1 puntos porcentuales).</w:t>
            </w:r>
          </w:p>
        </w:tc>
      </w:tr>
    </w:tbl>
    <w:p>
      <w:pPr>
        <w:spacing w:after="0"/>
      </w:pPr>
    </w:p>
    <w:p>
      <w:pPr>
        <w:pStyle w:val="SourceNote"/>
      </w:pPr>
      <w:r>
        <w:rPr>
          <w:rFonts w:ascii="Calibri" w:hAnsi="Calibri" w:eastAsia="Calibri"/>
          <w:b w:val="0"/>
          <w:i w:val="0"/>
          <w:color w:val="5E7076"/>
          <w:sz w:val="17"/>
        </w:rPr>
        <w:t>Fuente: ONE, X Censo Nacional de Población y Vivienda 2022; comparación con los agregados nacionales del Dashboard. La regla de ±2 puntos porcentuales se aplica de manera uniforme.</w:t>
      </w:r>
    </w:p>
    <w:p>
      <w:pPr>
        <w:pStyle w:val="Heading2"/>
      </w:pPr>
      <w:r>
        <w:t>3.1 Situaciones del diagnóstico para priorización</w:t>
      </w:r>
    </w:p>
    <w:p>
      <w:r>
        <w:t>Los hallazgos siguientes resumen situaciones verificables. No se les asigna orden de prioridad; el CDM debe contrastarlos con la experiencia de barrios, comunidades y sectores.</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2200"/>
        <w:gridCol w:w="5100"/>
        <w:gridCol w:w="2060"/>
      </w:tblGrid>
      <w:tr>
        <w:trPr>
          <w:tblHeader w:val="true"/>
        </w:trPr>
        <w:tc>
          <w:tcPr>
            <w:tcW w:type="dxa" w:w="22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Tema</w:t>
            </w:r>
          </w:p>
        </w:tc>
        <w:tc>
          <w:tcPr>
            <w:tcW w:type="dxa" w:w="51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Situación observada</w:t>
            </w:r>
          </w:p>
        </w:tc>
        <w:tc>
          <w:tcPr>
            <w:tcW w:type="dxa" w:w="20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Fuente</w:t>
            </w:r>
          </w:p>
        </w:tc>
      </w:tr>
      <w:tr>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Población y territorio</w:t>
            </w:r>
          </w:p>
        </w:tc>
        <w:tc>
          <w:tcPr>
            <w:tcW w:type="dxa" w:w="5100"/>
            <w:vAlign w:val="top"/>
            <w:tcMar>
              <w:top w:w="80" w:type="dxa"/>
              <w:start w:w="120" w:type="dxa"/>
              <w:bottom w:w="80" w:type="dxa"/>
              <w:end w:w="120" w:type="dxa"/>
            </w:tcMar>
          </w:tcPr>
          <w:p>
            <w:pPr>
              <w:spacing w:after="0"/>
            </w:pPr>
            <w:r>
              <w:rPr>
                <w:rFonts w:ascii="Calibri" w:hAnsi="Calibri" w:eastAsia="Calibri"/>
                <w:b w:val="0"/>
                <w:i w:val="0"/>
                <w:color w:val="203740"/>
                <w:sz w:val="17"/>
              </w:rPr>
              <w:t>Variación intercensal de 17.4%; urbanización de 80.8%.</w:t>
            </w:r>
          </w:p>
        </w:tc>
        <w:tc>
          <w:tcPr>
            <w:tcW w:type="dxa" w:w="2060"/>
            <w:vAlign w:val="top"/>
            <w:tcMar>
              <w:top w:w="80" w:type="dxa"/>
              <w:start w:w="120" w:type="dxa"/>
              <w:bottom w:w="80" w:type="dxa"/>
              <w:end w:w="120" w:type="dxa"/>
            </w:tcMar>
          </w:tcPr>
          <w:p>
            <w:pPr>
              <w:spacing w:after="0"/>
            </w:pPr>
            <w:r>
              <w:rPr>
                <w:rFonts w:ascii="Calibri" w:hAnsi="Calibri" w:eastAsia="Calibri"/>
                <w:b w:val="0"/>
                <w:i w:val="0"/>
                <w:color w:val="203740"/>
                <w:sz w:val="17"/>
              </w:rPr>
              <w:t>DASH-BASE / DASH-URB</w:t>
            </w:r>
          </w:p>
        </w:tc>
      </w:tr>
      <w:tr>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Agua y saneamiento</w:t>
            </w:r>
          </w:p>
        </w:tc>
        <w:tc>
          <w:tcPr>
            <w:tcW w:type="dxa" w:w="5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Agua de acueducto dentro: 59.8%; hogares sin sanitario: 4.8%.</w:t>
            </w:r>
          </w:p>
        </w:tc>
        <w:tc>
          <w:tcPr>
            <w:tcW w:type="dxa" w:w="20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DASH-VIDA</w:t>
            </w:r>
          </w:p>
        </w:tc>
      </w:tr>
      <w:tr>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Residuos sólidos</w:t>
            </w:r>
          </w:p>
        </w:tc>
        <w:tc>
          <w:tcPr>
            <w:tcW w:type="dxa" w:w="5100"/>
            <w:vAlign w:val="top"/>
            <w:tcMar>
              <w:top w:w="80" w:type="dxa"/>
              <w:start w:w="120" w:type="dxa"/>
              <w:bottom w:w="80" w:type="dxa"/>
              <w:end w:w="120" w:type="dxa"/>
            </w:tcMar>
          </w:tcPr>
          <w:p>
            <w:pPr>
              <w:spacing w:after="0"/>
            </w:pPr>
            <w:r>
              <w:rPr>
                <w:rFonts w:ascii="Calibri" w:hAnsi="Calibri" w:eastAsia="Calibri"/>
                <w:b w:val="0"/>
                <w:i w:val="0"/>
                <w:color w:val="203740"/>
                <w:sz w:val="17"/>
              </w:rPr>
              <w:t>Recogida municipal declarada: 91.2%; quema: 6.6%.</w:t>
            </w:r>
          </w:p>
        </w:tc>
        <w:tc>
          <w:tcPr>
            <w:tcW w:type="dxa" w:w="2060"/>
            <w:vAlign w:val="top"/>
            <w:tcMar>
              <w:top w:w="80" w:type="dxa"/>
              <w:start w:w="120" w:type="dxa"/>
              <w:bottom w:w="80" w:type="dxa"/>
              <w:end w:w="120" w:type="dxa"/>
            </w:tcMar>
          </w:tcPr>
          <w:p>
            <w:pPr>
              <w:spacing w:after="0"/>
            </w:pPr>
            <w:r>
              <w:rPr>
                <w:rFonts w:ascii="Calibri" w:hAnsi="Calibri" w:eastAsia="Calibri"/>
                <w:b w:val="0"/>
                <w:i w:val="0"/>
                <w:color w:val="203740"/>
                <w:sz w:val="17"/>
              </w:rPr>
              <w:t>DASH-VIDA</w:t>
            </w:r>
          </w:p>
        </w:tc>
      </w:tr>
      <w:tr>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Educación</w:t>
            </w:r>
          </w:p>
        </w:tc>
        <w:tc>
          <w:tcPr>
            <w:tcW w:type="dxa" w:w="5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Abandono secundario del distrito asociado: 5.0%.</w:t>
            </w:r>
          </w:p>
        </w:tc>
        <w:tc>
          <w:tcPr>
            <w:tcW w:type="dxa" w:w="20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DASH-EDU</w:t>
            </w:r>
          </w:p>
        </w:tc>
      </w:tr>
      <w:tr>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Economía local</w:t>
            </w:r>
          </w:p>
        </w:tc>
        <w:tc>
          <w:tcPr>
            <w:tcW w:type="dxa" w:w="5100"/>
            <w:vAlign w:val="top"/>
            <w:tcMar>
              <w:top w:w="80" w:type="dxa"/>
              <w:start w:w="120" w:type="dxa"/>
              <w:bottom w:w="80" w:type="dxa"/>
              <w:end w:w="120" w:type="dxa"/>
            </w:tcMar>
          </w:tcPr>
          <w:p>
            <w:pPr>
              <w:spacing w:after="0"/>
            </w:pPr>
            <w:r>
              <w:rPr>
                <w:rFonts w:ascii="Calibri" w:hAnsi="Calibri" w:eastAsia="Calibri"/>
                <w:b w:val="0"/>
                <w:i w:val="0"/>
                <w:color w:val="203740"/>
                <w:sz w:val="17"/>
              </w:rPr>
              <w:t>81.1% de los establecimientos observados son micro (1–10).</w:t>
            </w:r>
          </w:p>
        </w:tc>
        <w:tc>
          <w:tcPr>
            <w:tcW w:type="dxa" w:w="2060"/>
            <w:vAlign w:val="top"/>
            <w:tcMar>
              <w:top w:w="80" w:type="dxa"/>
              <w:start w:w="120" w:type="dxa"/>
              <w:bottom w:w="80" w:type="dxa"/>
              <w:end w:w="120" w:type="dxa"/>
            </w:tcMar>
          </w:tcPr>
          <w:p>
            <w:pPr>
              <w:spacing w:after="0"/>
            </w:pPr>
            <w:r>
              <w:rPr>
                <w:rFonts w:ascii="Calibri" w:hAnsi="Calibri" w:eastAsia="Calibri"/>
                <w:b w:val="0"/>
                <w:i w:val="0"/>
                <w:color w:val="203740"/>
                <w:sz w:val="17"/>
              </w:rPr>
              <w:t>DASH-ECO</w:t>
            </w:r>
          </w:p>
        </w:tc>
      </w:tr>
      <w:tr>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Conectividad</w:t>
            </w:r>
          </w:p>
        </w:tc>
        <w:tc>
          <w:tcPr>
            <w:tcW w:type="dxa" w:w="5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Internet: 54.9%; computadora: 9.8%.</w:t>
            </w:r>
          </w:p>
        </w:tc>
        <w:tc>
          <w:tcPr>
            <w:tcW w:type="dxa" w:w="20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DASH-TIC</w:t>
            </w:r>
          </w:p>
        </w:tc>
      </w:tr>
    </w:tbl>
    <w:p>
      <w:pPr>
        <w:spacing w:after="0"/>
      </w:pPr>
    </w:p>
    <w:p>
      <w:pPr>
        <w:pStyle w:val="Heading1"/>
      </w:pPr>
      <w:r>
        <w:t>4. Visión Municipal</w:t>
      </w:r>
    </w:p>
    <w:p>
      <w:r>
        <w:t>La visión municipal, los objetivos y los resultados expresan acuerdos políticos y sociales. Deben surgir de la participación del CDM y ser aprobados mediante el procedimiento municipal correspondiente. La fila siguiente muestra únicamente el formato de registro.</w:t>
      </w:r>
    </w:p>
    <w:p>
      <w:pPr>
        <w:pStyle w:val="Heading2"/>
      </w:pPr>
      <w:r>
        <w:t>4.1 Ejemplo de registro de una visión y un objetivo</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2260"/>
        <w:gridCol w:w="3740"/>
        <w:gridCol w:w="3360"/>
      </w:tblGrid>
      <w:tr>
        <w:trPr>
          <w:tblHeader w:val="true"/>
        </w:trPr>
        <w:tc>
          <w:tcPr>
            <w:tcW w:type="dxa" w:w="22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Carácter</w:t>
            </w:r>
          </w:p>
        </w:tc>
        <w:tc>
          <w:tcPr>
            <w:tcW w:type="dxa" w:w="374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Visión / tema</w:t>
            </w:r>
          </w:p>
        </w:tc>
        <w:tc>
          <w:tcPr>
            <w:tcW w:type="dxa" w:w="33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Objetivo / resultado</w:t>
            </w:r>
          </w:p>
        </w:tc>
      </w:tr>
      <w:tr>
        <w:tc>
          <w:tcPr>
            <w:tcW w:type="dxa" w:w="2260"/>
            <w:vAlign w:val="top"/>
            <w:tcMar>
              <w:top w:w="80" w:type="dxa"/>
              <w:start w:w="120" w:type="dxa"/>
              <w:bottom w:w="80" w:type="dxa"/>
              <w:end w:w="120" w:type="dxa"/>
            </w:tcMar>
          </w:tcPr>
          <w:p>
            <w:pPr>
              <w:spacing w:after="0"/>
            </w:pPr>
            <w:r>
              <w:rPr>
                <w:rFonts w:ascii="Calibri" w:hAnsi="Calibri" w:eastAsia="Calibri"/>
                <w:b w:val="0"/>
                <w:i w:val="0"/>
                <w:color w:val="203740"/>
                <w:sz w:val="17"/>
              </w:rPr>
              <w:t>EJEMPLO DE FORMATO · NO APROBADO</w:t>
            </w:r>
          </w:p>
        </w:tc>
        <w:tc>
          <w:tcPr>
            <w:tcW w:type="dxa" w:w="3740"/>
            <w:vAlign w:val="top"/>
            <w:tcMar>
              <w:top w:w="80" w:type="dxa"/>
              <w:start w:w="120" w:type="dxa"/>
              <w:bottom w:w="80" w:type="dxa"/>
              <w:end w:w="120" w:type="dxa"/>
            </w:tcMar>
          </w:tcPr>
          <w:p>
            <w:pPr>
              <w:spacing w:after="0"/>
            </w:pPr>
            <w:r>
              <w:rPr>
                <w:rFonts w:ascii="Calibri" w:hAnsi="Calibri" w:eastAsia="Calibri"/>
                <w:b w:val="0"/>
                <w:i w:val="0"/>
                <w:color w:val="203740"/>
                <w:sz w:val="17"/>
              </w:rPr>
              <w:t>“En 2028, Duvergé avanza como un municipio que mejora de manera equitativa sus servicios y protege los recursos de su territorio.”</w:t>
            </w:r>
          </w:p>
        </w:tc>
        <w:tc>
          <w:tcPr>
            <w:tcW w:type="dxa" w:w="3360"/>
            <w:vAlign w:val="top"/>
            <w:tcMar>
              <w:top w:w="80" w:type="dxa"/>
              <w:start w:w="120" w:type="dxa"/>
              <w:bottom w:w="80" w:type="dxa"/>
              <w:end w:w="120" w:type="dxa"/>
            </w:tcMar>
          </w:tcPr>
          <w:p>
            <w:pPr>
              <w:spacing w:after="0"/>
            </w:pPr>
            <w:r>
              <w:rPr>
                <w:rFonts w:ascii="Calibri" w:hAnsi="Calibri" w:eastAsia="Calibri"/>
                <w:b w:val="0"/>
                <w:i w:val="0"/>
                <w:color w:val="203740"/>
                <w:sz w:val="17"/>
              </w:rPr>
              <w:t>Ejemplo: mejorar un servicio priorizado por el CDM, usando un indicador del diagnóstico para fijar la línea base y medir el resultado.</w:t>
            </w:r>
          </w:p>
        </w:tc>
      </w:tr>
    </w:tbl>
    <w:p>
      <w:pPr>
        <w:spacing w:after="0"/>
      </w:pPr>
    </w:p>
    <w:p>
      <w:pPr>
        <w:pStyle w:val="SourceNote"/>
      </w:pPr>
      <w:r>
        <w:rPr>
          <w:rFonts w:ascii="Calibri" w:hAnsi="Calibri" w:eastAsia="Calibri"/>
          <w:b w:val="0"/>
          <w:i w:val="0"/>
          <w:color w:val="5E7076"/>
          <w:sz w:val="17"/>
        </w:rPr>
        <w:t>Fuente: MEPyD, Guía para la formulación de planes de desarrollo municipales, formulación estratégica, pp. 33–45.</w:t>
      </w:r>
    </w:p>
    <w:p>
      <w:r>
        <w:br w:type="page"/>
      </w:r>
    </w:p>
    <w:p>
      <w:pPr>
        <w:pStyle w:val="Heading1"/>
      </w:pPr>
      <w:r>
        <w:t>5. Inversión pública</w:t>
      </w:r>
    </w:p>
    <w:p>
      <w:r>
        <w:t>Con corte al 2026-08-02, MapaInversiones registra 11 proyectos en ejecución o reprogramados con identificación territorial específica para Duvergé. La programación presupuestaria 2026 asociada suma RD$ 1,131,758,557 y la ejecución registrada suma RD$ 738,461,236. Estos proyectos pertenecen a instituciones públicas y no constituyen por sí mismos acuerdos, compromisos ni proyectos aprobados por el CDM o el ayuntamiento.</w:t>
      </w:r>
    </w:p>
    <w:p>
      <w:pPr>
        <w:pStyle w:val="SourceNote"/>
      </w:pPr>
      <w:r>
        <w:rPr>
          <w:rFonts w:ascii="Calibri" w:hAnsi="Calibri" w:eastAsia="Calibri"/>
          <w:b w:val="0"/>
          <w:i w:val="0"/>
          <w:color w:val="5E7076"/>
          <w:sz w:val="17"/>
        </w:rPr>
        <w:t>Fuente: MapaInversiones, datos abiertos 2026 y perfiles oficiales de proyectos, https://mapainversiones.gob.do/. Se incluyen únicamente proyectos con alcance municipal específico y estado EJECUCIÓN o REPROGRAMAR; los proyectos nacionales o provinciales sin municipio confirmado no se asignan artificialmente. Los importes se presentan en pesos dominicanos nominales, exactamente en la unidad publicada por la fuente y sin aplicar multiplicadores; los valores inusualmente bajos deben confirmarse en el perfil oficial.</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3540"/>
        <w:gridCol w:w="1980"/>
        <w:gridCol w:w="1500"/>
        <w:gridCol w:w="1170"/>
        <w:gridCol w:w="1170"/>
      </w:tblGrid>
      <w:tr>
        <w:trPr>
          <w:tblHeader w:val="true"/>
        </w:trPr>
        <w:tc>
          <w:tcPr>
            <w:tcW w:type="dxa" w:w="354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Proyecto</w:t>
            </w:r>
          </w:p>
        </w:tc>
        <w:tc>
          <w:tcPr>
            <w:tcW w:type="dxa" w:w="198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Institución</w:t>
            </w:r>
          </w:p>
        </w:tc>
        <w:tc>
          <w:tcPr>
            <w:tcW w:type="dxa" w:w="15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Estado / período</w:t>
            </w:r>
          </w:p>
        </w:tc>
        <w:tc>
          <w:tcPr>
            <w:tcW w:type="dxa" w:w="117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Asignación 2026 (RD$)</w:t>
            </w:r>
          </w:p>
        </w:tc>
        <w:tc>
          <w:tcPr>
            <w:tcW w:type="dxa" w:w="117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Ejecutado 2026 (RD$)</w:t>
            </w:r>
          </w:p>
        </w:tc>
      </w:tr>
      <w:tr>
        <w:tc>
          <w:tcPr>
            <w:tcW w:type="dxa" w:w="3540"/>
            <w:vAlign w:val="top"/>
            <w:tcMar>
              <w:top w:w="80" w:type="dxa"/>
              <w:start w:w="120" w:type="dxa"/>
              <w:bottom w:w="80" w:type="dxa"/>
              <w:end w:w="120" w:type="dxa"/>
            </w:tcMar>
          </w:tcPr>
          <w:p>
            <w:pPr>
              <w:spacing w:after="0"/>
            </w:pPr>
            <w:r>
              <w:rPr>
                <w:rFonts w:ascii="Calibri" w:hAnsi="Calibri" w:eastAsia="Calibri"/>
                <w:b w:val="0"/>
                <w:i w:val="0"/>
                <w:color w:val="203740"/>
                <w:sz w:val="17"/>
              </w:rPr>
              <w:t>AMPLIACIÓN DEL SISTEMA NACIONAL DE ATENCION A EMERGENCIAS Y SEGURIDAD 9-1-1, FASE II</w:t>
              <w:br/>
              <w:t>SNIP 14624 · Ficha 5135</w:t>
              <w:br/>
              <w:t>Ubicación: perfil oficial</w:t>
            </w:r>
          </w:p>
        </w:tc>
        <w:tc>
          <w:tcPr>
            <w:tcW w:type="dxa" w:w="1980"/>
            <w:vAlign w:val="top"/>
            <w:tcMar>
              <w:top w:w="80" w:type="dxa"/>
              <w:start w:w="120" w:type="dxa"/>
              <w:bottom w:w="80" w:type="dxa"/>
              <w:end w:w="120" w:type="dxa"/>
            </w:tcMar>
          </w:tcPr>
          <w:p>
            <w:pPr>
              <w:spacing w:after="0"/>
            </w:pPr>
            <w:r>
              <w:rPr>
                <w:rFonts w:ascii="Calibri" w:hAnsi="Calibri" w:eastAsia="Calibri"/>
                <w:b w:val="0"/>
                <w:i w:val="0"/>
                <w:color w:val="203740"/>
                <w:sz w:val="17"/>
              </w:rPr>
              <w:t>SERVICIO INTEGRAL DE EMERGENCIAS</w:t>
            </w:r>
          </w:p>
        </w:tc>
        <w:tc>
          <w:tcPr>
            <w:tcW w:type="dxa" w:w="1500"/>
            <w:vAlign w:val="top"/>
            <w:tcMar>
              <w:top w:w="80" w:type="dxa"/>
              <w:start w:w="120" w:type="dxa"/>
              <w:bottom w:w="80" w:type="dxa"/>
              <w:end w:w="120" w:type="dxa"/>
            </w:tcMar>
          </w:tcPr>
          <w:p>
            <w:pPr>
              <w:spacing w:after="0"/>
            </w:pPr>
            <w:r>
              <w:rPr>
                <w:rFonts w:ascii="Calibri" w:hAnsi="Calibri" w:eastAsia="Calibri"/>
                <w:b w:val="0"/>
                <w:i w:val="0"/>
                <w:color w:val="203740"/>
                <w:sz w:val="17"/>
              </w:rPr>
              <w:t>En ejecución</w:t>
              <w:br/>
              <w:t>2022–2027</w:t>
            </w:r>
          </w:p>
        </w:tc>
        <w:tc>
          <w:tcPr>
            <w:tcW w:type="dxa" w:w="1170"/>
            <w:vAlign w:val="top"/>
            <w:tcMar>
              <w:top w:w="80" w:type="dxa"/>
              <w:start w:w="120" w:type="dxa"/>
              <w:bottom w:w="80" w:type="dxa"/>
              <w:end w:w="120" w:type="dxa"/>
            </w:tcMar>
          </w:tcPr>
          <w:p>
            <w:pPr>
              <w:spacing w:after="0"/>
            </w:pPr>
            <w:r>
              <w:rPr>
                <w:rFonts w:ascii="Calibri" w:hAnsi="Calibri" w:eastAsia="Calibri"/>
                <w:b w:val="0"/>
                <w:i w:val="0"/>
                <w:color w:val="203740"/>
                <w:sz w:val="17"/>
              </w:rPr>
              <w:t>1,021,000,000</w:t>
            </w:r>
          </w:p>
        </w:tc>
        <w:tc>
          <w:tcPr>
            <w:tcW w:type="dxa" w:w="1170"/>
            <w:vAlign w:val="top"/>
            <w:tcMar>
              <w:top w:w="80" w:type="dxa"/>
              <w:start w:w="120" w:type="dxa"/>
              <w:bottom w:w="80" w:type="dxa"/>
              <w:end w:w="120" w:type="dxa"/>
            </w:tcMar>
          </w:tcPr>
          <w:p>
            <w:pPr>
              <w:spacing w:after="0"/>
            </w:pPr>
            <w:r>
              <w:rPr>
                <w:rFonts w:ascii="Calibri" w:hAnsi="Calibri" w:eastAsia="Calibri"/>
                <w:b w:val="0"/>
                <w:i w:val="0"/>
                <w:color w:val="203740"/>
                <w:sz w:val="17"/>
              </w:rPr>
              <w:t>688,820,398</w:t>
            </w:r>
          </w:p>
        </w:tc>
      </w:tr>
      <w:tr>
        <w:tc>
          <w:tcPr>
            <w:tcW w:type="dxa" w:w="354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RECONSTRUCCIÓN DE LA INFRAESTRUCTURA VIAL URBANA DEL MUNICIPIO DUVERGÉ, PROVINCIA INDEPENDENCIA</w:t>
              <w:br/>
              <w:t>SNIP 15329 · Ficha 6189</w:t>
              <w:br/>
              <w:t>Ubicación: perfil oficial</w:t>
            </w:r>
          </w:p>
        </w:tc>
        <w:tc>
          <w:tcPr>
            <w:tcW w:type="dxa" w:w="198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MINISTERIO DE OBRAS PUBLICAS Y COMUNICACIONES</w:t>
            </w:r>
          </w:p>
        </w:tc>
        <w:tc>
          <w:tcPr>
            <w:tcW w:type="dxa" w:w="15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En ejecución</w:t>
              <w:br/>
              <w:t>2023–2027</w:t>
            </w:r>
          </w:p>
        </w:tc>
        <w:tc>
          <w:tcPr>
            <w:tcW w:type="dxa" w:w="117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37,508,491</w:t>
            </w:r>
          </w:p>
        </w:tc>
        <w:tc>
          <w:tcPr>
            <w:tcW w:type="dxa" w:w="117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30,000,000</w:t>
            </w:r>
          </w:p>
        </w:tc>
      </w:tr>
      <w:tr>
        <w:tc>
          <w:tcPr>
            <w:tcW w:type="dxa" w:w="3540"/>
            <w:vAlign w:val="top"/>
            <w:tcMar>
              <w:top w:w="80" w:type="dxa"/>
              <w:start w:w="120" w:type="dxa"/>
              <w:bottom w:w="80" w:type="dxa"/>
              <w:end w:w="120" w:type="dxa"/>
            </w:tcMar>
          </w:tcPr>
          <w:p>
            <w:pPr>
              <w:spacing w:after="0"/>
            </w:pPr>
            <w:r>
              <w:rPr>
                <w:rFonts w:ascii="Calibri" w:hAnsi="Calibri" w:eastAsia="Calibri"/>
                <w:b w:val="0"/>
                <w:i w:val="0"/>
                <w:color w:val="203740"/>
                <w:sz w:val="17"/>
              </w:rPr>
              <w:t>CONSTRUCCIÓN MERCADO MUNICIPAL DE CABRAL, PROVINCIA BARAHONA</w:t>
              <w:br/>
              <w:t>SNIP 14645 · Ficha 5160</w:t>
              <w:br/>
              <w:t>Ubicación: perfil oficial</w:t>
            </w:r>
          </w:p>
        </w:tc>
        <w:tc>
          <w:tcPr>
            <w:tcW w:type="dxa" w:w="1980"/>
            <w:vAlign w:val="top"/>
            <w:tcMar>
              <w:top w:w="80" w:type="dxa"/>
              <w:start w:w="120" w:type="dxa"/>
              <w:bottom w:w="80" w:type="dxa"/>
              <w:end w:w="120" w:type="dxa"/>
            </w:tcMar>
          </w:tcPr>
          <w:p>
            <w:pPr>
              <w:spacing w:after="0"/>
            </w:pPr>
            <w:r>
              <w:rPr>
                <w:rFonts w:ascii="Calibri" w:hAnsi="Calibri" w:eastAsia="Calibri"/>
                <w:b w:val="0"/>
                <w:i w:val="0"/>
                <w:color w:val="203740"/>
                <w:sz w:val="17"/>
              </w:rPr>
              <w:t>COMISIÓN PRESIDENCIAL DE APOYO AL DESARROLLO PROVINCIAL</w:t>
            </w:r>
          </w:p>
        </w:tc>
        <w:tc>
          <w:tcPr>
            <w:tcW w:type="dxa" w:w="1500"/>
            <w:vAlign w:val="top"/>
            <w:tcMar>
              <w:top w:w="80" w:type="dxa"/>
              <w:start w:w="120" w:type="dxa"/>
              <w:bottom w:w="80" w:type="dxa"/>
              <w:end w:w="120" w:type="dxa"/>
            </w:tcMar>
          </w:tcPr>
          <w:p>
            <w:pPr>
              <w:spacing w:after="0"/>
            </w:pPr>
            <w:r>
              <w:rPr>
                <w:rFonts w:ascii="Calibri" w:hAnsi="Calibri" w:eastAsia="Calibri"/>
                <w:b w:val="0"/>
                <w:i w:val="0"/>
                <w:color w:val="203740"/>
                <w:sz w:val="17"/>
              </w:rPr>
              <w:t>En ejecución</w:t>
              <w:br/>
              <w:t>2022–2027</w:t>
            </w:r>
          </w:p>
        </w:tc>
        <w:tc>
          <w:tcPr>
            <w:tcW w:type="dxa" w:w="1170"/>
            <w:vAlign w:val="top"/>
            <w:tcMar>
              <w:top w:w="80" w:type="dxa"/>
              <w:start w:w="120" w:type="dxa"/>
              <w:bottom w:w="80" w:type="dxa"/>
              <w:end w:w="120" w:type="dxa"/>
            </w:tcMar>
          </w:tcPr>
          <w:p>
            <w:pPr>
              <w:spacing w:after="0"/>
            </w:pPr>
            <w:r>
              <w:rPr>
                <w:rFonts w:ascii="Calibri" w:hAnsi="Calibri" w:eastAsia="Calibri"/>
                <w:b w:val="0"/>
                <w:i w:val="0"/>
                <w:color w:val="203740"/>
                <w:sz w:val="17"/>
              </w:rPr>
              <w:t>36,826,601</w:t>
            </w:r>
          </w:p>
        </w:tc>
        <w:tc>
          <w:tcPr>
            <w:tcW w:type="dxa" w:w="1170"/>
            <w:vAlign w:val="top"/>
            <w:tcMar>
              <w:top w:w="80" w:type="dxa"/>
              <w:start w:w="120" w:type="dxa"/>
              <w:bottom w:w="80" w:type="dxa"/>
              <w:end w:w="120" w:type="dxa"/>
            </w:tcMar>
          </w:tcPr>
          <w:p>
            <w:pPr>
              <w:spacing w:after="0"/>
            </w:pPr>
            <w:r>
              <w:rPr>
                <w:rFonts w:ascii="Calibri" w:hAnsi="Calibri" w:eastAsia="Calibri"/>
                <w:b w:val="0"/>
                <w:i w:val="0"/>
                <w:color w:val="203740"/>
                <w:sz w:val="17"/>
              </w:rPr>
              <w:t>0</w:t>
            </w:r>
          </w:p>
        </w:tc>
      </w:tr>
      <w:tr>
        <w:tc>
          <w:tcPr>
            <w:tcW w:type="dxa" w:w="354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AMPLIACIÓN DEL PLANTEL EDUCATIVO PARA INICIAL NUESTRA SEÑORA DEL CARMEN, MUNICIPIO DUVERGÉ, PROVINCIA INDEPENDENCIA.</w:t>
              <w:br/>
              <w:t>SNIP 15167 · Ficha 6277</w:t>
              <w:br/>
              <w:t>Ubicación: perfil oficial</w:t>
            </w:r>
          </w:p>
        </w:tc>
        <w:tc>
          <w:tcPr>
            <w:tcW w:type="dxa" w:w="198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DIRECCION DE INFRAESTRUCTURA ESCOLAR</w:t>
            </w:r>
          </w:p>
        </w:tc>
        <w:tc>
          <w:tcPr>
            <w:tcW w:type="dxa" w:w="15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En ejecución</w:t>
              <w:br/>
              <w:t>2023–2027</w:t>
            </w:r>
          </w:p>
        </w:tc>
        <w:tc>
          <w:tcPr>
            <w:tcW w:type="dxa" w:w="117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7,977,000</w:t>
            </w:r>
          </w:p>
        </w:tc>
        <w:tc>
          <w:tcPr>
            <w:tcW w:type="dxa" w:w="117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4,111,203</w:t>
            </w:r>
          </w:p>
        </w:tc>
      </w:tr>
      <w:tr>
        <w:tc>
          <w:tcPr>
            <w:tcW w:type="dxa" w:w="3540"/>
            <w:vAlign w:val="top"/>
            <w:tcMar>
              <w:top w:w="80" w:type="dxa"/>
              <w:start w:w="120" w:type="dxa"/>
              <w:bottom w:w="80" w:type="dxa"/>
              <w:end w:w="120" w:type="dxa"/>
            </w:tcMar>
          </w:tcPr>
          <w:p>
            <w:pPr>
              <w:spacing w:after="0"/>
            </w:pPr>
            <w:r>
              <w:rPr>
                <w:rFonts w:ascii="Calibri" w:hAnsi="Calibri" w:eastAsia="Calibri"/>
                <w:b w:val="0"/>
                <w:i w:val="0"/>
                <w:color w:val="203740"/>
                <w:sz w:val="17"/>
              </w:rPr>
              <w:t>AMPLIACIÓN DEL PLANTEL EDUCATIVO PARA INICIAL CATALINA POU, MUNICIPIO CABRAL, PROVINCIA BARAHONA.</w:t>
              <w:br/>
              <w:t>SNIP 15361 · Ficha 6456</w:t>
              <w:br/>
              <w:t>Ubicación: perfil oficial</w:t>
            </w:r>
          </w:p>
        </w:tc>
        <w:tc>
          <w:tcPr>
            <w:tcW w:type="dxa" w:w="1980"/>
            <w:vAlign w:val="top"/>
            <w:tcMar>
              <w:top w:w="80" w:type="dxa"/>
              <w:start w:w="120" w:type="dxa"/>
              <w:bottom w:w="80" w:type="dxa"/>
              <w:end w:w="120" w:type="dxa"/>
            </w:tcMar>
          </w:tcPr>
          <w:p>
            <w:pPr>
              <w:spacing w:after="0"/>
            </w:pPr>
            <w:r>
              <w:rPr>
                <w:rFonts w:ascii="Calibri" w:hAnsi="Calibri" w:eastAsia="Calibri"/>
                <w:b w:val="0"/>
                <w:i w:val="0"/>
                <w:color w:val="203740"/>
                <w:sz w:val="17"/>
              </w:rPr>
              <w:t>DIRECCION DE INFRAESTRUCTURA ESCOLAR</w:t>
            </w:r>
          </w:p>
        </w:tc>
        <w:tc>
          <w:tcPr>
            <w:tcW w:type="dxa" w:w="1500"/>
            <w:vAlign w:val="top"/>
            <w:tcMar>
              <w:top w:w="80" w:type="dxa"/>
              <w:start w:w="120" w:type="dxa"/>
              <w:bottom w:w="80" w:type="dxa"/>
              <w:end w:w="120" w:type="dxa"/>
            </w:tcMar>
          </w:tcPr>
          <w:p>
            <w:pPr>
              <w:spacing w:after="0"/>
            </w:pPr>
            <w:r>
              <w:rPr>
                <w:rFonts w:ascii="Calibri" w:hAnsi="Calibri" w:eastAsia="Calibri"/>
                <w:b w:val="0"/>
                <w:i w:val="0"/>
                <w:color w:val="203740"/>
                <w:sz w:val="17"/>
              </w:rPr>
              <w:t>En ejecución</w:t>
              <w:br/>
              <w:t>2023–2027</w:t>
            </w:r>
          </w:p>
        </w:tc>
        <w:tc>
          <w:tcPr>
            <w:tcW w:type="dxa" w:w="1170"/>
            <w:vAlign w:val="top"/>
            <w:tcMar>
              <w:top w:w="80" w:type="dxa"/>
              <w:start w:w="120" w:type="dxa"/>
              <w:bottom w:w="80" w:type="dxa"/>
              <w:end w:w="120" w:type="dxa"/>
            </w:tcMar>
          </w:tcPr>
          <w:p>
            <w:pPr>
              <w:spacing w:after="0"/>
            </w:pPr>
            <w:r>
              <w:rPr>
                <w:rFonts w:ascii="Calibri" w:hAnsi="Calibri" w:eastAsia="Calibri"/>
                <w:b w:val="0"/>
                <w:i w:val="0"/>
                <w:color w:val="203740"/>
                <w:sz w:val="17"/>
              </w:rPr>
              <w:t>7,511,619</w:t>
            </w:r>
          </w:p>
        </w:tc>
        <w:tc>
          <w:tcPr>
            <w:tcW w:type="dxa" w:w="1170"/>
            <w:vAlign w:val="top"/>
            <w:tcMar>
              <w:top w:w="80" w:type="dxa"/>
              <w:start w:w="120" w:type="dxa"/>
              <w:bottom w:w="80" w:type="dxa"/>
              <w:end w:w="120" w:type="dxa"/>
            </w:tcMar>
          </w:tcPr>
          <w:p>
            <w:pPr>
              <w:spacing w:after="0"/>
            </w:pPr>
            <w:r>
              <w:rPr>
                <w:rFonts w:ascii="Calibri" w:hAnsi="Calibri" w:eastAsia="Calibri"/>
                <w:b w:val="0"/>
                <w:i w:val="0"/>
                <w:color w:val="203740"/>
                <w:sz w:val="17"/>
              </w:rPr>
              <w:t>2,870,233</w:t>
            </w:r>
          </w:p>
        </w:tc>
      </w:tr>
      <w:tr>
        <w:tc>
          <w:tcPr>
            <w:tcW w:type="dxa" w:w="354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RECONSTRUCCIÓN DE LA INFRAESTRUCTURA VIAL URBANA DEL MUNICIPIO DE CABRAL, PROVINCIA BARAHONA</w:t>
              <w:br/>
              <w:t>SNIP 15057 · Ficha 5756</w:t>
              <w:br/>
              <w:t>Ubicación: perfil oficial</w:t>
            </w:r>
          </w:p>
        </w:tc>
        <w:tc>
          <w:tcPr>
            <w:tcW w:type="dxa" w:w="198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MINISTERIO DE OBRAS PUBLICAS Y COMUNICACIONES</w:t>
            </w:r>
          </w:p>
        </w:tc>
        <w:tc>
          <w:tcPr>
            <w:tcW w:type="dxa" w:w="15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En ejecución</w:t>
              <w:br/>
              <w:t>2023–2027</w:t>
            </w:r>
          </w:p>
        </w:tc>
        <w:tc>
          <w:tcPr>
            <w:tcW w:type="dxa" w:w="117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7,500,000</w:t>
            </w:r>
          </w:p>
        </w:tc>
        <w:tc>
          <w:tcPr>
            <w:tcW w:type="dxa" w:w="117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6,000,000</w:t>
            </w:r>
          </w:p>
        </w:tc>
      </w:tr>
      <w:tr>
        <w:tc>
          <w:tcPr>
            <w:tcW w:type="dxa" w:w="3540"/>
            <w:vAlign w:val="top"/>
            <w:tcMar>
              <w:top w:w="80" w:type="dxa"/>
              <w:start w:w="120" w:type="dxa"/>
              <w:bottom w:w="80" w:type="dxa"/>
              <w:end w:w="120" w:type="dxa"/>
            </w:tcMar>
          </w:tcPr>
          <w:p>
            <w:pPr>
              <w:spacing w:after="0"/>
            </w:pPr>
            <w:r>
              <w:rPr>
                <w:rFonts w:ascii="Calibri" w:hAnsi="Calibri" w:eastAsia="Calibri"/>
                <w:b w:val="0"/>
                <w:i w:val="0"/>
                <w:color w:val="203740"/>
                <w:sz w:val="17"/>
              </w:rPr>
              <w:t>AMPLIACIÓN DEL PLANTEL EDUCATIVO PARA INICIAL MANOLO PERDOMO, MUNICIPIO DUVERGÉ, PROVINCIA INDEPENDENCIA.</w:t>
              <w:br/>
              <w:t>SNIP 16065 · Ficha 7558</w:t>
              <w:br/>
              <w:t>Ubicación: perfil oficial</w:t>
            </w:r>
          </w:p>
        </w:tc>
        <w:tc>
          <w:tcPr>
            <w:tcW w:type="dxa" w:w="1980"/>
            <w:vAlign w:val="top"/>
            <w:tcMar>
              <w:top w:w="80" w:type="dxa"/>
              <w:start w:w="120" w:type="dxa"/>
              <w:bottom w:w="80" w:type="dxa"/>
              <w:end w:w="120" w:type="dxa"/>
            </w:tcMar>
          </w:tcPr>
          <w:p>
            <w:pPr>
              <w:spacing w:after="0"/>
            </w:pPr>
            <w:r>
              <w:rPr>
                <w:rFonts w:ascii="Calibri" w:hAnsi="Calibri" w:eastAsia="Calibri"/>
                <w:b w:val="0"/>
                <w:i w:val="0"/>
                <w:color w:val="203740"/>
                <w:sz w:val="17"/>
              </w:rPr>
              <w:t>DIRECCION DE INFRAESTRUCTURA ESCOLAR</w:t>
            </w:r>
          </w:p>
        </w:tc>
        <w:tc>
          <w:tcPr>
            <w:tcW w:type="dxa" w:w="1500"/>
            <w:vAlign w:val="top"/>
            <w:tcMar>
              <w:top w:w="80" w:type="dxa"/>
              <w:start w:w="120" w:type="dxa"/>
              <w:bottom w:w="80" w:type="dxa"/>
              <w:end w:w="120" w:type="dxa"/>
            </w:tcMar>
          </w:tcPr>
          <w:p>
            <w:pPr>
              <w:spacing w:after="0"/>
            </w:pPr>
            <w:r>
              <w:rPr>
                <w:rFonts w:ascii="Calibri" w:hAnsi="Calibri" w:eastAsia="Calibri"/>
                <w:b w:val="0"/>
                <w:i w:val="0"/>
                <w:color w:val="203740"/>
                <w:sz w:val="17"/>
              </w:rPr>
              <w:t>En ejecución</w:t>
              <w:br/>
              <w:t>2023–2027</w:t>
            </w:r>
          </w:p>
        </w:tc>
        <w:tc>
          <w:tcPr>
            <w:tcW w:type="dxa" w:w="1170"/>
            <w:vAlign w:val="top"/>
            <w:tcMar>
              <w:top w:w="80" w:type="dxa"/>
              <w:start w:w="120" w:type="dxa"/>
              <w:bottom w:w="80" w:type="dxa"/>
              <w:end w:w="120" w:type="dxa"/>
            </w:tcMar>
          </w:tcPr>
          <w:p>
            <w:pPr>
              <w:spacing w:after="0"/>
            </w:pPr>
            <w:r>
              <w:rPr>
                <w:rFonts w:ascii="Calibri" w:hAnsi="Calibri" w:eastAsia="Calibri"/>
                <w:b w:val="0"/>
                <w:i w:val="0"/>
                <w:color w:val="203740"/>
                <w:sz w:val="17"/>
              </w:rPr>
              <w:t>4,497,732</w:t>
            </w:r>
          </w:p>
        </w:tc>
        <w:tc>
          <w:tcPr>
            <w:tcW w:type="dxa" w:w="1170"/>
            <w:vAlign w:val="top"/>
            <w:tcMar>
              <w:top w:w="80" w:type="dxa"/>
              <w:start w:w="120" w:type="dxa"/>
              <w:bottom w:w="80" w:type="dxa"/>
              <w:end w:w="120" w:type="dxa"/>
            </w:tcMar>
          </w:tcPr>
          <w:p>
            <w:pPr>
              <w:spacing w:after="0"/>
            </w:pPr>
            <w:r>
              <w:rPr>
                <w:rFonts w:ascii="Calibri" w:hAnsi="Calibri" w:eastAsia="Calibri"/>
                <w:b w:val="0"/>
                <w:i w:val="0"/>
                <w:color w:val="203740"/>
                <w:sz w:val="17"/>
              </w:rPr>
              <w:t>1,644,331</w:t>
            </w:r>
          </w:p>
        </w:tc>
      </w:tr>
      <w:tr>
        <w:tc>
          <w:tcPr>
            <w:tcW w:type="dxa" w:w="354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CONSTRUCCIÓN PUESTO MILITAR LA FLORIDA, MUNICIPIO DUVERGÉ, PROVINCIA INDEPENDENCIA</w:t>
              <w:br/>
              <w:t>SNIP 17158 · Ficha 8780</w:t>
              <w:br/>
              <w:t>Ubicación: perfil oficial</w:t>
            </w:r>
          </w:p>
        </w:tc>
        <w:tc>
          <w:tcPr>
            <w:tcW w:type="dxa" w:w="198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EJERCITO DE LA REPUBLICA DOMINICANA</w:t>
            </w:r>
          </w:p>
        </w:tc>
        <w:tc>
          <w:tcPr>
            <w:tcW w:type="dxa" w:w="15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En ejecución</w:t>
              <w:br/>
              <w:t>2026–2026</w:t>
            </w:r>
          </w:p>
        </w:tc>
        <w:tc>
          <w:tcPr>
            <w:tcW w:type="dxa" w:w="117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4,131,829</w:t>
            </w:r>
          </w:p>
        </w:tc>
        <w:tc>
          <w:tcPr>
            <w:tcW w:type="dxa" w:w="117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3,817,157</w:t>
            </w:r>
          </w:p>
        </w:tc>
      </w:tr>
      <w:tr>
        <w:tc>
          <w:tcPr>
            <w:tcW w:type="dxa" w:w="3540"/>
            <w:vAlign w:val="top"/>
            <w:tcMar>
              <w:top w:w="80" w:type="dxa"/>
              <w:start w:w="120" w:type="dxa"/>
              <w:bottom w:w="80" w:type="dxa"/>
              <w:end w:w="120" w:type="dxa"/>
            </w:tcMar>
          </w:tcPr>
          <w:p>
            <w:pPr>
              <w:spacing w:after="0"/>
            </w:pPr>
            <w:r>
              <w:rPr>
                <w:rFonts w:ascii="Calibri" w:hAnsi="Calibri" w:eastAsia="Calibri"/>
                <w:b w:val="0"/>
                <w:i w:val="0"/>
                <w:color w:val="203740"/>
                <w:sz w:val="17"/>
              </w:rPr>
              <w:t>REHABILITACIÓN DEPÓSITO METÁLICO AC MÚLTIPLE DUVERGÉ-LA COLONIA-VENGAN A VER, PROVINCIA INDEPENDENCIA</w:t>
              <w:br/>
              <w:t>SNIP 14509 · Ficha 4904</w:t>
              <w:br/>
              <w:t>Ubicación: perfil oficial</w:t>
            </w:r>
          </w:p>
        </w:tc>
        <w:tc>
          <w:tcPr>
            <w:tcW w:type="dxa" w:w="1980"/>
            <w:vAlign w:val="top"/>
            <w:tcMar>
              <w:top w:w="80" w:type="dxa"/>
              <w:start w:w="120" w:type="dxa"/>
              <w:bottom w:w="80" w:type="dxa"/>
              <w:end w:w="120" w:type="dxa"/>
            </w:tcMar>
          </w:tcPr>
          <w:p>
            <w:pPr>
              <w:spacing w:after="0"/>
            </w:pPr>
            <w:r>
              <w:rPr>
                <w:rFonts w:ascii="Calibri" w:hAnsi="Calibri" w:eastAsia="Calibri"/>
                <w:b w:val="0"/>
                <w:i w:val="0"/>
                <w:color w:val="203740"/>
                <w:sz w:val="17"/>
              </w:rPr>
              <w:t>INSTITUTO NACIONAL DE AGUA POTABLE Y ALCANTARILLADO (INAPA)</w:t>
            </w:r>
          </w:p>
        </w:tc>
        <w:tc>
          <w:tcPr>
            <w:tcW w:type="dxa" w:w="1500"/>
            <w:vAlign w:val="top"/>
            <w:tcMar>
              <w:top w:w="80" w:type="dxa"/>
              <w:start w:w="120" w:type="dxa"/>
              <w:bottom w:w="80" w:type="dxa"/>
              <w:end w:w="120" w:type="dxa"/>
            </w:tcMar>
          </w:tcPr>
          <w:p>
            <w:pPr>
              <w:spacing w:after="0"/>
            </w:pPr>
            <w:r>
              <w:rPr>
                <w:rFonts w:ascii="Calibri" w:hAnsi="Calibri" w:eastAsia="Calibri"/>
                <w:b w:val="0"/>
                <w:i w:val="0"/>
                <w:color w:val="203740"/>
                <w:sz w:val="17"/>
              </w:rPr>
              <w:t>En ejecución</w:t>
              <w:br/>
              <w:t>2021–2027</w:t>
            </w:r>
          </w:p>
        </w:tc>
        <w:tc>
          <w:tcPr>
            <w:tcW w:type="dxa" w:w="1170"/>
            <w:vAlign w:val="top"/>
            <w:tcMar>
              <w:top w:w="80" w:type="dxa"/>
              <w:start w:w="120" w:type="dxa"/>
              <w:bottom w:w="80" w:type="dxa"/>
              <w:end w:w="120" w:type="dxa"/>
            </w:tcMar>
          </w:tcPr>
          <w:p>
            <w:pPr>
              <w:spacing w:after="0"/>
            </w:pPr>
            <w:r>
              <w:rPr>
                <w:rFonts w:ascii="Calibri" w:hAnsi="Calibri" w:eastAsia="Calibri"/>
                <w:b w:val="0"/>
                <w:i w:val="0"/>
                <w:color w:val="203740"/>
                <w:sz w:val="17"/>
              </w:rPr>
              <w:t>3,277,358</w:t>
            </w:r>
          </w:p>
        </w:tc>
        <w:tc>
          <w:tcPr>
            <w:tcW w:type="dxa" w:w="1170"/>
            <w:vAlign w:val="top"/>
            <w:tcMar>
              <w:top w:w="80" w:type="dxa"/>
              <w:start w:w="120" w:type="dxa"/>
              <w:bottom w:w="80" w:type="dxa"/>
              <w:end w:w="120" w:type="dxa"/>
            </w:tcMar>
          </w:tcPr>
          <w:p>
            <w:pPr>
              <w:spacing w:after="0"/>
            </w:pPr>
            <w:r>
              <w:rPr>
                <w:rFonts w:ascii="Calibri" w:hAnsi="Calibri" w:eastAsia="Calibri"/>
                <w:b w:val="0"/>
                <w:i w:val="0"/>
                <w:color w:val="203740"/>
                <w:sz w:val="17"/>
              </w:rPr>
              <w:t>0</w:t>
            </w:r>
          </w:p>
        </w:tc>
      </w:tr>
      <w:tr>
        <w:tc>
          <w:tcPr>
            <w:tcW w:type="dxa" w:w="354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REMODELACIÓN DESTACAMENTO MILITAR PUERTO ESCONDIDO, ERD, D.M. DE PUERTO ESCONDIDO, PROVINCIA INDEPENDENCIA</w:t>
              <w:br/>
              <w:t>SNIP 17136 · Ficha 8772</w:t>
              <w:br/>
              <w:t>Ubicación: perfil oficial</w:t>
            </w:r>
          </w:p>
        </w:tc>
        <w:tc>
          <w:tcPr>
            <w:tcW w:type="dxa" w:w="198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EJERCITO DE LA REPUBLICA DOMINICANA</w:t>
            </w:r>
          </w:p>
        </w:tc>
        <w:tc>
          <w:tcPr>
            <w:tcW w:type="dxa" w:w="15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En ejecución</w:t>
              <w:br/>
              <w:t>2026–2026</w:t>
            </w:r>
          </w:p>
        </w:tc>
        <w:tc>
          <w:tcPr>
            <w:tcW w:type="dxa" w:w="117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1,527,820</w:t>
            </w:r>
          </w:p>
        </w:tc>
        <w:tc>
          <w:tcPr>
            <w:tcW w:type="dxa" w:w="117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1,197,915</w:t>
            </w:r>
          </w:p>
        </w:tc>
      </w:tr>
      <w:tr>
        <w:tc>
          <w:tcPr>
            <w:tcW w:type="dxa" w:w="3540"/>
            <w:vAlign w:val="top"/>
            <w:tcMar>
              <w:top w:w="80" w:type="dxa"/>
              <w:start w:w="120" w:type="dxa"/>
              <w:bottom w:w="80" w:type="dxa"/>
              <w:end w:w="120" w:type="dxa"/>
            </w:tcMar>
          </w:tcPr>
          <w:p>
            <w:pPr>
              <w:spacing w:after="0"/>
            </w:pPr>
            <w:r>
              <w:rPr>
                <w:rFonts w:ascii="Calibri" w:hAnsi="Calibri" w:eastAsia="Calibri"/>
                <w:b w:val="0"/>
                <w:i w:val="0"/>
                <w:color w:val="203740"/>
                <w:sz w:val="17"/>
              </w:rPr>
              <w:t>AMPLIACIÓN DEL PLANTEL EDUCATIVO PARA INICIAL LAS MERCEDES, MUNICIPIO DUVERGÉ, PROVINCIA INDEPENDENCIA.</w:t>
              <w:br/>
              <w:t>SNIP 16067 · Ficha 7560</w:t>
              <w:br/>
              <w:t>Ubicación: perfil oficial</w:t>
            </w:r>
          </w:p>
        </w:tc>
        <w:tc>
          <w:tcPr>
            <w:tcW w:type="dxa" w:w="1980"/>
            <w:vAlign w:val="top"/>
            <w:tcMar>
              <w:top w:w="80" w:type="dxa"/>
              <w:start w:w="120" w:type="dxa"/>
              <w:bottom w:w="80" w:type="dxa"/>
              <w:end w:w="120" w:type="dxa"/>
            </w:tcMar>
          </w:tcPr>
          <w:p>
            <w:pPr>
              <w:spacing w:after="0"/>
            </w:pPr>
            <w:r>
              <w:rPr>
                <w:rFonts w:ascii="Calibri" w:hAnsi="Calibri" w:eastAsia="Calibri"/>
                <w:b w:val="0"/>
                <w:i w:val="0"/>
                <w:color w:val="203740"/>
                <w:sz w:val="17"/>
              </w:rPr>
              <w:t>DIRECCION DE INFRAESTRUCTURA ESCOLAR</w:t>
            </w:r>
          </w:p>
        </w:tc>
        <w:tc>
          <w:tcPr>
            <w:tcW w:type="dxa" w:w="1500"/>
            <w:vAlign w:val="top"/>
            <w:tcMar>
              <w:top w:w="80" w:type="dxa"/>
              <w:start w:w="120" w:type="dxa"/>
              <w:bottom w:w="80" w:type="dxa"/>
              <w:end w:w="120" w:type="dxa"/>
            </w:tcMar>
          </w:tcPr>
          <w:p>
            <w:pPr>
              <w:spacing w:after="0"/>
            </w:pPr>
            <w:r>
              <w:rPr>
                <w:rFonts w:ascii="Calibri" w:hAnsi="Calibri" w:eastAsia="Calibri"/>
                <w:b w:val="0"/>
                <w:i w:val="0"/>
                <w:color w:val="203740"/>
                <w:sz w:val="17"/>
              </w:rPr>
              <w:t>En ejecución</w:t>
              <w:br/>
              <w:t>2023–2027</w:t>
            </w:r>
          </w:p>
        </w:tc>
        <w:tc>
          <w:tcPr>
            <w:tcW w:type="dxa" w:w="1170"/>
            <w:vAlign w:val="top"/>
            <w:tcMar>
              <w:top w:w="80" w:type="dxa"/>
              <w:start w:w="120" w:type="dxa"/>
              <w:bottom w:w="80" w:type="dxa"/>
              <w:end w:w="120" w:type="dxa"/>
            </w:tcMar>
          </w:tcPr>
          <w:p>
            <w:pPr>
              <w:spacing w:after="0"/>
            </w:pPr>
            <w:r>
              <w:rPr>
                <w:rFonts w:ascii="Calibri" w:hAnsi="Calibri" w:eastAsia="Calibri"/>
                <w:b w:val="0"/>
                <w:i w:val="0"/>
                <w:color w:val="203740"/>
                <w:sz w:val="17"/>
              </w:rPr>
              <w:t>108</w:t>
            </w:r>
          </w:p>
        </w:tc>
        <w:tc>
          <w:tcPr>
            <w:tcW w:type="dxa" w:w="1170"/>
            <w:vAlign w:val="top"/>
            <w:tcMar>
              <w:top w:w="80" w:type="dxa"/>
              <w:start w:w="120" w:type="dxa"/>
              <w:bottom w:w="80" w:type="dxa"/>
              <w:end w:w="120" w:type="dxa"/>
            </w:tcMar>
          </w:tcPr>
          <w:p>
            <w:pPr>
              <w:spacing w:after="0"/>
            </w:pPr>
            <w:r>
              <w:rPr>
                <w:rFonts w:ascii="Calibri" w:hAnsi="Calibri" w:eastAsia="Calibri"/>
                <w:b w:val="0"/>
                <w:i w:val="0"/>
                <w:color w:val="203740"/>
                <w:sz w:val="17"/>
              </w:rPr>
              <w:t>0</w:t>
            </w:r>
          </w:p>
        </w:tc>
      </w:tr>
    </w:tbl>
    <w:p>
      <w:pPr>
        <w:spacing w:after="0"/>
      </w:pPr>
    </w:p>
    <w:p>
      <w:pPr>
        <w:pStyle w:val="Heading1"/>
      </w:pPr>
      <w:r>
        <w:t>6. Plan de acción a acordar por el CDM</w:t>
      </w:r>
    </w:p>
    <w:p>
      <w:r>
        <w:t>La fila siguiente sirve únicamente para mostrar cómo convertir un acuerdo futuro del CDM en una acción con línea base, indicador y decisiones verificables.</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1920"/>
        <w:gridCol w:w="2320"/>
        <w:gridCol w:w="2520"/>
        <w:gridCol w:w="2600"/>
      </w:tblGrid>
      <w:tr>
        <w:trPr>
          <w:tblHeader w:val="true"/>
        </w:trPr>
        <w:tc>
          <w:tcPr>
            <w:tcW w:type="dxa" w:w="192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Carácter</w:t>
            </w:r>
          </w:p>
        </w:tc>
        <w:tc>
          <w:tcPr>
            <w:tcW w:type="dxa" w:w="232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Acción</w:t>
            </w:r>
          </w:p>
        </w:tc>
        <w:tc>
          <w:tcPr>
            <w:tcW w:type="dxa" w:w="252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Línea base e indicador</w:t>
            </w:r>
          </w:p>
        </w:tc>
        <w:tc>
          <w:tcPr>
            <w:tcW w:type="dxa" w:w="26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Decisiones que debe tomar el CDM</w:t>
            </w:r>
          </w:p>
        </w:tc>
      </w:tr>
      <w:tr>
        <w:tc>
          <w:tcPr>
            <w:tcW w:type="dxa" w:w="1920"/>
            <w:vAlign w:val="top"/>
            <w:tcMar>
              <w:top w:w="80" w:type="dxa"/>
              <w:start w:w="120" w:type="dxa"/>
              <w:bottom w:w="80" w:type="dxa"/>
              <w:end w:w="120" w:type="dxa"/>
            </w:tcMar>
          </w:tcPr>
          <w:p>
            <w:pPr>
              <w:spacing w:after="0"/>
            </w:pPr>
            <w:r>
              <w:rPr>
                <w:rFonts w:ascii="Calibri" w:hAnsi="Calibri" w:eastAsia="Calibri"/>
                <w:b w:val="0"/>
                <w:i w:val="0"/>
                <w:color w:val="203740"/>
                <w:sz w:val="17"/>
              </w:rPr>
              <w:t>EJEMPLO DE FORMATO · NO APROBADO</w:t>
            </w:r>
          </w:p>
        </w:tc>
        <w:tc>
          <w:tcPr>
            <w:tcW w:type="dxa" w:w="2320"/>
            <w:vAlign w:val="top"/>
            <w:tcMar>
              <w:top w:w="80" w:type="dxa"/>
              <w:start w:w="120" w:type="dxa"/>
              <w:bottom w:w="80" w:type="dxa"/>
              <w:end w:w="120" w:type="dxa"/>
            </w:tcMar>
          </w:tcPr>
          <w:p>
            <w:pPr>
              <w:spacing w:after="0"/>
            </w:pPr>
            <w:r>
              <w:rPr>
                <w:rFonts w:ascii="Calibri" w:hAnsi="Calibri" w:eastAsia="Calibri"/>
                <w:b w:val="0"/>
                <w:i w:val="0"/>
                <w:color w:val="203740"/>
                <w:sz w:val="17"/>
              </w:rPr>
              <w:t>Mejoramiento de la gestión integral de residuos.</w:t>
            </w:r>
          </w:p>
        </w:tc>
        <w:tc>
          <w:tcPr>
            <w:tcW w:type="dxa" w:w="2520"/>
            <w:vAlign w:val="top"/>
            <w:tcMar>
              <w:top w:w="80" w:type="dxa"/>
              <w:start w:w="120" w:type="dxa"/>
              <w:bottom w:w="80" w:type="dxa"/>
              <w:end w:w="120" w:type="dxa"/>
            </w:tcMar>
          </w:tcPr>
          <w:p>
            <w:pPr>
              <w:spacing w:after="0"/>
            </w:pPr>
            <w:r>
              <w:rPr>
                <w:rFonts w:ascii="Calibri" w:hAnsi="Calibri" w:eastAsia="Calibri"/>
                <w:b w:val="0"/>
                <w:i w:val="0"/>
                <w:color w:val="203740"/>
                <w:sz w:val="17"/>
              </w:rPr>
              <w:t>Línea base 2022: 91.2% de hogares con recogida municipal y 6.6% que quema residuos.</w:t>
            </w:r>
          </w:p>
        </w:tc>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Alcance territorial, resultado, meta, plazo, responsables, costo, financiamiento y coordinación institucional.</w:t>
            </w:r>
          </w:p>
        </w:tc>
      </w:tr>
    </w:tbl>
    <w:p>
      <w:pPr>
        <w:spacing w:after="0"/>
      </w:pPr>
    </w:p>
    <w:p>
      <w:pPr>
        <w:pStyle w:val="SourceNote"/>
      </w:pPr>
      <w:r>
        <w:rPr>
          <w:rFonts w:ascii="Calibri" w:hAnsi="Calibri" w:eastAsia="Calibri"/>
          <w:b w:val="0"/>
          <w:i w:val="0"/>
          <w:color w:val="5E7076"/>
          <w:sz w:val="17"/>
        </w:rPr>
        <w:t>Fuente: ONE, Censo 2022 cuando existe ficha municipal; MEPyD, Guía para la formulación de planes de desarrollo municipales, pp. 33–49.</w:t>
      </w:r>
    </w:p>
    <w:p>
      <w:r>
        <w:br w:type="page"/>
      </w:r>
    </w:p>
    <w:p>
      <w:pPr>
        <w:pStyle w:val="Heading1"/>
      </w:pPr>
      <w:r>
        <w:t>Fuentes y trazabilidad</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1300"/>
        <w:gridCol w:w="3300"/>
        <w:gridCol w:w="1300"/>
        <w:gridCol w:w="2200"/>
        <w:gridCol w:w="1260"/>
      </w:tblGrid>
      <w:tr>
        <w:trPr>
          <w:tblHeader w:val="true"/>
        </w:trPr>
        <w:tc>
          <w:tcPr>
            <w:tcW w:type="dxa" w:w="13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ID</w:t>
            </w:r>
          </w:p>
        </w:tc>
        <w:tc>
          <w:tcPr>
            <w:tcW w:type="dxa" w:w="33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Documento</w:t>
            </w:r>
          </w:p>
        </w:tc>
        <w:tc>
          <w:tcPr>
            <w:tcW w:type="dxa" w:w="13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Año</w:t>
            </w:r>
          </w:p>
        </w:tc>
        <w:tc>
          <w:tcPr>
            <w:tcW w:type="dxa" w:w="22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Página / cobertura</w:t>
            </w:r>
          </w:p>
        </w:tc>
        <w:tc>
          <w:tcPr>
            <w:tcW w:type="dxa" w:w="12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Confianza</w:t>
            </w:r>
          </w:p>
        </w:tc>
      </w:tr>
      <w:tr>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GEO-01</w:t>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t>Clasificador geográfico y GeoJSON municipal</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2026</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Sin paginación</w:t>
            </w:r>
          </w:p>
        </w:tc>
        <w:tc>
          <w:tcPr>
            <w:tcW w:type="dxa" w:w="1260"/>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MAPA-IP</w:t>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MapaInversiones: datos abiertos y perfiles de proyectos</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2026</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11 proyectos con alcance municipal específico; corte 2026-08-02</w:t>
            </w:r>
          </w:p>
        </w:tc>
        <w:tc>
          <w:tcPr>
            <w:tcW w:type="dxa" w:w="1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Alta si perfil oficial; media si nombre del proyecto</w:t>
            </w:r>
          </w:p>
        </w:tc>
      </w:tr>
      <w:tr>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DASH-TERR</w:t>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t>DDPT Dashboard Territorial: indicadores administrativos y comparación territorial</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2026-08-01</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 y provincial; ámbito rotulado en cada indicador</w:t>
            </w:r>
          </w:p>
        </w:tc>
        <w:tc>
          <w:tcPr>
            <w:tcW w:type="dxa" w:w="1260"/>
            <w:vAlign w:val="top"/>
            <w:tcMar>
              <w:top w:w="80" w:type="dxa"/>
              <w:start w:w="120" w:type="dxa"/>
              <w:bottom w:w="80" w:type="dxa"/>
              <w:end w:w="120" w:type="dxa"/>
            </w:tcMar>
          </w:tcPr>
          <w:p>
            <w:pPr>
              <w:spacing w:after="0"/>
            </w:pPr>
            <w:r>
              <w:rPr>
                <w:rFonts w:ascii="Calibri" w:hAnsi="Calibri" w:eastAsia="Calibri"/>
                <w:b w:val="0"/>
                <w:i w:val="0"/>
                <w:color w:val="203740"/>
                <w:sz w:val="17"/>
              </w:rPr>
              <w:t>Alta / según fuente oficial enlazada</w:t>
            </w:r>
          </w:p>
        </w:tc>
      </w:tr>
      <w:tr>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DASH-BASE</w:t>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IX y X Censos Nacionales de Población y Vivienda</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2010 / 2022</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DASH-PYR</w:t>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t>IX y X Censos: edad y sexo</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2010 / 2022</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DASH-HOG</w:t>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X Censo: hogares y viviendas</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2022</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DASH-URB</w:t>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t>X Censo: población urbana y rural</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2022</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DASH-VIDA</w:t>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X Censo: condición de vida y servicios</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2022</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DASH-EDU</w:t>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t>Anuario Estadístico Educativo</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2024</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Distrito asociado</w:t>
            </w:r>
          </w:p>
        </w:tc>
        <w:tc>
          <w:tcPr>
            <w:tcW w:type="dxa" w:w="1260"/>
            <w:vAlign w:val="top"/>
            <w:tcMar>
              <w:top w:w="80" w:type="dxa"/>
              <w:start w:w="120" w:type="dxa"/>
              <w:bottom w:w="80" w:type="dxa"/>
              <w:end w:w="120" w:type="dxa"/>
            </w:tcMar>
          </w:tcPr>
          <w:p>
            <w:pPr>
              <w:spacing w:after="0"/>
            </w:pPr>
            <w:r>
              <w:rPr>
                <w:rFonts w:ascii="Calibri" w:hAnsi="Calibri" w:eastAsia="Calibri"/>
                <w:b w:val="0"/>
                <w:i w:val="0"/>
                <w:color w:val="203740"/>
                <w:sz w:val="17"/>
              </w:rPr>
              <w:t>Media</w:t>
            </w:r>
          </w:p>
        </w:tc>
      </w:tr>
      <w:tr>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DASH-EDU-NIVEL</w:t>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X Censo: nivel de instrucción</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2022</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DASH-ECO</w:t>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t>Directorio de Empresas y Establecimientos</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2024</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vAlign w:val="top"/>
            <w:tcMar>
              <w:top w:w="80" w:type="dxa"/>
              <w:start w:w="120" w:type="dxa"/>
              <w:bottom w:w="80" w:type="dxa"/>
              <w:end w:w="120" w:type="dxa"/>
            </w:tcMar>
          </w:tcPr>
          <w:p>
            <w:pPr>
              <w:spacing w:after="0"/>
            </w:pPr>
            <w:r>
              <w:rPr>
                <w:rFonts w:ascii="Calibri" w:hAnsi="Calibri" w:eastAsia="Calibri"/>
                <w:b w:val="0"/>
                <w:i w:val="0"/>
                <w:color w:val="203740"/>
                <w:sz w:val="17"/>
              </w:rPr>
              <w:t>Media</w:t>
            </w:r>
          </w:p>
        </w:tc>
      </w:tr>
      <w:tr>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DASH-SALUD</w:t>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Registro de establecimientos SNS mostrado por Dashboard</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s/f</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Media</w:t>
            </w:r>
          </w:p>
        </w:tc>
      </w:tr>
      <w:tr>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DASH-TIC</w:t>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t>X Censo: tecnologías de información</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2022</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WIKI-01</w:t>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Wikipedia en español: Duvergé</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2026-08-02</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Sin paginación</w:t>
            </w:r>
          </w:p>
        </w:tc>
        <w:tc>
          <w:tcPr>
            <w:tcW w:type="dxa" w:w="1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Baja / secundaria</w:t>
            </w:r>
          </w:p>
        </w:tc>
      </w:tr>
      <w:tr>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PMD-ANT-01</w:t>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t>PMD de Duvergé 2022-2025</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2022-2025</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136 páginas; citas específicas en texto</w:t>
            </w:r>
          </w:p>
        </w:tc>
        <w:tc>
          <w:tcPr>
            <w:tcW w:type="dxa" w:w="1260"/>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PMD-ANT-02</w:t>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PMD de Duvergé 2012-2016</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2012-2016</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110 páginas; citas específicas en texto</w:t>
            </w:r>
          </w:p>
        </w:tc>
        <w:tc>
          <w:tcPr>
            <w:tcW w:type="dxa" w:w="1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bl>
    <w:p>
      <w:pPr>
        <w:spacing w:after="0"/>
      </w:pPr>
    </w:p>
    <w:p>
      <w:pPr>
        <w:pStyle w:val="SourceNote"/>
      </w:pPr>
      <w:r>
        <w:rPr>
          <w:rFonts w:ascii="Calibri" w:hAnsi="Calibri" w:eastAsia="Calibri"/>
          <w:b w:val="0"/>
          <w:i w:val="0"/>
          <w:color w:val="5E7076"/>
          <w:sz w:val="17"/>
        </w:rPr>
        <w:t>Fuente: Los datasets del Dashboard no tienen paginación. Cuando se usa texto de un documento anterior, el rango de páginas y su alcance territorial se consignan en el párrafo correspondiente.</w:t>
      </w:r>
    </w:p>
    <w:sectPr w:rsidR="00FC693F" w:rsidRPr="0006063C" w:rsidSect="00034616">
      <w:headerReference w:type="default" r:id="rId9"/>
      <w:footerReference w:type="default" r:id="rId10"/>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eastAsia="Calibri"/>
        <w:b w:val="0"/>
        <w:i w:val="0"/>
        <w:color w:val="5E7076"/>
        <w:sz w:val="15"/>
      </w:rPr>
      <w:t xml:space="preserve">Duvergé, Independencia · PMD 2025-2028 · </w:t>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tbl>
    <w:tblPr>
      <w:tblW w:type="dxa" w:w="9360"/>
      <w:jc w:val="center"/>
      <w:tblLayout w:type="fixed"/>
      <w:tblLook w:firstColumn="1" w:firstRow="1" w:lastColumn="0" w:lastRow="0" w:noHBand="0" w:noVBand="1" w:val="04A0"/>
      <w:tblInd w:w="120" w:type="dxa"/>
    </w:tblPr>
    <w:tblGrid>
      <w:gridCol w:w="6000"/>
      <w:gridCol w:w="3360"/>
    </w:tblGrid>
    <w:tr>
      <w:tc>
        <w:tcPr>
          <w:tcW w:type="dxa" w:w="6000"/>
          <w:tcMar>
            <w:top w:w="0" w:type="dxa"/>
            <w:start w:w="0" w:type="dxa"/>
            <w:bottom w:w="0" w:type="dxa"/>
            <w:end w:w="0" w:type="dxa"/>
          </w:tcMar>
        </w:tcPr>
        <w:p>
          <w:r>
            <w:rPr>
              <w:rFonts w:ascii="Calibri" w:hAnsi="Calibri" w:eastAsia="Calibri"/>
              <w:b/>
              <w:i w:val="0"/>
              <w:color w:val="14866D"/>
              <w:sz w:val="15"/>
            </w:rPr>
            <w:t>PLAN MUNICIPAL DE DESARROLLO</w:t>
          </w:r>
        </w:p>
      </w:tc>
      <w:tc>
        <w:tcPr>
          <w:tcW w:type="dxa" w:w="3360"/>
          <w:tcMar>
            <w:top w:w="0" w:type="dxa"/>
            <w:start w:w="0" w:type="dxa"/>
            <w:bottom w:w="0" w:type="dxa"/>
            <w:end w:w="0" w:type="dxa"/>
          </w:tcMar>
        </w:tcPr>
        <w:p>
          <w:pPr>
            <w:jc w:val="right"/>
          </w:pPr>
          <w:r>
            <w:rPr>
              <w:rFonts w:ascii="Calibri" w:hAnsi="Calibri" w:eastAsia="Calibri"/>
              <w:b w:val="0"/>
              <w:i w:val="0"/>
              <w:color w:val="5E7076"/>
              <w:sz w:val="15"/>
            </w:rPr>
            <w:t>Duvergé · 06100002</w:t>
          </w:r>
        </w:p>
      </w:tc>
    </w:tr>
  </w:tbl>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160" w:line="320" w:lineRule="auto"/>
      <w:jc w:val="both"/>
    </w:pPr>
    <w:rPr>
      <w:rFonts w:ascii="Calibri" w:hAnsi="Calibri" w:eastAsia="Calibri"/>
      <w:color w:val="20374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200"/>
      <w:outlineLvl w:val="0"/>
    </w:pPr>
    <w:rPr>
      <w:rFonts w:asciiTheme="majorHAnsi" w:eastAsiaTheme="majorEastAsia" w:hAnsiTheme="majorHAnsi" w:cstheme="majorBidi" w:ascii="Calibri" w:hAnsi="Calibri" w:eastAsia="Calibri"/>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Calibri" w:hAnsi="Calibri" w:eastAsia="Calibri"/>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160" w:after="80"/>
      <w:outlineLvl w:val="2"/>
    </w:pPr>
    <w:rPr>
      <w:rFonts w:asciiTheme="majorHAnsi" w:eastAsiaTheme="majorEastAsia" w:hAnsiTheme="majorHAnsi" w:cstheme="majorBidi" w:ascii="Calibri" w:hAnsi="Calibri" w:eastAsia="Calibri"/>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80" w:line="290" w:lineRule="auto"/>
      <w:ind w:left="540" w:hanging="279"/>
      <w:contextualSpacing/>
    </w:pPr>
    <w:rPr>
      <w:rFonts w:ascii="Calibri" w:hAnsi="Calibri" w:eastAsia="Calibri"/>
      <w:sz w:val="22"/>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80" w:line="290" w:lineRule="auto"/>
      <w:ind w:left="540" w:hanging="279"/>
      <w:contextualSpacing/>
    </w:pPr>
    <w:rPr>
      <w:rFonts w:ascii="Calibri" w:hAnsi="Calibri" w:eastAsia="Calibri"/>
      <w:sz w:val="22"/>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SourceNote">
    <w:name w:val="Source Note"/>
    <w:pPr>
      <w:spacing w:before="80" w:after="80" w:line="240" w:lineRule="auto"/>
    </w:pPr>
    <w:rPr>
      <w:rFonts w:ascii="Calibri" w:hAnsi="Calibri" w:eastAsia="Calibri"/>
      <w:color w:val="5E7076"/>
      <w:sz w:val="17"/>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jpg"/><Relationship Id="rId12" Type="http://schemas.openxmlformats.org/officeDocument/2006/relationships/image" Target="media/image2.jpg"/><Relationship Id="rId13" Type="http://schemas.openxmlformats.org/officeDocument/2006/relationships/image" Target="media/image3.jpg"/><Relationship Id="rId14" Type="http://schemas.openxmlformats.org/officeDocument/2006/relationships/image" Target="media/image4.jpg"/><Relationship Id="rId15" Type="http://schemas.openxmlformats.org/officeDocument/2006/relationships/image" Target="media/image5.jpg"/><Relationship Id="rId16" Type="http://schemas.openxmlformats.org/officeDocument/2006/relationships/image" Target="media/image6.jpg"/><Relationship Id="rId17" Type="http://schemas.openxmlformats.org/officeDocument/2006/relationships/image" Target="media/image7.jpg"/><Relationship Id="rId18" Type="http://schemas.openxmlformats.org/officeDocument/2006/relationships/image" Target="media/image8.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Plan Municipal de Desarrollo de Duvergé 2025-2028</dc:title>
  <dc:subject>Información general, diagnóstico territorial e inversión pública municipal con trazabilidad</dc:subject>
  <dc:creator>DDPT</dc:creator>
  <cp:keywords>PMD, municipio, diagnóstico, OMPP, CDM, trazabilidad</cp:keywords>
  <dc:description>generated by python-docx</dc:description>
  <cp:lastModifiedBy/>
  <cp:revision>1</cp:revision>
  <dcterms:created xsi:type="dcterms:W3CDTF">2013-12-23T23:15:00Z</dcterms:created>
  <dcterms:modified xsi:type="dcterms:W3CDTF">2013-12-23T23:15:00Z</dcterms:modified>
  <cp:category/>
</cp:coreProperties>
</file>