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San José de los Llanos</w:t>
      </w:r>
    </w:p>
    <w:p>
      <w:pPr>
        <w:spacing w:after="600"/>
        <w:jc w:val="center"/>
      </w:pPr>
      <w:r>
        <w:rPr>
          <w:rFonts w:ascii="Calibri" w:hAnsi="Calibri" w:eastAsia="Calibri"/>
          <w:b w:val="0"/>
          <w:i w:val="0"/>
          <w:color w:val="5E7076"/>
          <w:sz w:val="24"/>
        </w:rPr>
        <w:t>San Pedro de Macorís · Región Higuamo</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09230002</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proyectos en ejecución o reprogramados identificados específicamente para el municipio en MapaInversiones.</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San José de los Llanos, municipio de la provincia San Pedro de Macorís, registró 26,098 habitantes en 2022. Entre 2010 y 2022 su población aumentó 15.6%. El 46.4% reside en área urbana y el 53.6% en área rural. Estas proporciones determinan la escala y la distribución territorial de los servicios municipales.</w:t>
      </w:r>
    </w:p>
    <w:p>
      <w:r>
        <w:t>El diagnóstico registra 35.0% de hogares con agua del acueducto dentro de la vivienda, 51.6% con recogida municipal de residuos y 41.1% que los quema. El uso de internet alcanza 64.3%.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San José de los Llanos forma parte de la provincia San Pedro de Macorís y de la región de planificación Higuamo. El código geográfico empleado es 09230002.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San José de los Llanos</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San Pedro de Macorís</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Higuamo</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09230002</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440.9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59.2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No se incorporó una reseña histórica detallada porque las fuentes disponibles no permitieron identificar un texto verificable. La OMPP debe completar este apartado con la norma de creación, el archivo municipal o una publicación histórica institucional.</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San José de los Llanos registró 26,098 habitantes: 13,260 hombres (50.8%) y 12,838 mujeres (49.2%). Frente a los 22,573 habitantes censados en 2010, la población creció 15.6%. El cambio intercensal constituye la línea base para dimensionar servicios, infraestructura y demanda de suelo; no permite atribuir por sí solo causas de migración, fecundidad o movilidad residencial. [DASH-BASE]</w:t>
      </w:r>
    </w:p>
    <w:p>
      <w:r>
        <w:t>La distribución territorial muestra 12,114 habitantes en zona urbana (46.4%) y 13,984 en zona rural (53.6%). Esta relación debe considerarse al organizar rutas de servicios, mantenimiento vial, equipamientos y mecanismos de atención a comunidades dispersas. [DASH-URB]</w:t>
      </w:r>
    </w:p>
    <w:p>
      <w:r>
        <w:t>El municipio cuenta con 9,124 hogares y 26,086 personas residentes en hogares. El promedio es de 2.86 personas por hogar. El Censo registra 11,045 viviendas, de las cuales 9,023 estaban ocupadas y 2,016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8 páginas siguientes reproducen la exportación vigente del Dashboard Territorial. Presentan la línea base estadística antes de su interpretación narrativa e incorporan los indicadores demográficos, sociales, económicos, institucionales, ambientales y de inversión disponibles. Los datos conservan el año, la fuente y el ámbito territorial; cuando la fuente solo publica un total provincial, la página lo identifica como «Provincia completa» y no lo atribuye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Bloque</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Demografía</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Condiciones de vida</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energía, residuos, educación, salud y conectividad</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y brechas observadas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Resultados y riesgos</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Seguridad, movilidad, incendios, inclusión, primera infancia y deporte</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Dato municipal o contexto provincial, según la fuente</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Gestión e inversión</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territorial, SISMAP, obras viales y licencias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Magnitud, ejecución y capacidad institucional</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Comparación</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Municipio, provincia, región y país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Posición relativa sin convertirla automáticamente en prioridad</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691718"/>
            <wp:docPr id="1" name="Picture 1"/>
            <wp:cNvGraphicFramePr>
              <a:graphicFrameLocks noChangeAspect="1"/>
            </wp:cNvGraphicFramePr>
            <a:graphic>
              <a:graphicData uri="http://schemas.openxmlformats.org/drawingml/2006/picture">
                <pic:pic>
                  <pic:nvPicPr>
                    <pic:cNvPr id="0" name="dashboard-pdf-page-1.jpg"/>
                    <pic:cNvPicPr/>
                  </pic:nvPicPr>
                  <pic:blipFill>
                    <a:blip r:embed="rId11"/>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2" name="Picture 2"/>
            <wp:cNvGraphicFramePr>
              <a:graphicFrameLocks noChangeAspect="1"/>
            </wp:cNvGraphicFramePr>
            <a:graphic>
              <a:graphicData uri="http://schemas.openxmlformats.org/drawingml/2006/picture">
                <pic:pic>
                  <pic:nvPicPr>
                    <pic:cNvPr id="0" name="dashboard-pdf-page-2.jpg"/>
                    <pic:cNvPicPr/>
                  </pic:nvPicPr>
                  <pic:blipFill>
                    <a:blip r:embed="rId12"/>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3" name="Picture 3"/>
            <wp:cNvGraphicFramePr>
              <a:graphicFrameLocks noChangeAspect="1"/>
            </wp:cNvGraphicFramePr>
            <a:graphic>
              <a:graphicData uri="http://schemas.openxmlformats.org/drawingml/2006/picture">
                <pic:pic>
                  <pic:nvPicPr>
                    <pic:cNvPr id="0" name="dashboard-pdf-page-3.jpg"/>
                    <pic:cNvPicPr/>
                  </pic:nvPicPr>
                  <pic:blipFill>
                    <a:blip r:embed="rId13"/>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4" name="Picture 4"/>
            <wp:cNvGraphicFramePr>
              <a:graphicFrameLocks noChangeAspect="1"/>
            </wp:cNvGraphicFramePr>
            <a:graphic>
              <a:graphicData uri="http://schemas.openxmlformats.org/drawingml/2006/picture">
                <pic:pic>
                  <pic:nvPicPr>
                    <pic:cNvPr id="0" name="dashboard-pdf-page-4.jpg"/>
                    <pic:cNvPicPr/>
                  </pic:nvPicPr>
                  <pic:blipFill>
                    <a:blip r:embed="rId14"/>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5" name="Picture 5"/>
            <wp:cNvGraphicFramePr>
              <a:graphicFrameLocks noChangeAspect="1"/>
            </wp:cNvGraphicFramePr>
            <a:graphic>
              <a:graphicData uri="http://schemas.openxmlformats.org/drawingml/2006/picture">
                <pic:pic>
                  <pic:nvPicPr>
                    <pic:cNvPr id="0" name="dashboard-pdf-page-5.jpg"/>
                    <pic:cNvPicPr/>
                  </pic:nvPicPr>
                  <pic:blipFill>
                    <a:blip r:embed="rId15"/>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6" name="Picture 6"/>
            <wp:cNvGraphicFramePr>
              <a:graphicFrameLocks noChangeAspect="1"/>
            </wp:cNvGraphicFramePr>
            <a:graphic>
              <a:graphicData uri="http://schemas.openxmlformats.org/drawingml/2006/picture">
                <pic:pic>
                  <pic:nvPicPr>
                    <pic:cNvPr id="0" name="dashboard-pdf-page-6.jpg"/>
                    <pic:cNvPicPr/>
                  </pic:nvPicPr>
                  <pic:blipFill>
                    <a:blip r:embed="rId16"/>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7" name="Picture 7"/>
            <wp:cNvGraphicFramePr>
              <a:graphicFrameLocks noChangeAspect="1"/>
            </wp:cNvGraphicFramePr>
            <a:graphic>
              <a:graphicData uri="http://schemas.openxmlformats.org/drawingml/2006/picture">
                <pic:pic>
                  <pic:nvPicPr>
                    <pic:cNvPr id="0" name="dashboard-pdf-page-7.jpg"/>
                    <pic:cNvPicPr/>
                  </pic:nvPicPr>
                  <pic:blipFill>
                    <a:blip r:embed="rId17"/>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8" name="Picture 8"/>
            <wp:cNvGraphicFramePr>
              <a:graphicFrameLocks noChangeAspect="1"/>
            </wp:cNvGraphicFramePr>
            <a:graphic>
              <a:graphicData uri="http://schemas.openxmlformats.org/drawingml/2006/picture">
                <pic:pic>
                  <pic:nvPicPr>
                    <pic:cNvPr id="0" name="dashboard-pdf-page-8.jpg"/>
                    <pic:cNvPicPr/>
                  </pic:nvPicPr>
                  <pic:blipFill>
                    <a:blip r:embed="rId18"/>
                    <a:stretch>
                      <a:fillRect/>
                    </a:stretch>
                  </pic:blipFill>
                  <pic:spPr>
                    <a:xfrm>
                      <a:off x="0" y="0"/>
                      <a:ext cx="5943600" cy="7691718"/>
                    </a:xfrm>
                    <a:prstGeom prst="rect"/>
                  </pic:spPr>
                </pic:pic>
              </a:graphicData>
            </a:graphic>
          </wp:inline>
        </w:drawing>
      </w:r>
    </w:p>
    <w:p>
      <w:pPr>
        <w:pStyle w:val="SourceNote"/>
      </w:pPr>
      <w:r>
        <w:rPr>
          <w:rFonts w:ascii="Calibri" w:hAnsi="Calibri" w:eastAsia="Calibri"/>
          <w:b w:val="0"/>
          <w:i w:val="0"/>
          <w:color w:val="5E7076"/>
          <w:sz w:val="17"/>
        </w:rPr>
        <w:t>Fuente: DDPT, Dashboard Territorial, ficha de San José de los Llanos. Exportación generada el 2026-08-02.</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San José de los Llanos se distribuye aproximadamente en 27.7% de población menor de 15 años, 62.6% entre 15 y 64 años y 9.8% de 65 años o más. La relación de dependencia demográfica estimada es de 59.9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46.4% y el tamaño medio de los hogares es 2.86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35.0% de los hogares declara recibir agua del acueducto dentro de la vivienda, frente a 62.7% a escala nacional. Para agua de beber, el uso de botellones representa 90.0%. La comparación sugiere una condición de acceso físico y un patrón de consumo, pero no informa continuidad, presión, potabilidad ni costo. Esos cuatro aspectos deben verificarse antes de formular intervenciones. [DASH-VIDA]</w:t>
      </w:r>
    </w:p>
    <w:p>
      <w:r>
        <w:t>En saneamiento, 52.1% de los hogares reporta inodoro y 18.6%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98.0% de los hogares. La recogida de residuos por el ayuntamiento alcanza 51.6%, mientras 41.1% declara quemarlos. El gas propano es el combustible principal de cocina en 78.9%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44 centros y 7,279 matrículas agregadas. De ellas, 3,296 corresponden a inicial/primario, 3,325 a secundario y 658 a educación de adultos. La cobertura corresponde a la asociación territorial usada por el Dashboard y debe verificarse cuando el distrito educativo abarque más de un municipio. [DASH-EDU]</w:t>
      </w:r>
    </w:p>
    <w:p>
      <w:r>
        <w:t>Entre la población de referencia de tres años o más, 14.2% aparece sin nivel de instrucción y 37.7%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94.5% en primaria y 89.9% en secundaria; el abandono reportado en secundaria es 2.6%.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32 establecimientos y un empleo estimado de 209.8, equivalente a 6.5 empleos por establecimiento. Los establecimientos de 1 a 10 personas representan 78.1% del total. Esto caracteriza la estructura formal observada por el DEE; no incluye necesariamente toda la economía informal, el autoempleo ni la producción agropecuaria familiar. [DASH-ECO]</w:t>
      </w:r>
    </w:p>
    <w:p>
      <w:r>
        <w:t>Las actividades con mayor empleo estimado en la fuente son Otras actividades de servicios (47.3 empleos estimados); Actividades de servicios administrativos y de apoyo (39.3 empleos estimados); Administración pública y defensa; planes de seguridad social de afiliación obligatoria (29.1 empleos estimados). La mayor especialización relativa se observa en Otras actividades de servicios (cociente de localización 6.26). El cociente de localización compara concentración relativa, no productividad ni competitividad. [DASH-ECO]</w:t>
      </w:r>
    </w:p>
    <w:p>
      <w:pPr>
        <w:pStyle w:val="Heading2"/>
      </w:pPr>
      <w:r>
        <w:t>2.5 Salud, conectividad y acceso a información</w:t>
      </w:r>
    </w:p>
    <w:p>
      <w:r>
        <w:t>El Dashboard registra 8 establecimientos de salud en el municipio. La composición principal es: Centro De Primer Nivel: 7, Hospital Mediana Complejidad: 1. Este conteo informa presencia física, no cartera de servicios, personal, horario, capacidad, calidad ni accesibilidad efectiva. La planificación municipal debe validar esos elementos con el Servicio Nacional de Salud. [DASH-SALUD]</w:t>
      </w:r>
    </w:p>
    <w:p>
      <w:r>
        <w:t>El uso de internet alcanza 64.3% y el de computadora 10.4%.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2"/>
      </w:pPr>
      <w:r>
        <w:t>2.7 Indicadores territoriales adicionales</w:t>
      </w:r>
    </w:p>
    <w:p>
      <w:r>
        <w:t>El Dashboard Territorial amplía la línea base con registros administrativos recientes. La columna de ámbito es parte del dato: los valores provinciales sirven como contexto y no describen por sí solos la situación exclusiva del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2200"/>
        <w:gridCol w:w="2020"/>
        <w:gridCol w:w="1300"/>
        <w:gridCol w:w="164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Indicador</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 publicado</w:t>
            </w:r>
          </w:p>
        </w:tc>
        <w:tc>
          <w:tcPr>
            <w:tcW w:type="dxa" w:w="20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Ámbito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6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Instalaciones deportivas registradas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22 instalaciones; 8.4 por 10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San José de los Llanos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instalaciones deportivas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territorial</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RD$ 98,819,539; ejecutado RD$ 98,321,473; ejecución 99.5%</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San José de los Llanos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estadísticas de proyectos de inversión</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Puntuación SISMAP Municipal</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27.5 / 100</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San José de los Llanos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2026-07-31</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SISMAP Municipal</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Trabajos viales registrados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17 registros; 12.1 km</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San José de los Llanos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Octubre de 2025–marzo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infraestructura vial</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Robos reportados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304 casos; 90.2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Pedro de Macorís;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robos reportados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Homicidios intencionales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33 casos; 9.8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Pedro de Macorís;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ONE · muertes accidentales y violentas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Fallecimientos de tránsito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43 personas; 12.8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Pedro de Macorís;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fallecimientos de tránsito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Hacinamiento extremo o moderado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23.4%</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Pedro de Macorís;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hacinamiento</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Personas con discapacidad en ICV-1 o ICV-2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45.9%</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Pedro de Macorís;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discapacidad por provincia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Registros de nacimiento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5,692 registros; 16.9 por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Pedro de Macorís;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provincia de registro</w:t>
            </w:r>
          </w:p>
        </w:tc>
      </w:tr>
    </w:tbl>
    <w:p>
      <w:pPr>
        <w:spacing w:after="0"/>
      </w:pPr>
    </w:p>
    <w:p>
      <w:pPr>
        <w:pStyle w:val="SourceNote"/>
      </w:pPr>
      <w:r>
        <w:rPr>
          <w:rFonts w:ascii="Calibri" w:hAnsi="Calibri" w:eastAsia="Calibri"/>
          <w:b w:val="0"/>
          <w:i w:val="0"/>
          <w:color w:val="5E7076"/>
          <w:sz w:val="17"/>
        </w:rPr>
        <w:t>Fuente: DDPT, Dashboard Territorial, dataset generado el 2026-08-01T15:52:35.655Z. La ausencia de registros no se interpreta automáticamente como cero.</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Las fuentes comparables disponibles no permiten clasificar una fortaleza cuantitativa con una diferencia mínima de 2 puntos porcentuales frente al promedio nacional.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35.0%; promedio nacional: 62.7% (-27.7 puntos porcentuales).</w:t>
              <w:br/>
              <w:t>• Recogida de residuos por el ayuntamiento: 51.6%; promedio nacional: 85.9% (-34.4 puntos porcentuales).</w:t>
              <w:br/>
              <w:t>• Hogares con inodoro: 52.1%; promedio nacional: 87.0% (-35.0 puntos porcentuales).</w:t>
              <w:br/>
              <w:t>• Uso de internet: 64.3%; promedio nacional: 79.0% (-14.7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15.6%; urbanización de 46.4%.</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35.0%; hogares sin sanitario: 18.6%.</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51.6%; quema: 41.1%.</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2.6%.</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78.1%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64.3%; computadora: 10.4%.</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San José de los Llanos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r>
        <w:br w:type="page"/>
      </w:r>
    </w:p>
    <w:p>
      <w:pPr>
        <w:pStyle w:val="Heading1"/>
      </w:pPr>
      <w:r>
        <w:t>5. Inversión pública</w:t>
      </w:r>
    </w:p>
    <w:p>
      <w:r>
        <w:t>Con corte al 2026-08-02, MapaInversiones registra 8 proyectos en ejecución o reprogramados con identificación territorial específica para San José de los Llanos. La programación presupuestaria 2026 asociada suma RD$ 1,196,662,340 y la ejecución registrada suma RD$ 752,395,084. Estos proyectos pertenecen a instituciones públicas y no constituyen por sí mismos acuerdos, compromisos ni proyectos aprobados por el CDM o el ayuntamiento.</w:t>
      </w:r>
    </w:p>
    <w:p>
      <w:pPr>
        <w:pStyle w:val="SourceNote"/>
      </w:pPr>
      <w:r>
        <w:rPr>
          <w:rFonts w:ascii="Calibri" w:hAnsi="Calibri" w:eastAsia="Calibri"/>
          <w:b w:val="0"/>
          <w:i w:val="0"/>
          <w:color w:val="5E7076"/>
          <w:sz w:val="17"/>
        </w:rPr>
        <w:t>Fuente: MapaInversiones, datos abiertos 2026 y perfiles oficiales de proyectos, https://mapainversiones.gob.do/. Se incluyen únicamente proyectos con alcance municipal específico y estado EJECUCIÓN o REPROGRAMAR; los proyectos nacionales o provinciales sin municipio confirmado no se asignan artificialmente. Los importes se presentan en pesos dominicanos nominales, exactamente en la unidad publicada por la fuente y sin aplicar multiplicadores; los valores inusualmente bajos deben confirmarse en el perfil oficial.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540"/>
        <w:gridCol w:w="1980"/>
        <w:gridCol w:w="1500"/>
        <w:gridCol w:w="1170"/>
        <w:gridCol w:w="1170"/>
      </w:tblGrid>
      <w:tr>
        <w:trPr>
          <w:tblHeader w:val="true"/>
        </w:trPr>
        <w:tc>
          <w:tcPr>
            <w:tcW w:type="dxa" w:w="35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Proyecto</w:t>
            </w:r>
          </w:p>
        </w:tc>
        <w:tc>
          <w:tcPr>
            <w:tcW w:type="dxa" w:w="19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Institución</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 / período</w:t>
            </w:r>
          </w:p>
        </w:tc>
        <w:tc>
          <w:tcPr>
            <w:tcW w:type="dxa" w:w="117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Asignación 2026 (RD$)</w:t>
            </w:r>
          </w:p>
        </w:tc>
        <w:tc>
          <w:tcPr>
            <w:tcW w:type="dxa" w:w="117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Ejecutado 2026 (RD$)</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SISTEMA NACIONAL DE ATENCION A EMERGENCIAS Y SEGURIDAD 9-1-1, FASE II</w:t>
              <w:br/>
              <w:t>SNIP 14624 · Ficha 5135</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SERVICIO INTEGRAL DE EMERGENCIAS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2022–2027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1,021,000,000</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688,820,398</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CAMINO VECINAL LOS LLANOS - QUISQUEYA, PROVINCIA SAN PEDRO DE MACORÍS</w:t>
              <w:br/>
              <w:t>SNIP 17034 · Ficha 8284</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MINISTERIO DE LA PRESIDENCIA</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2025–2027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96,421,796</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LOS LLANOS, PROVINCIA SAN PEDRO DE MACORÍS</w:t>
              <w:br/>
              <w:t>SNIP 15947 · Ficha 6232</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75,527,452</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59,981,834</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LA GINA, MUNICIPIO LOS LLANOS, PROVINCIA SAN PEDRO DE MACORÍS.</w:t>
              <w:br/>
              <w:t>SNIP 15599 · Ficha 7144</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3,113,610</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3,113,609</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MARÍA NICOLÁSA BILLINI, MUNICIPIO LOS LLANOS, PROVINCIA SAN PEDRO DE MACORÍS.</w:t>
              <w:br/>
              <w:t>SNIP 15598 · Ficha 7143</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599,154</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479,243</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BATEY PALOMA, MUNICIPIO LOS LLANOS, PROVINCIA SAN PEDRO DE MACORÍS.</w:t>
              <w:br/>
              <w:t>SNIP 15597 · Ficha 7142</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110</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COQUITO, MUNICIPIO LOS LLANOS, PROVINCIA SAN PEDRO DE MACORÍS.</w:t>
              <w:br/>
              <w:t>SNIP 15550 · Ficha 7095</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109</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LA MILAGROSA, MUNICIPIO LOS LLANOS, PROVINCIA SAN PEDRO DE MACORÍS.</w:t>
              <w:br/>
              <w:t>SNIP 15549 · Ficha 7094</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109</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bl>
    <w:p>
      <w:pPr>
        <w:spacing w:after="0"/>
      </w:pPr>
    </w:p>
    <w:p>
      <w:pPr>
        <w:pStyle w:val="Heading1"/>
      </w:pPr>
      <w:r>
        <w:t>6.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51.6% de hogares con recogida municipal y 41.1%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MAPA-IP</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MapaInversiones: datos abiertos y perfiles de proyectos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8 proyectos con alcance municipal específico; corte 2026-08-02</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 si perfil oficial; media si nombre del proyecto</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DASH-TERR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DDPT Dashboard Territorial: indicadores administrativos y comparación territorial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2026-08-01</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 y provincial; ámbito rotulado en cada indicador</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 / según fuente oficial enlazada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Los Llanos (República Dominicana)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2026-08-02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San José de los Llanos, San Pedro de Macorís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San José de los Llanos · 09230002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San José de los Llanos 2025-2028</dc:title>
  <dc:subject>Información general, diagnóstico territorial e inversión pública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