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spacing w:before="200" w:after="0"/>
        <w:rPr>
          <w:sz w:val="40"/>
          <w:szCs w:val="40"/>
        </w:rPr>
      </w:pPr>
      <w:r>
        <w:rPr>
          <w:sz w:val="40"/>
          <w:szCs w:val="40"/>
        </w:rPr>
        <w:t>SE Standard Project</w:t>
      </w:r>
    </w:p>
    <w:p>
      <w:pPr>
        <w:pStyle w:val="Heading3"/>
        <w:rPr/>
      </w:pPr>
      <w:r>
        <w:rPr/>
        <w:t>User Requirements Specification Document (URS)</w:t>
      </w:r>
    </w:p>
    <w:p>
      <w:pPr>
        <w:pStyle w:val="Heading5"/>
        <w:rPr/>
      </w:pPr>
      <w:r>
        <w:rPr/>
        <w:t>DIBRIS – Università di Genova. Scuola Politecnica, Software Engineering Course</w:t>
      </w:r>
    </w:p>
    <w:p>
      <w:pPr>
        <w:pStyle w:val="FirstParagraph"/>
        <w:rPr/>
      </w:pPr>
      <w:r>
        <w:rPr>
          <w:b/>
          <w:bCs/>
        </w:rPr>
        <w:t>VERSION: 1.</w:t>
      </w:r>
      <w:r>
        <w:rPr>
          <w:b/>
          <w:bCs/>
        </w:rPr>
        <w:t>1</w:t>
      </w:r>
    </w:p>
    <w:p>
      <w:pPr>
        <w:pStyle w:val="BodyText"/>
        <w:rPr/>
      </w:pPr>
      <w:r>
        <w:rPr>
          <w:b/>
          <w:bCs/>
        </w:rPr>
        <w:t>Authors</w:t>
      </w:r>
      <w:r>
        <w:rPr/>
        <w:br/>
        <w:t>Gabriele De Leo</w:t>
      </w:r>
    </w:p>
    <w:p>
      <w:pPr>
        <w:pStyle w:val="BodyText"/>
        <w:rPr/>
      </w:pPr>
      <w:r>
        <w:rPr>
          <w:b/>
          <w:bCs/>
        </w:rPr>
        <w:t>REVISION HISTORY</w:t>
      </w:r>
    </w:p>
    <w:tbl>
      <w:tblPr>
        <w:tblStyle w:val="Table"/>
        <w:tblW w:w="946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199"/>
        <w:gridCol w:w="1665"/>
        <w:gridCol w:w="1264"/>
        <w:gridCol w:w="5332"/>
      </w:tblGrid>
      <w:tr>
        <w:trPr>
          <w:tblHeader w:val="true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199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Arial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Arial"/>
                <w:kern w:val="0"/>
                <w:sz w:val="24"/>
                <w:szCs w:val="24"/>
                <w:lang w:val="en-US" w:eastAsia="en-US" w:bidi="ar-SA"/>
              </w:rPr>
              <w:t>Version</w:t>
            </w:r>
          </w:p>
        </w:tc>
        <w:tc>
          <w:tcPr>
            <w:tcW w:w="1665" w:type="dxa"/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Arial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Arial"/>
                <w:kern w:val="0"/>
                <w:sz w:val="24"/>
                <w:szCs w:val="24"/>
                <w:lang w:val="en-US" w:eastAsia="en-US" w:bidi="ar-SA"/>
              </w:rPr>
              <w:t>Date</w:t>
            </w:r>
          </w:p>
        </w:tc>
        <w:tc>
          <w:tcPr>
            <w:tcW w:w="1264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Arial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Arial"/>
                <w:kern w:val="0"/>
                <w:sz w:val="24"/>
                <w:szCs w:val="24"/>
                <w:lang w:val="en-US" w:eastAsia="en-US" w:bidi="ar-SA"/>
              </w:rPr>
              <w:t>Authors</w:t>
            </w:r>
          </w:p>
        </w:tc>
        <w:tc>
          <w:tcPr>
            <w:tcW w:w="5332" w:type="dxa"/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Arial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Arial"/>
                <w:kern w:val="0"/>
                <w:sz w:val="24"/>
                <w:szCs w:val="24"/>
                <w:lang w:val="en-US" w:eastAsia="en-US" w:bidi="ar-SA"/>
              </w:rPr>
              <w:t>Notes</w:t>
            </w:r>
          </w:p>
        </w:tc>
      </w:tr>
      <w:tr>
        <w:trPr/>
        <w:tc>
          <w:tcPr>
            <w:tcW w:w="1199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Arial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Arial"/>
                <w:kern w:val="0"/>
                <w:sz w:val="24"/>
                <w:szCs w:val="24"/>
                <w:lang w:val="en-US" w:eastAsia="en-US" w:bidi="ar-SA"/>
              </w:rPr>
              <w:t>1.0</w:t>
            </w:r>
          </w:p>
        </w:tc>
        <w:tc>
          <w:tcPr>
            <w:tcW w:w="1665" w:type="dxa"/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Arial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Arial"/>
                <w:kern w:val="0"/>
                <w:sz w:val="24"/>
                <w:szCs w:val="24"/>
                <w:lang w:val="en-US" w:eastAsia="en-US" w:bidi="ar-SA"/>
              </w:rPr>
              <w:t>31/12/2025</w:t>
            </w:r>
          </w:p>
        </w:tc>
        <w:tc>
          <w:tcPr>
            <w:tcW w:w="1264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Arial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Arial"/>
                <w:kern w:val="0"/>
                <w:sz w:val="24"/>
                <w:szCs w:val="24"/>
                <w:lang w:val="en-US" w:eastAsia="en-US" w:bidi="ar-SA"/>
              </w:rPr>
              <w:t>G.De Leo</w:t>
            </w:r>
          </w:p>
        </w:tc>
        <w:tc>
          <w:tcPr>
            <w:tcW w:w="5332" w:type="dxa"/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Arial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Arial"/>
                <w:kern w:val="0"/>
                <w:sz w:val="24"/>
                <w:szCs w:val="24"/>
                <w:lang w:val="en-US" w:eastAsia="en-US" w:bidi="ar-SA"/>
              </w:rPr>
              <w:t>Starting the URS</w:t>
            </w:r>
          </w:p>
        </w:tc>
      </w:tr>
      <w:tr>
        <w:trPr/>
        <w:tc>
          <w:tcPr>
            <w:tcW w:w="1199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Arial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Arial"/>
                <w:kern w:val="0"/>
                <w:sz w:val="24"/>
                <w:szCs w:val="24"/>
                <w:lang w:val="en-US" w:eastAsia="en-US" w:bidi="ar-SA"/>
              </w:rPr>
              <w:t>1.1</w:t>
            </w:r>
          </w:p>
        </w:tc>
        <w:tc>
          <w:tcPr>
            <w:tcW w:w="1665" w:type="dxa"/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Arial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Arial"/>
                <w:kern w:val="0"/>
                <w:sz w:val="24"/>
                <w:szCs w:val="24"/>
                <w:lang w:val="en-US" w:eastAsia="en-US" w:bidi="ar-SA"/>
              </w:rPr>
              <w:t>10/01/2025</w:t>
            </w:r>
          </w:p>
        </w:tc>
        <w:tc>
          <w:tcPr>
            <w:tcW w:w="1264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Arial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Arial"/>
                <w:kern w:val="0"/>
                <w:sz w:val="24"/>
                <w:szCs w:val="24"/>
                <w:lang w:val="en-US" w:eastAsia="en-US" w:bidi="ar-SA"/>
              </w:rPr>
              <w:t>G.De Leo</w:t>
            </w:r>
          </w:p>
        </w:tc>
        <w:tc>
          <w:tcPr>
            <w:tcW w:w="5332" w:type="dxa"/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Arial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Arial"/>
                <w:kern w:val="0"/>
                <w:sz w:val="24"/>
                <w:szCs w:val="24"/>
                <w:lang w:val="en-US" w:eastAsia="en-US" w:bidi="ar-SA"/>
              </w:rPr>
              <w:t>Replacing Notoriety Index with Information about belonging to Base Vocabulary</w:t>
            </w:r>
          </w:p>
        </w:tc>
      </w:tr>
    </w:tbl>
    <w:p>
      <w:pPr>
        <w:pStyle w:val="Heading1"/>
        <w:rPr/>
      </w:pPr>
      <w:r>
        <w:rPr/>
        <w:t>Table of Contents</w:t>
      </w:r>
    </w:p>
    <w:p>
      <w:pPr>
        <w:pStyle w:val="Compact"/>
        <w:rPr/>
      </w:pPr>
      <w:hyperlink w:anchor="_1._Introduction">
        <w:r>
          <w:rPr>
            <w:rStyle w:val="Hyperlink"/>
          </w:rPr>
          <w:t>1. Introduction</w:t>
        </w:r>
      </w:hyperlink>
    </w:p>
    <w:p>
      <w:pPr>
        <w:pStyle w:val="Compact"/>
        <w:ind w:firstLine="720"/>
        <w:rPr/>
      </w:pPr>
      <w:hyperlink w:anchor="_1.1_Document_Scope">
        <w:r>
          <w:rPr>
            <w:rStyle w:val="Hyperlink"/>
          </w:rPr>
          <w:t>1.1 Document Scope</w:t>
        </w:r>
      </w:hyperlink>
    </w:p>
    <w:p>
      <w:pPr>
        <w:pStyle w:val="Compact"/>
        <w:ind w:firstLine="720"/>
        <w:rPr/>
      </w:pPr>
      <w:hyperlink w:anchor="_1.2_Definitions_and">
        <w:r>
          <w:rPr>
            <w:rStyle w:val="Hyperlink"/>
          </w:rPr>
          <w:t>1.2 Definitio</w:t>
        </w:r>
        <w:r>
          <w:rPr>
            <w:rStyle w:val="Hyperlink"/>
          </w:rPr>
          <w:t>n</w:t>
        </w:r>
        <w:r>
          <w:rPr>
            <w:rStyle w:val="Hyperlink"/>
          </w:rPr>
          <w:t>s and Acronym</w:t>
        </w:r>
      </w:hyperlink>
    </w:p>
    <w:p>
      <w:pPr>
        <w:pStyle w:val="Compact"/>
        <w:rPr/>
      </w:pPr>
      <w:hyperlink w:anchor="_2._System_Description">
        <w:r>
          <w:rPr>
            <w:rStyle w:val="Hyperlink"/>
          </w:rPr>
          <w:t>2. System Description</w:t>
        </w:r>
      </w:hyperlink>
    </w:p>
    <w:p>
      <w:pPr>
        <w:pStyle w:val="Compact"/>
        <w:ind w:firstLine="720"/>
        <w:rPr/>
      </w:pPr>
      <w:hyperlink w:anchor="_2.1_Project_Objectives">
        <w:r>
          <w:rPr>
            <w:rStyle w:val="Hyperlink"/>
          </w:rPr>
          <w:t>2.1 Project Ob</w:t>
        </w:r>
        <w:r>
          <w:rPr>
            <w:rStyle w:val="Hyperlink"/>
          </w:rPr>
          <w:t>j</w:t>
        </w:r>
        <w:r>
          <w:rPr>
            <w:rStyle w:val="Hyperlink"/>
          </w:rPr>
          <w:t>ectives</w:t>
        </w:r>
      </w:hyperlink>
    </w:p>
    <w:p>
      <w:pPr>
        <w:pStyle w:val="Compact"/>
        <w:ind w:hanging="0"/>
        <w:rPr/>
      </w:pPr>
      <w:hyperlink w:anchor="_3._Requirements">
        <w:r>
          <w:rPr>
            <w:rStyle w:val="Hyperlink"/>
          </w:rPr>
          <w:t>3. Requirements</w:t>
        </w:r>
      </w:hyperlink>
    </w:p>
    <w:p>
      <w:pPr>
        <w:pStyle w:val="Compact"/>
        <w:ind w:hanging="0" w:left="720"/>
        <w:rPr/>
      </w:pPr>
      <w:hyperlink w:anchor="_3.1_Stakeholders">
        <w:r>
          <w:rPr>
            <w:rStyle w:val="Hyperlink"/>
          </w:rPr>
          <w:t>3.1 Stakeholders</w:t>
        </w:r>
      </w:hyperlink>
    </w:p>
    <w:p>
      <w:pPr>
        <w:pStyle w:val="Compact"/>
        <w:ind w:firstLine="720"/>
        <w:rPr/>
      </w:pPr>
      <w:hyperlink w:anchor="_3.2_Functional_requirements">
        <w:r>
          <w:rPr>
            <w:rStyle w:val="Hyperlink"/>
          </w:rPr>
          <w:t>3.2 Functional Requirements</w:t>
        </w:r>
      </w:hyperlink>
    </w:p>
    <w:p>
      <w:pPr>
        <w:pStyle w:val="Compact"/>
        <w:ind w:firstLine="720" w:left="720"/>
        <w:rPr/>
      </w:pPr>
      <w:hyperlink w:anchor="_3.2.1_General_Requirements">
        <w:r>
          <w:rPr>
            <w:rStyle w:val="Hyperlink"/>
          </w:rPr>
          <w:t>3.2.1 General Requirements</w:t>
        </w:r>
      </w:hyperlink>
    </w:p>
    <w:p>
      <w:pPr>
        <w:pStyle w:val="FirstParagraph"/>
        <w:rPr/>
      </w:pPr>
      <w:r>
        <w:rPr/>
      </w:r>
    </w:p>
    <w:p>
      <w:pPr>
        <w:pStyle w:val="Heading2"/>
        <w:rPr/>
      </w:pPr>
      <w:bookmarkStart w:id="0" w:name="_1._Introduction"/>
      <w:r>
        <w:rPr/>
        <w:t>1. Introduction</w:t>
      </w:r>
      <w:bookmarkEnd w:id="0"/>
    </w:p>
    <w:p>
      <w:pPr>
        <w:pStyle w:val="FirstParagraph"/>
        <w:rPr/>
      </w:pPr>
      <w:r>
        <w:rPr/>
      </w:r>
    </w:p>
    <w:p>
      <w:pPr>
        <w:pStyle w:val="Heading3"/>
        <w:rPr/>
      </w:pPr>
      <w:bookmarkStart w:id="1" w:name="_1.1_Document_Scope"/>
      <w:r>
        <w:rPr/>
        <w:t>1.1 Document Scope</w:t>
      </w:r>
      <w:bookmarkEnd w:id="1"/>
    </w:p>
    <w:p>
      <w:pPr>
        <w:pStyle w:val="FirstParagraph"/>
        <w:rPr/>
      </w:pPr>
      <w:r>
        <w:rPr/>
        <w:t xml:space="preserve">The purpose of this document is to define the user requirements for a desktop-based software tool that allows users to load a Word document (.docx) and extract its written content. On it the user can calculate a set of lexical or structural indexes. </w:t>
      </w:r>
    </w:p>
    <w:p>
      <w:pPr>
        <w:pStyle w:val="Heading3"/>
        <w:rPr/>
      </w:pPr>
      <w:bookmarkStart w:id="2" w:name="_1.2_Definitions_and"/>
      <w:r>
        <w:rPr/>
        <w:t>1.2 Definitions and Acronym</w:t>
      </w:r>
      <w:bookmarkEnd w:id="2"/>
    </w:p>
    <w:tbl>
      <w:tblPr>
        <w:tblStyle w:val="Table"/>
        <w:tblW w:w="6103" w:type="dxa"/>
        <w:jc w:val="left"/>
        <w:tblInd w:w="3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440"/>
        <w:gridCol w:w="4663"/>
      </w:tblGrid>
      <w:tr>
        <w:trPr>
          <w:tblHeader w:val="true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440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b/>
                <w:bCs/>
              </w:rPr>
            </w:pPr>
            <w:r>
              <w:rPr>
                <w:rFonts w:eastAsia="Cambria" w:cs="Arial"/>
                <w:b/>
                <w:bCs/>
                <w:kern w:val="0"/>
                <w:sz w:val="24"/>
                <w:szCs w:val="24"/>
                <w:lang w:val="en-US" w:eastAsia="en-US" w:bidi="ar-SA"/>
              </w:rPr>
              <w:t>Acronym</w:t>
            </w:r>
          </w:p>
        </w:tc>
        <w:tc>
          <w:tcPr>
            <w:tcW w:w="4663" w:type="dxa"/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b/>
                <w:bCs/>
              </w:rPr>
            </w:pPr>
            <w:r>
              <w:rPr>
                <w:rFonts w:eastAsia="Cambria" w:cs="Arial"/>
                <w:b/>
                <w:bCs/>
                <w:kern w:val="0"/>
                <w:sz w:val="24"/>
                <w:szCs w:val="24"/>
                <w:lang w:val="en-US" w:eastAsia="en-US" w:bidi="ar-SA"/>
              </w:rPr>
              <w:t>Definition</w:t>
            </w:r>
          </w:p>
        </w:tc>
      </w:tr>
      <w:tr>
        <w:trPr/>
        <w:tc>
          <w:tcPr>
            <w:tcW w:w="1440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Arial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Arial"/>
                <w:kern w:val="0"/>
                <w:sz w:val="24"/>
                <w:szCs w:val="24"/>
                <w:lang w:val="en-US" w:eastAsia="en-US" w:bidi="ar-SA"/>
              </w:rPr>
              <w:t>GIX</w:t>
            </w:r>
          </w:p>
        </w:tc>
        <w:tc>
          <w:tcPr>
            <w:tcW w:w="4663" w:type="dxa"/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Arial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Arial"/>
                <w:kern w:val="0"/>
                <w:sz w:val="24"/>
                <w:szCs w:val="24"/>
                <w:lang w:val="en-US" w:eastAsia="en-US" w:bidi="ar-SA"/>
              </w:rPr>
              <w:t>Gulpease index</w:t>
            </w:r>
          </w:p>
        </w:tc>
      </w:tr>
      <w:tr>
        <w:trPr/>
        <w:tc>
          <w:tcPr>
            <w:tcW w:w="1440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Arial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Arial"/>
                <w:kern w:val="0"/>
                <w:sz w:val="24"/>
                <w:szCs w:val="24"/>
                <w:lang w:val="en-US" w:eastAsia="en-US" w:bidi="ar-SA"/>
              </w:rPr>
              <w:t>SCIX</w:t>
            </w:r>
          </w:p>
        </w:tc>
        <w:tc>
          <w:tcPr>
            <w:tcW w:w="4663" w:type="dxa"/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Arial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Arial"/>
                <w:kern w:val="0"/>
                <w:sz w:val="24"/>
                <w:szCs w:val="24"/>
                <w:lang w:val="en-US" w:eastAsia="en-US" w:bidi="ar-SA"/>
              </w:rPr>
              <w:t>Syntactic Complexity Index</w:t>
            </w:r>
          </w:p>
        </w:tc>
      </w:tr>
      <w:tr>
        <w:trPr/>
        <w:tc>
          <w:tcPr>
            <w:tcW w:w="1440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Arial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Arial"/>
                <w:kern w:val="0"/>
                <w:sz w:val="24"/>
                <w:szCs w:val="24"/>
                <w:lang w:val="en-US" w:eastAsia="en-US" w:bidi="ar-SA"/>
              </w:rPr>
              <w:t>LDIX</w:t>
            </w:r>
          </w:p>
        </w:tc>
        <w:tc>
          <w:tcPr>
            <w:tcW w:w="4663" w:type="dxa"/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Arial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Arial"/>
                <w:kern w:val="0"/>
                <w:sz w:val="24"/>
                <w:szCs w:val="24"/>
                <w:lang w:val="en-US" w:eastAsia="en-US" w:bidi="ar-SA"/>
              </w:rPr>
              <w:t>Lexical Diversity Index</w:t>
            </w:r>
          </w:p>
        </w:tc>
      </w:tr>
    </w:tbl>
    <w:p>
      <w:pPr>
        <w:pStyle w:val="Heading2"/>
        <w:rPr/>
      </w:pPr>
      <w:bookmarkStart w:id="3" w:name="_2._System_Description"/>
      <w:r>
        <w:rPr/>
        <w:t>2. System Description</w:t>
      </w:r>
      <w:bookmarkEnd w:id="3"/>
    </w:p>
    <w:p>
      <w:pPr>
        <w:pStyle w:val="FirstParagraph"/>
        <w:rPr/>
      </w:pPr>
      <w:r>
        <w:rPr/>
        <w:t xml:space="preserve"> </w:t>
      </w:r>
      <w:r>
        <w:rPr/>
        <w:t>This document outlines the User Requirements Specification (URS) for a Lexical Structure Analyzer Tool designed to analyze a given Word Document and help users define its features.</w:t>
      </w:r>
    </w:p>
    <w:p>
      <w:pPr>
        <w:pStyle w:val="Heading3"/>
        <w:rPr/>
      </w:pPr>
      <w:bookmarkStart w:id="4" w:name="_2.1_Project_Objectives"/>
      <w:r>
        <w:rPr/>
        <w:t>2.1 Project Objectives</w:t>
      </w:r>
      <w:bookmarkEnd w:id="4"/>
    </w:p>
    <w:p>
      <w:pPr>
        <w:pStyle w:val="FirstParagraph"/>
        <w:rPr/>
      </w:pPr>
      <w:r>
        <w:rPr/>
        <w:t xml:space="preserve"> </w:t>
      </w:r>
      <w:r>
        <w:rPr/>
        <w:t xml:space="preserve">The purpose of this tool is to help users understand where a text is ‘weaker’ in terms of grammatical structure or vocabulary by calculating some numerical indexes that better can represent its feature and analyzing its spelling accuracy. These indexes are: </w:t>
      </w:r>
    </w:p>
    <w:p>
      <w:pPr>
        <w:pStyle w:val="FirstParagraph"/>
        <w:numPr>
          <w:ilvl w:val="0"/>
          <w:numId w:val="1"/>
        </w:numPr>
        <w:rPr/>
      </w:pPr>
      <w:r>
        <w:rPr/>
        <w:t xml:space="preserve">- The </w:t>
      </w:r>
      <w:r>
        <w:rPr>
          <w:b/>
          <w:bCs/>
        </w:rPr>
        <w:t>Gulpease Index</w:t>
      </w:r>
      <w:r>
        <w:rPr/>
        <w:t xml:space="preserve"> (GIX) - legibility index specific for Italian language. It is calculated by the formula:</w:t>
      </w:r>
    </w:p>
    <w:p>
      <w:pPr>
        <w:pStyle w:val="BodyText"/>
        <w:ind w:left="0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89</m:t>
          </m:r>
          <m:r>
            <w:rPr>
              <w:rFonts w:ascii="Cambria Math" w:hAnsi="Cambria Math"/>
            </w:rPr>
            <m:t xml:space="preserve">+</m:t>
          </m:r>
          <m:f>
            <m:num>
              <m:r>
                <w:rPr>
                  <w:rFonts w:ascii="Cambria Math" w:hAnsi="Cambria Math"/>
                </w:rPr>
                <m:t xml:space="preserve">300</m:t>
              </m:r>
              <m:r>
                <w:rPr>
                  <w:rFonts w:ascii="Cambria Math" w:hAnsi="Cambria Math"/>
                </w:rPr>
                <m:t xml:space="preserve">∗</m:t>
              </m:r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𝑛</m:t>
                  </m:r>
                  <m:r>
                    <w:rPr>
                      <w:rFonts w:ascii="Cambria Math" w:hAnsi="Cambria Math"/>
                    </w:rPr>
                    <m:t xml:space="preserve">°</m:t>
                  </m:r>
                  <m:r>
                    <w:rPr>
                      <w:rFonts w:ascii="Cambria Math" w:hAnsi="Cambria Math"/>
                    </w:rPr>
                    <m:t xml:space="preserve">𝑓𝑟𝑎𝑠𝑖</m:t>
                  </m:r>
                </m:e>
              </m:d>
              <m:r>
                <w:rPr>
                  <w:rFonts w:ascii="Cambria Math" w:hAnsi="Cambria Math"/>
                </w:rPr>
                <m:t xml:space="preserve">−</m:t>
              </m:r>
              <m:r>
                <w:rPr>
                  <w:rFonts w:ascii="Cambria Math" w:hAnsi="Cambria Math"/>
                </w:rPr>
                <m:t xml:space="preserve">10</m:t>
              </m:r>
              <m:r>
                <w:rPr>
                  <w:rFonts w:ascii="Cambria Math" w:hAnsi="Cambria Math"/>
                </w:rPr>
                <m:t xml:space="preserve">∗</m:t>
              </m:r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𝑛</m:t>
                  </m:r>
                  <m:r>
                    <w:rPr>
                      <w:rFonts w:ascii="Cambria Math" w:hAnsi="Cambria Math"/>
                    </w:rPr>
                    <m:t xml:space="preserve">°</m:t>
                  </m:r>
                  <m:r>
                    <w:rPr>
                      <w:rFonts w:ascii="Cambria Math" w:hAnsi="Cambria Math"/>
                    </w:rPr>
                    <m:t xml:space="preserve">𝑙𝑒𝑡𝑡𝑒𝑟𝑒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 xml:space="preserve">𝑛</m:t>
              </m:r>
              <m:r>
                <w:rPr>
                  <w:rFonts w:ascii="Cambria Math" w:hAnsi="Cambria Math"/>
                </w:rPr>
                <m:t xml:space="preserve">°</m:t>
              </m:r>
              <m:r>
                <w:rPr>
                  <w:rFonts w:ascii="Cambria Math" w:hAnsi="Cambria Math"/>
                </w:rPr>
                <m:t xml:space="preserve">𝑝𝑎𝑟𝑜𝑙𝑒</m:t>
              </m:r>
            </m:den>
          </m:f>
        </m:oMath>
      </m:oMathPara>
    </w:p>
    <w:p>
      <w:pPr>
        <w:pStyle w:val="FirstParagraph"/>
        <w:ind w:left="720"/>
        <w:rPr/>
      </w:pPr>
      <w:r>
        <w:rPr/>
        <w:t>Where 0 represents the lowest legibility and 100 is the highest.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The </w:t>
      </w:r>
      <w:r>
        <w:rPr>
          <w:b/>
          <w:bCs/>
        </w:rPr>
        <w:t>Syntactic Complexity Index</w:t>
      </w:r>
      <w:r>
        <w:rPr/>
        <w:t xml:space="preserve"> (SCIX) - measures the complexity of sentence structure in a text. It can be calculated by the formula: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f>
            <m:fPr>
              <m:type m:val="lin"/>
            </m:fPr>
            <m:num>
              <m:r>
                <w:rPr>
                  <w:rFonts w:ascii="Cambria Math" w:hAnsi="Cambria Math"/>
                </w:rPr>
                <m:t xml:space="preserve">MLS</m:t>
              </m:r>
              <m:r>
                <w:rPr>
                  <w:rFonts w:ascii="Cambria Math" w:hAnsi="Cambria Math"/>
                </w:rPr>
                <m:t xml:space="preserve">∗</m:t>
              </m:r>
              <m:r>
                <w:rPr>
                  <w:rFonts w:ascii="Cambria Math" w:hAnsi="Cambria Math"/>
                </w:rPr>
                <m:t xml:space="preserve">S</m:t>
              </m:r>
            </m:num>
            <m:den>
              <m:r>
                <w:rPr>
                  <w:rFonts w:ascii="Cambria Math" w:hAnsi="Cambria Math"/>
                </w:rPr>
                <m:t xml:space="preserve">CRatio</m:t>
              </m:r>
            </m:den>
          </m:f>
          <m:r>
            <w:rPr>
              <w:rFonts w:ascii="Cambria Math" w:hAnsi="Cambria Math"/>
            </w:rPr>
            <m:t xml:space="preserve">∗</m:t>
          </m:r>
          <m:r>
            <w:rPr>
              <w:rFonts w:ascii="Cambria Math" w:hAnsi="Cambria Math"/>
            </w:rPr>
            <m:t xml:space="preserve">SR</m:t>
          </m:r>
        </m:oMath>
      </m:oMathPara>
    </w:p>
    <w:p>
      <w:pPr>
        <w:pStyle w:val="Normal"/>
        <w:numPr>
          <w:ilvl w:val="0"/>
          <w:numId w:val="2"/>
        </w:numPr>
        <w:rPr/>
      </w:pPr>
      <w:r>
        <w:rPr/>
        <w:t>where MLS is the Mean Length of Sentence, S/C Ratio is the Sentence-to-Clause Ratio and SR is the Subordination Ratio. Higher value means Higher syntactic complexity.</w:t>
      </w:r>
    </w:p>
    <w:p>
      <w:pPr>
        <w:pStyle w:val="Normal"/>
        <w:numPr>
          <w:ilvl w:val="0"/>
          <w:numId w:val="3"/>
        </w:numPr>
        <w:rPr/>
      </w:pPr>
      <w:r>
        <w:rPr/>
        <w:t xml:space="preserve">The </w:t>
      </w:r>
      <w:r>
        <w:rPr>
          <w:b/>
          <w:bCs/>
        </w:rPr>
        <w:t>Lexical Diversity Index</w:t>
      </w:r>
      <w:r>
        <w:rPr/>
        <w:t xml:space="preserve"> (LDIX) - measures the variety of words used in a text, helping to assess the richness or variation in vocabulary: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f>
            <m:num>
              <m:r>
                <w:rPr>
                  <w:rFonts w:ascii="Cambria Math" w:hAnsi="Cambria Math"/>
                </w:rPr>
                <m:t xml:space="preserve">𝑛</m:t>
              </m:r>
              <m:r>
                <w:rPr>
                  <w:rFonts w:ascii="Cambria Math" w:hAnsi="Cambria Math"/>
                </w:rPr>
                <m:t xml:space="preserve">°</m:t>
              </m:r>
              <m:r>
                <w:rPr>
                  <w:rFonts w:ascii="Cambria Math" w:hAnsi="Cambria Math"/>
                </w:rPr>
                <m:t xml:space="preserve">𝑜𝑓</m:t>
              </m:r>
              <m:r>
                <w:rPr>
                  <w:rFonts w:ascii="Cambria Math" w:hAnsi="Cambria Math"/>
                </w:rPr>
                <m:t xml:space="preserve">𝑢𝑛𝑖𝑞𝑢𝑒</m:t>
              </m:r>
              <m:r>
                <w:rPr>
                  <w:rFonts w:ascii="Cambria Math" w:hAnsi="Cambria Math"/>
                </w:rPr>
                <m:t xml:space="preserve">𝑤𝑜𝑟𝑑𝑠</m:t>
              </m:r>
            </m:num>
            <m:den>
              <m:r>
                <w:rPr>
                  <w:rFonts w:ascii="Cambria Math" w:hAnsi="Cambria Math"/>
                </w:rPr>
                <m:t xml:space="preserve">𝑛</m:t>
              </m:r>
              <m:r>
                <w:rPr>
                  <w:rFonts w:ascii="Cambria Math" w:hAnsi="Cambria Math"/>
                </w:rPr>
                <m:t xml:space="preserve">°</m:t>
              </m:r>
              <m:r>
                <w:rPr>
                  <w:rFonts w:ascii="Cambria Math" w:hAnsi="Cambria Math"/>
                </w:rPr>
                <m:t xml:space="preserve">𝑜𝑓</m:t>
              </m:r>
              <m:r>
                <w:rPr>
                  <w:rFonts w:ascii="Cambria Math" w:hAnsi="Cambria Math"/>
                </w:rPr>
                <m:t xml:space="preserve">𝑤𝑜𝑟𝑑𝑠</m:t>
              </m:r>
            </m:den>
          </m:f>
        </m:oMath>
      </m:oMathPara>
    </w:p>
    <w:p>
      <w:pPr>
        <w:pStyle w:val="Normal"/>
        <w:numPr>
          <w:ilvl w:val="0"/>
          <w:numId w:val="2"/>
        </w:numPr>
        <w:rPr/>
      </w:pPr>
      <w:r>
        <w:rPr/>
        <w:t>Range from 0 to 1 where higher value means more lexical diversity</w:t>
      </w:r>
    </w:p>
    <w:p>
      <w:pPr>
        <w:pStyle w:val="Normal"/>
        <w:rPr/>
      </w:pPr>
      <w:r>
        <w:rPr/>
        <w:t xml:space="preserve">Also, for each word, will be displayed if that word belong or not to the </w:t>
      </w:r>
      <w:r>
        <w:rPr>
          <w:b/>
          <w:bCs/>
        </w:rPr>
        <w:t>Base Vocabulary</w:t>
      </w:r>
    </w:p>
    <w:p>
      <w:pPr>
        <w:pStyle w:val="Heading2"/>
        <w:rPr/>
      </w:pPr>
      <w:bookmarkStart w:id="5" w:name="_3._Requirements"/>
      <w:r>
        <w:rPr/>
        <w:t>3. Requirements</w:t>
      </w:r>
      <w:bookmarkEnd w:id="5"/>
    </w:p>
    <w:p>
      <w:pPr>
        <w:pStyle w:val="FirstParagraph"/>
        <w:rPr/>
      </w:pPr>
      <w:r>
        <w:rPr/>
      </w:r>
    </w:p>
    <w:tbl>
      <w:tblPr>
        <w:tblStyle w:val="Table"/>
        <w:tblW w:w="487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515"/>
        <w:gridCol w:w="3359"/>
      </w:tblGrid>
      <w:tr>
        <w:trPr>
          <w:tblHeader w:val="true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515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bottom"/>
          </w:tcPr>
          <w:p>
            <w:pPr>
              <w:pStyle w:val="Compact"/>
              <w:widowControl/>
              <w:suppressLineNumbers w:val="0"/>
              <w:bidi w:val="0"/>
              <w:spacing w:lineRule="auto" w:line="259" w:beforeAutospacing="0" w:before="36" w:afterAutospacing="0" w:after="36"/>
              <w:ind w:left="0" w:right="0"/>
              <w:jc w:val="left"/>
              <w:rPr>
                <w:b/>
                <w:bCs/>
              </w:rPr>
            </w:pPr>
            <w:r>
              <w:rPr>
                <w:rFonts w:eastAsia="Cambria" w:cs="Arial"/>
                <w:b/>
                <w:bCs/>
                <w:kern w:val="0"/>
                <w:sz w:val="24"/>
                <w:szCs w:val="24"/>
                <w:lang w:val="en-US" w:eastAsia="en-US" w:bidi="ar-SA"/>
              </w:rPr>
              <w:t>Priority</w:t>
            </w:r>
          </w:p>
        </w:tc>
        <w:tc>
          <w:tcPr>
            <w:tcW w:w="3359" w:type="dxa"/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bottom"/>
          </w:tcPr>
          <w:p>
            <w:pPr>
              <w:pStyle w:val="Compact"/>
              <w:widowControl/>
              <w:suppressLineNumbers w:val="0"/>
              <w:bidi w:val="0"/>
              <w:spacing w:lineRule="auto" w:line="259" w:beforeAutospacing="0" w:before="36" w:afterAutospacing="0" w:after="36"/>
              <w:ind w:left="0" w:right="0"/>
              <w:jc w:val="left"/>
              <w:rPr>
                <w:b/>
                <w:bCs/>
              </w:rPr>
            </w:pPr>
            <w:r>
              <w:rPr>
                <w:rFonts w:eastAsia="Cambria" w:cs="Arial"/>
                <w:b/>
                <w:bCs/>
                <w:kern w:val="0"/>
                <w:sz w:val="24"/>
                <w:szCs w:val="24"/>
                <w:lang w:val="en-US" w:eastAsia="en-US" w:bidi="ar-SA"/>
              </w:rPr>
              <w:t>Meaning</w:t>
            </w:r>
          </w:p>
        </w:tc>
      </w:tr>
      <w:tr>
        <w:trPr/>
        <w:tc>
          <w:tcPr>
            <w:tcW w:w="1515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Arial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Arial"/>
                <w:kern w:val="0"/>
                <w:sz w:val="24"/>
                <w:szCs w:val="24"/>
                <w:lang w:val="en-US" w:eastAsia="en-US" w:bidi="ar-SA"/>
              </w:rPr>
              <w:t>M</w:t>
            </w:r>
          </w:p>
        </w:tc>
        <w:tc>
          <w:tcPr>
            <w:tcW w:w="3359" w:type="dxa"/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Arial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Arial"/>
                <w:b/>
                <w:bCs/>
                <w:kern w:val="0"/>
                <w:sz w:val="24"/>
                <w:szCs w:val="24"/>
                <w:lang w:val="en-US" w:eastAsia="en-US" w:bidi="ar-SA"/>
              </w:rPr>
              <w:t>Mandatory</w:t>
            </w:r>
          </w:p>
        </w:tc>
      </w:tr>
      <w:tr>
        <w:trPr/>
        <w:tc>
          <w:tcPr>
            <w:tcW w:w="1515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Arial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Arial"/>
                <w:kern w:val="0"/>
                <w:sz w:val="24"/>
                <w:szCs w:val="24"/>
                <w:lang w:val="en-US" w:eastAsia="en-US" w:bidi="ar-SA"/>
              </w:rPr>
              <w:t>D</w:t>
            </w:r>
          </w:p>
        </w:tc>
        <w:tc>
          <w:tcPr>
            <w:tcW w:w="3359" w:type="dxa"/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b/>
                <w:bCs/>
              </w:rPr>
            </w:pPr>
            <w:r>
              <w:rPr>
                <w:rFonts w:eastAsia="Cambria" w:cs="Arial"/>
                <w:b/>
                <w:bCs/>
                <w:kern w:val="0"/>
                <w:sz w:val="24"/>
                <w:szCs w:val="24"/>
                <w:lang w:val="en-US" w:eastAsia="en-US" w:bidi="ar-SA"/>
              </w:rPr>
              <w:t>Desirable</w:t>
            </w:r>
          </w:p>
        </w:tc>
      </w:tr>
      <w:tr>
        <w:trPr/>
        <w:tc>
          <w:tcPr>
            <w:tcW w:w="1515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Arial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Arial"/>
                <w:kern w:val="0"/>
                <w:sz w:val="24"/>
                <w:szCs w:val="24"/>
                <w:lang w:val="en-US" w:eastAsia="en-US" w:bidi="ar-SA"/>
              </w:rPr>
              <w:t>O</w:t>
            </w:r>
          </w:p>
        </w:tc>
        <w:tc>
          <w:tcPr>
            <w:tcW w:w="3359" w:type="dxa"/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Arial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Arial"/>
                <w:b/>
                <w:bCs/>
                <w:kern w:val="0"/>
                <w:sz w:val="24"/>
                <w:szCs w:val="24"/>
                <w:lang w:val="en-US" w:eastAsia="en-US" w:bidi="ar-SA"/>
              </w:rPr>
              <w:t>Optional</w:t>
            </w:r>
          </w:p>
        </w:tc>
      </w:tr>
      <w:tr>
        <w:trPr/>
        <w:tc>
          <w:tcPr>
            <w:tcW w:w="1515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Arial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Arial"/>
                <w:kern w:val="0"/>
                <w:sz w:val="24"/>
                <w:szCs w:val="24"/>
                <w:lang w:val="en-US" w:eastAsia="en-US" w:bidi="ar-SA"/>
              </w:rPr>
              <w:t>E</w:t>
            </w:r>
          </w:p>
        </w:tc>
        <w:tc>
          <w:tcPr>
            <w:tcW w:w="3359" w:type="dxa"/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Arial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Arial"/>
                <w:b/>
                <w:bCs/>
                <w:kern w:val="0"/>
                <w:sz w:val="24"/>
                <w:szCs w:val="24"/>
                <w:lang w:val="en-US" w:eastAsia="en-US" w:bidi="ar-SA"/>
              </w:rPr>
              <w:t>Future Enhancement</w:t>
            </w:r>
          </w:p>
        </w:tc>
      </w:tr>
    </w:tbl>
    <w:p>
      <w:pPr>
        <w:pStyle w:val="Heading3"/>
        <w:ind w:hanging="0"/>
        <w:rPr/>
      </w:pPr>
      <w:bookmarkStart w:id="6" w:name="_3.1_Stakeholders"/>
      <w:r>
        <w:rPr/>
        <w:t>3.1 Stakeholders</w:t>
      </w:r>
      <w:bookmarkEnd w:id="6"/>
    </w:p>
    <w:p>
      <w:pPr>
        <w:pStyle w:val="FirstParagraph"/>
        <w:rPr/>
      </w:pPr>
      <w:r>
        <w:rPr/>
      </w:r>
    </w:p>
    <w:p>
      <w:pPr>
        <w:pStyle w:val="Normal"/>
        <w:numPr>
          <w:ilvl w:val="0"/>
          <w:numId w:val="6"/>
        </w:numPr>
        <w:rPr/>
      </w:pPr>
      <w:r>
        <w:rPr/>
        <w:t>Students and Teachers</w:t>
      </w:r>
    </w:p>
    <w:p>
      <w:pPr>
        <w:pStyle w:val="Normal"/>
        <w:numPr>
          <w:ilvl w:val="0"/>
          <w:numId w:val="7"/>
        </w:numPr>
        <w:rPr/>
      </w:pPr>
      <w:r>
        <w:rPr/>
        <w:t>Journalists</w:t>
      </w:r>
    </w:p>
    <w:p>
      <w:pPr>
        <w:pStyle w:val="Normal"/>
        <w:numPr>
          <w:ilvl w:val="0"/>
          <w:numId w:val="8"/>
        </w:numPr>
        <w:rPr/>
      </w:pPr>
      <w:r>
        <w:rPr/>
        <w:t>Whoever need to write texts that others must read</w:t>
      </w:r>
    </w:p>
    <w:p>
      <w:pPr>
        <w:pStyle w:val="Normal"/>
        <w:numPr>
          <w:ilvl w:val="0"/>
          <w:numId w:val="9"/>
        </w:numPr>
        <w:rPr/>
      </w:pPr>
      <w:r>
        <w:rPr/>
        <w:t>Developers and testers of the tool</w:t>
      </w:r>
    </w:p>
    <w:p>
      <w:pPr>
        <w:pStyle w:val="Heading3"/>
        <w:rPr/>
      </w:pPr>
      <w:bookmarkStart w:id="7" w:name="_3.2_Functional_requirements"/>
      <w:r>
        <w:rPr/>
        <w:t>3.2 Functional requirements</w:t>
      </w:r>
      <w:bookmarkEnd w:id="7"/>
    </w:p>
    <w:p>
      <w:pPr>
        <w:pStyle w:val="Heading4"/>
        <w:ind w:firstLine="720"/>
        <w:rPr/>
      </w:pPr>
      <w:bookmarkStart w:id="8" w:name="_3.2.1_General_Requirements"/>
      <w:r>
        <w:rPr/>
        <w:t>3.2.1 General Requirements</w:t>
      </w:r>
      <w:bookmarkEnd w:id="8"/>
    </w:p>
    <w:p>
      <w:pPr>
        <w:pStyle w:val="BodyText"/>
        <w:rPr/>
      </w:pPr>
      <w:r>
        <w:rPr/>
      </w:r>
    </w:p>
    <w:tbl>
      <w:tblPr>
        <w:tblStyle w:val="Table"/>
        <w:tblW w:w="83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929"/>
        <w:gridCol w:w="5880"/>
        <w:gridCol w:w="1531"/>
      </w:tblGrid>
      <w:tr>
        <w:trPr>
          <w:tblHeader w:val="true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29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b/>
                <w:bCs/>
              </w:rPr>
            </w:pPr>
            <w:r>
              <w:rPr>
                <w:rFonts w:eastAsia="Cambria" w:cs="Arial"/>
                <w:b/>
                <w:bCs/>
                <w:kern w:val="0"/>
                <w:sz w:val="24"/>
                <w:szCs w:val="24"/>
                <w:lang w:val="en-US" w:eastAsia="en-US" w:bidi="ar-SA"/>
              </w:rPr>
              <w:t>ID</w:t>
            </w:r>
          </w:p>
        </w:tc>
        <w:tc>
          <w:tcPr>
            <w:tcW w:w="5880" w:type="dxa"/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bottom"/>
          </w:tcPr>
          <w:p>
            <w:pPr>
              <w:pStyle w:val="Compact"/>
              <w:widowControl/>
              <w:suppressLineNumbers w:val="0"/>
              <w:bidi w:val="0"/>
              <w:spacing w:lineRule="auto" w:line="259" w:beforeAutospacing="0" w:before="36" w:afterAutospacing="0" w:after="36"/>
              <w:ind w:left="0" w:right="0"/>
              <w:jc w:val="left"/>
              <w:rPr>
                <w:b/>
                <w:bCs/>
              </w:rPr>
            </w:pPr>
            <w:r>
              <w:rPr>
                <w:rFonts w:eastAsia="Cambria" w:cs="Arial"/>
                <w:b/>
                <w:bCs/>
                <w:kern w:val="0"/>
                <w:sz w:val="24"/>
                <w:szCs w:val="24"/>
                <w:lang w:val="en-US" w:eastAsia="en-US" w:bidi="ar-SA"/>
              </w:rPr>
              <w:t>Description</w:t>
            </w:r>
          </w:p>
        </w:tc>
        <w:tc>
          <w:tcPr>
            <w:tcW w:w="1531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bottom"/>
          </w:tcPr>
          <w:p>
            <w:pPr>
              <w:pStyle w:val="Compact"/>
              <w:widowControl/>
              <w:suppressLineNumbers w:val="0"/>
              <w:bidi w:val="0"/>
              <w:spacing w:lineRule="auto" w:line="259" w:beforeAutospacing="0" w:before="36" w:afterAutospacing="0" w:after="36"/>
              <w:ind w:left="0" w:right="0"/>
              <w:jc w:val="left"/>
              <w:rPr>
                <w:b/>
                <w:bCs/>
              </w:rPr>
            </w:pPr>
            <w:r>
              <w:rPr>
                <w:rFonts w:eastAsia="Cambria" w:cs="Arial"/>
                <w:b/>
                <w:bCs/>
                <w:kern w:val="0"/>
                <w:sz w:val="24"/>
                <w:szCs w:val="24"/>
                <w:lang w:val="en-US" w:eastAsia="en-US" w:bidi="ar-SA"/>
              </w:rPr>
              <w:t>Priority</w:t>
            </w:r>
          </w:p>
        </w:tc>
      </w:tr>
      <w:tr>
        <w:trPr/>
        <w:tc>
          <w:tcPr>
            <w:tcW w:w="929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Arial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Arial"/>
                <w:kern w:val="0"/>
                <w:sz w:val="24"/>
                <w:szCs w:val="24"/>
                <w:lang w:val="en-US" w:eastAsia="en-US" w:bidi="ar-SA"/>
              </w:rPr>
              <w:t>1.0</w:t>
            </w:r>
          </w:p>
        </w:tc>
        <w:tc>
          <w:tcPr>
            <w:tcW w:w="5880" w:type="dxa"/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Arial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Arial"/>
                <w:kern w:val="0"/>
                <w:sz w:val="24"/>
                <w:szCs w:val="24"/>
                <w:lang w:val="en-US" w:eastAsia="en-US" w:bidi="ar-SA"/>
              </w:rPr>
              <w:t>The system should allow the user to load a Word document</w:t>
            </w:r>
          </w:p>
        </w:tc>
        <w:tc>
          <w:tcPr>
            <w:tcW w:w="1531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Arial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Arial"/>
                <w:kern w:val="0"/>
                <w:sz w:val="24"/>
                <w:szCs w:val="24"/>
                <w:lang w:val="en-US" w:eastAsia="en-US" w:bidi="ar-SA"/>
              </w:rPr>
              <w:t>M</w:t>
            </w:r>
          </w:p>
        </w:tc>
      </w:tr>
      <w:tr>
        <w:trPr/>
        <w:tc>
          <w:tcPr>
            <w:tcW w:w="929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Arial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Arial"/>
                <w:kern w:val="0"/>
                <w:sz w:val="24"/>
                <w:szCs w:val="24"/>
                <w:lang w:val="en-US" w:eastAsia="en-US" w:bidi="ar-SA"/>
              </w:rPr>
              <w:t>2.0</w:t>
            </w:r>
          </w:p>
        </w:tc>
        <w:tc>
          <w:tcPr>
            <w:tcW w:w="5880" w:type="dxa"/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Arial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Arial"/>
                <w:kern w:val="0"/>
                <w:sz w:val="24"/>
                <w:szCs w:val="24"/>
                <w:lang w:val="en-US" w:eastAsia="en-US" w:bidi="ar-SA"/>
              </w:rPr>
              <w:t>The system should allow the user to calculate the GIX</w:t>
            </w:r>
          </w:p>
        </w:tc>
        <w:tc>
          <w:tcPr>
            <w:tcW w:w="1531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Arial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Arial"/>
                <w:kern w:val="0"/>
                <w:sz w:val="24"/>
                <w:szCs w:val="24"/>
                <w:lang w:val="en-US" w:eastAsia="en-US" w:bidi="ar-SA"/>
              </w:rPr>
              <w:t>M</w:t>
            </w:r>
          </w:p>
        </w:tc>
      </w:tr>
      <w:tr>
        <w:trPr/>
        <w:tc>
          <w:tcPr>
            <w:tcW w:w="929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Arial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Arial"/>
                <w:kern w:val="0"/>
                <w:sz w:val="24"/>
                <w:szCs w:val="24"/>
                <w:lang w:val="en-US" w:eastAsia="en-US" w:bidi="ar-SA"/>
              </w:rPr>
              <w:t>3.0</w:t>
            </w:r>
          </w:p>
        </w:tc>
        <w:tc>
          <w:tcPr>
            <w:tcW w:w="5880" w:type="dxa"/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Arial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Arial"/>
                <w:kern w:val="0"/>
                <w:sz w:val="24"/>
                <w:szCs w:val="24"/>
                <w:lang w:val="en-US" w:eastAsia="en-US" w:bidi="ar-SA"/>
              </w:rPr>
              <w:t xml:space="preserve">The system should </w:t>
            </w:r>
            <w:r>
              <w:rPr>
                <w:rFonts w:eastAsia="Cambria" w:cs="Arial"/>
                <w:kern w:val="0"/>
                <w:sz w:val="24"/>
                <w:szCs w:val="24"/>
                <w:lang w:val="en-US" w:eastAsia="en-US" w:bidi="ar-SA"/>
              </w:rPr>
              <w:t>show</w:t>
            </w:r>
            <w:r>
              <w:rPr>
                <w:rFonts w:eastAsia="Cambria" w:cs="Arial"/>
                <w:kern w:val="0"/>
                <w:sz w:val="24"/>
                <w:szCs w:val="24"/>
                <w:lang w:val="en-US" w:eastAsia="en-US" w:bidi="ar-SA"/>
              </w:rPr>
              <w:t xml:space="preserve"> the user </w:t>
            </w:r>
            <w:r>
              <w:rPr>
                <w:rFonts w:eastAsia="Cambria" w:cs="Arial"/>
                <w:kern w:val="0"/>
                <w:sz w:val="24"/>
                <w:szCs w:val="24"/>
                <w:lang w:val="en-US" w:eastAsia="en-US" w:bidi="ar-SA"/>
              </w:rPr>
              <w:t>if a word belong or not to the Base Vocabulary</w:t>
            </w:r>
          </w:p>
        </w:tc>
        <w:tc>
          <w:tcPr>
            <w:tcW w:w="1531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Arial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Arial"/>
                <w:kern w:val="0"/>
                <w:sz w:val="24"/>
                <w:szCs w:val="24"/>
                <w:lang w:val="en-US" w:eastAsia="en-US" w:bidi="ar-SA"/>
              </w:rPr>
              <w:t>M</w:t>
            </w:r>
          </w:p>
        </w:tc>
      </w:tr>
      <w:tr>
        <w:trPr/>
        <w:tc>
          <w:tcPr>
            <w:tcW w:w="929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Arial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Arial"/>
                <w:kern w:val="0"/>
                <w:sz w:val="24"/>
                <w:szCs w:val="24"/>
                <w:lang w:val="en-US" w:eastAsia="en-US" w:bidi="ar-SA"/>
              </w:rPr>
              <w:t>4.0</w:t>
            </w:r>
          </w:p>
        </w:tc>
        <w:tc>
          <w:tcPr>
            <w:tcW w:w="5880" w:type="dxa"/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Arial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Arial"/>
                <w:kern w:val="0"/>
                <w:sz w:val="24"/>
                <w:szCs w:val="24"/>
                <w:lang w:val="en-US" w:eastAsia="en-US" w:bidi="ar-SA"/>
              </w:rPr>
              <w:t>The system should allow the user to calculate the SCIX</w:t>
            </w:r>
          </w:p>
        </w:tc>
        <w:tc>
          <w:tcPr>
            <w:tcW w:w="1531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Arial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Arial"/>
                <w:kern w:val="0"/>
                <w:sz w:val="24"/>
                <w:szCs w:val="24"/>
                <w:lang w:val="en-US" w:eastAsia="en-US" w:bidi="ar-SA"/>
              </w:rPr>
              <w:t>M</w:t>
            </w:r>
          </w:p>
        </w:tc>
      </w:tr>
      <w:tr>
        <w:trPr/>
        <w:tc>
          <w:tcPr>
            <w:tcW w:w="929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Arial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Arial"/>
                <w:kern w:val="0"/>
                <w:sz w:val="24"/>
                <w:szCs w:val="24"/>
                <w:lang w:val="en-US" w:eastAsia="en-US" w:bidi="ar-SA"/>
              </w:rPr>
              <w:t>5.0</w:t>
            </w:r>
          </w:p>
        </w:tc>
        <w:tc>
          <w:tcPr>
            <w:tcW w:w="5880" w:type="dxa"/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Arial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Arial"/>
                <w:kern w:val="0"/>
                <w:sz w:val="24"/>
                <w:szCs w:val="24"/>
                <w:lang w:val="en-US" w:eastAsia="en-US" w:bidi="ar-SA"/>
              </w:rPr>
              <w:t>The system should allow the user to calculate the LDIX</w:t>
            </w:r>
          </w:p>
        </w:tc>
        <w:tc>
          <w:tcPr>
            <w:tcW w:w="1531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Arial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Arial"/>
                <w:kern w:val="0"/>
                <w:sz w:val="24"/>
                <w:szCs w:val="24"/>
                <w:lang w:val="en-US" w:eastAsia="en-US" w:bidi="ar-SA"/>
              </w:rPr>
              <w:t>M</w:t>
            </w:r>
          </w:p>
        </w:tc>
      </w:tr>
    </w:tbl>
    <w:p>
      <w:pPr>
        <w:pStyle w:val="BodyText"/>
        <w:spacing w:before="180" w:after="180"/>
        <w:rPr/>
      </w:pPr>
      <w:r>
        <w:rPr/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1440" w:right="1440" w:gutter="0" w:header="720" w:top="1440" w:footer="72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TableNormal"/>
      <w:tblW w:w="9360" w:type="dxa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6a0" w:noHBand="1" w:noVBand="1" w:firstColumn="1" w:lastRow="0" w:lastColumn="0" w:firstRow="1"/>
    </w:tblPr>
    <w:tblGrid>
      <w:gridCol w:w="3120"/>
      <w:gridCol w:w="3120"/>
      <w:gridCol w:w="3120"/>
    </w:tblGrid>
    <w:tr>
      <w:trPr>
        <w:trHeight w:val="300" w:hRule="atLeast"/>
      </w:trPr>
      <w:tc>
        <w:tcPr>
          <w:tcW w:w="3120" w:type="dxa"/>
          <w:tcBorders/>
        </w:tcPr>
        <w:p>
          <w:pPr>
            <w:pStyle w:val="Header"/>
            <w:widowControl/>
            <w:bidi w:val="0"/>
            <w:spacing w:before="0" w:after="0"/>
            <w:ind w:left="-115"/>
            <w:jc w:val="left"/>
            <w:rPr>
              <w:rFonts w:ascii="Cambria" w:hAnsi="Cambria" w:eastAsia="Cambria" w:cs="Arial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eastAsia="Cambria" w:cs="Arial"/>
              <w:kern w:val="0"/>
              <w:sz w:val="24"/>
              <w:szCs w:val="24"/>
              <w:lang w:val="en-US" w:eastAsia="en-US" w:bidi="ar-SA"/>
            </w:rPr>
          </w:r>
        </w:p>
      </w:tc>
      <w:tc>
        <w:tcPr>
          <w:tcW w:w="3120" w:type="dxa"/>
          <w:tcBorders/>
        </w:tcPr>
        <w:p>
          <w:pPr>
            <w:pStyle w:val="Header"/>
            <w:widowControl/>
            <w:bidi w:val="0"/>
            <w:spacing w:before="0" w:after="0"/>
            <w:jc w:val="center"/>
            <w:rPr>
              <w:rFonts w:ascii="Cambria" w:hAnsi="Cambria" w:eastAsia="Cambria" w:cs="Arial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eastAsia="Cambria" w:cs="Arial"/>
              <w:kern w:val="0"/>
              <w:sz w:val="24"/>
              <w:szCs w:val="24"/>
              <w:lang w:val="en-US" w:eastAsia="en-US" w:bidi="ar-SA"/>
            </w:rPr>
          </w:r>
        </w:p>
      </w:tc>
      <w:tc>
        <w:tcPr>
          <w:tcW w:w="3120" w:type="dxa"/>
          <w:tcBorders/>
        </w:tcPr>
        <w:p>
          <w:pPr>
            <w:pStyle w:val="Header"/>
            <w:widowControl/>
            <w:bidi w:val="0"/>
            <w:spacing w:before="0" w:after="0"/>
            <w:ind w:right="-115"/>
            <w:jc w:val="right"/>
            <w:rPr>
              <w:rFonts w:ascii="Cambria" w:hAnsi="Cambria" w:eastAsia="Cambria" w:cs="Arial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eastAsia="Cambria" w:cs="Arial"/>
              <w:kern w:val="0"/>
              <w:sz w:val="24"/>
              <w:szCs w:val="24"/>
              <w:lang w:val="en-US" w:eastAsia="en-US" w:bidi="ar-SA"/>
            </w:rPr>
          </w:r>
        </w:p>
      </w:tc>
    </w:tr>
  </w:tbl>
  <w:p>
    <w:pPr>
      <w:pStyle w:val="Footer"/>
      <w:bidi w:val="0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TableNormal"/>
      <w:tblW w:w="9360" w:type="dxa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6a0" w:noHBand="1" w:noVBand="1" w:firstColumn="1" w:lastRow="0" w:lastColumn="0" w:firstRow="1"/>
    </w:tblPr>
    <w:tblGrid>
      <w:gridCol w:w="3120"/>
      <w:gridCol w:w="3120"/>
      <w:gridCol w:w="3120"/>
    </w:tblGrid>
    <w:tr>
      <w:trPr>
        <w:trHeight w:val="300" w:hRule="atLeast"/>
      </w:trPr>
      <w:tc>
        <w:tcPr>
          <w:tcW w:w="3120" w:type="dxa"/>
          <w:tcBorders/>
        </w:tcPr>
        <w:p>
          <w:pPr>
            <w:pStyle w:val="Header"/>
            <w:widowControl/>
            <w:bidi w:val="0"/>
            <w:spacing w:before="0" w:after="0"/>
            <w:ind w:left="-115"/>
            <w:jc w:val="left"/>
            <w:rPr>
              <w:rFonts w:ascii="Cambria" w:hAnsi="Cambria" w:eastAsia="Cambria" w:cs="Arial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eastAsia="Cambria" w:cs="Arial"/>
              <w:kern w:val="0"/>
              <w:sz w:val="24"/>
              <w:szCs w:val="24"/>
              <w:lang w:val="en-US" w:eastAsia="en-US" w:bidi="ar-SA"/>
            </w:rPr>
          </w:r>
        </w:p>
      </w:tc>
      <w:tc>
        <w:tcPr>
          <w:tcW w:w="3120" w:type="dxa"/>
          <w:tcBorders/>
        </w:tcPr>
        <w:p>
          <w:pPr>
            <w:pStyle w:val="Header"/>
            <w:widowControl/>
            <w:bidi w:val="0"/>
            <w:spacing w:before="0" w:after="0"/>
            <w:jc w:val="center"/>
            <w:rPr>
              <w:rFonts w:ascii="Cambria" w:hAnsi="Cambria" w:eastAsia="Cambria" w:cs="Arial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eastAsia="Cambria" w:cs="Arial"/>
              <w:kern w:val="0"/>
              <w:sz w:val="24"/>
              <w:szCs w:val="24"/>
              <w:lang w:val="en-US" w:eastAsia="en-US" w:bidi="ar-SA"/>
            </w:rPr>
          </w:r>
        </w:p>
      </w:tc>
      <w:tc>
        <w:tcPr>
          <w:tcW w:w="3120" w:type="dxa"/>
          <w:tcBorders/>
        </w:tcPr>
        <w:p>
          <w:pPr>
            <w:pStyle w:val="Header"/>
            <w:widowControl/>
            <w:bidi w:val="0"/>
            <w:spacing w:before="0" w:after="0"/>
            <w:ind w:right="-115"/>
            <w:jc w:val="right"/>
            <w:rPr>
              <w:rFonts w:ascii="Cambria" w:hAnsi="Cambria" w:eastAsia="Cambria" w:cs="Arial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eastAsia="Cambria" w:cs="Arial"/>
              <w:kern w:val="0"/>
              <w:sz w:val="24"/>
              <w:szCs w:val="24"/>
              <w:lang w:val="en-US" w:eastAsia="en-US" w:bidi="ar-SA"/>
            </w:rPr>
          </w:r>
        </w:p>
      </w:tc>
    </w:tr>
  </w:tbl>
  <w:p>
    <w:pPr>
      <w:pStyle w:val="Footer"/>
      <w:bidi w:val="0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TableNormal"/>
      <w:tblW w:w="9360" w:type="dxa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6a0" w:noHBand="1" w:noVBand="1" w:firstColumn="1" w:lastRow="0" w:lastColumn="0" w:firstRow="1"/>
    </w:tblPr>
    <w:tblGrid>
      <w:gridCol w:w="3120"/>
      <w:gridCol w:w="3120"/>
      <w:gridCol w:w="3120"/>
    </w:tblGrid>
    <w:tr>
      <w:trPr>
        <w:trHeight w:val="300" w:hRule="atLeast"/>
      </w:trPr>
      <w:tc>
        <w:tcPr>
          <w:tcW w:w="3120" w:type="dxa"/>
          <w:tcBorders/>
        </w:tcPr>
        <w:p>
          <w:pPr>
            <w:pStyle w:val="Header"/>
            <w:widowControl/>
            <w:bidi w:val="0"/>
            <w:spacing w:before="0" w:after="0"/>
            <w:ind w:left="-115"/>
            <w:jc w:val="left"/>
            <w:rPr>
              <w:rFonts w:ascii="Cambria" w:hAnsi="Cambria" w:eastAsia="Cambria" w:cs="Arial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eastAsia="Cambria" w:cs="Arial"/>
              <w:kern w:val="0"/>
              <w:sz w:val="24"/>
              <w:szCs w:val="24"/>
              <w:lang w:val="en-US" w:eastAsia="en-US" w:bidi="ar-SA"/>
            </w:rPr>
          </w:r>
        </w:p>
      </w:tc>
      <w:tc>
        <w:tcPr>
          <w:tcW w:w="3120" w:type="dxa"/>
          <w:tcBorders/>
        </w:tcPr>
        <w:p>
          <w:pPr>
            <w:pStyle w:val="Header"/>
            <w:widowControl/>
            <w:bidi w:val="0"/>
            <w:spacing w:before="0" w:after="0"/>
            <w:jc w:val="center"/>
            <w:rPr>
              <w:rFonts w:ascii="Cambria" w:hAnsi="Cambria" w:eastAsia="Cambria" w:cs="Arial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eastAsia="Cambria" w:cs="Arial"/>
              <w:kern w:val="0"/>
              <w:sz w:val="24"/>
              <w:szCs w:val="24"/>
              <w:lang w:val="en-US" w:eastAsia="en-US" w:bidi="ar-SA"/>
            </w:rPr>
          </w:r>
        </w:p>
      </w:tc>
      <w:tc>
        <w:tcPr>
          <w:tcW w:w="3120" w:type="dxa"/>
          <w:tcBorders/>
        </w:tcPr>
        <w:p>
          <w:pPr>
            <w:pStyle w:val="Header"/>
            <w:widowControl/>
            <w:bidi w:val="0"/>
            <w:spacing w:before="0" w:after="0"/>
            <w:ind w:right="-115"/>
            <w:jc w:val="right"/>
            <w:rPr>
              <w:rFonts w:ascii="Cambria" w:hAnsi="Cambria" w:eastAsia="Cambria" w:cs="Arial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eastAsia="Cambria" w:cs="Arial"/>
              <w:kern w:val="0"/>
              <w:sz w:val="24"/>
              <w:szCs w:val="24"/>
              <w:lang w:val="en-US" w:eastAsia="en-US" w:bidi="ar-SA"/>
            </w:rPr>
          </w:r>
        </w:p>
      </w:tc>
    </w:tr>
  </w:tbl>
  <w:p>
    <w:pPr>
      <w:pStyle w:val="Header"/>
      <w:bidi w:val="0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TableNormal"/>
      <w:tblW w:w="9360" w:type="dxa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6a0" w:noHBand="1" w:noVBand="1" w:firstColumn="1" w:lastRow="0" w:lastColumn="0" w:firstRow="1"/>
    </w:tblPr>
    <w:tblGrid>
      <w:gridCol w:w="3120"/>
      <w:gridCol w:w="3120"/>
      <w:gridCol w:w="3120"/>
    </w:tblGrid>
    <w:tr>
      <w:trPr>
        <w:trHeight w:val="300" w:hRule="atLeast"/>
      </w:trPr>
      <w:tc>
        <w:tcPr>
          <w:tcW w:w="3120" w:type="dxa"/>
          <w:tcBorders/>
        </w:tcPr>
        <w:p>
          <w:pPr>
            <w:pStyle w:val="Header"/>
            <w:widowControl/>
            <w:bidi w:val="0"/>
            <w:spacing w:before="0" w:after="0"/>
            <w:ind w:left="-115"/>
            <w:jc w:val="left"/>
            <w:rPr>
              <w:rFonts w:ascii="Cambria" w:hAnsi="Cambria" w:eastAsia="Cambria" w:cs="Arial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eastAsia="Cambria" w:cs="Arial"/>
              <w:kern w:val="0"/>
              <w:sz w:val="24"/>
              <w:szCs w:val="24"/>
              <w:lang w:val="en-US" w:eastAsia="en-US" w:bidi="ar-SA"/>
            </w:rPr>
          </w:r>
        </w:p>
      </w:tc>
      <w:tc>
        <w:tcPr>
          <w:tcW w:w="3120" w:type="dxa"/>
          <w:tcBorders/>
        </w:tcPr>
        <w:p>
          <w:pPr>
            <w:pStyle w:val="Header"/>
            <w:widowControl/>
            <w:bidi w:val="0"/>
            <w:spacing w:before="0" w:after="0"/>
            <w:jc w:val="center"/>
            <w:rPr>
              <w:rFonts w:ascii="Cambria" w:hAnsi="Cambria" w:eastAsia="Cambria" w:cs="Arial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eastAsia="Cambria" w:cs="Arial"/>
              <w:kern w:val="0"/>
              <w:sz w:val="24"/>
              <w:szCs w:val="24"/>
              <w:lang w:val="en-US" w:eastAsia="en-US" w:bidi="ar-SA"/>
            </w:rPr>
          </w:r>
        </w:p>
      </w:tc>
      <w:tc>
        <w:tcPr>
          <w:tcW w:w="3120" w:type="dxa"/>
          <w:tcBorders/>
        </w:tcPr>
        <w:p>
          <w:pPr>
            <w:pStyle w:val="Header"/>
            <w:widowControl/>
            <w:bidi w:val="0"/>
            <w:spacing w:before="0" w:after="0"/>
            <w:ind w:right="-115"/>
            <w:jc w:val="right"/>
            <w:rPr>
              <w:rFonts w:ascii="Cambria" w:hAnsi="Cambria" w:eastAsia="Cambria" w:cs="Arial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eastAsia="Cambria" w:cs="Arial"/>
              <w:kern w:val="0"/>
              <w:sz w:val="24"/>
              <w:szCs w:val="24"/>
              <w:lang w:val="en-US" w:eastAsia="en-US" w:bidi="ar-SA"/>
            </w:rPr>
          </w:r>
        </w:p>
      </w:tc>
    </w:tr>
  </w:tbl>
  <w:p>
    <w:pPr>
      <w:pStyle w:val="Header"/>
      <w:bidi w:val="0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numFmt w:val="bullet"/>
      <w:lvlText w:val="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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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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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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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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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3"/>
  </w:num>
  <w:num w:numId="7">
    <w:abstractNumId w:val="3"/>
  </w:num>
  <w:num w:numId="8">
    <w:abstractNumId w:val="3"/>
  </w:num>
  <w:num w:numId="9">
    <w:abstractNumId w:val="3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ja-JP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Arial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Cambria" w:hAnsi="Cambria" w:eastAsia="Cambria" w:cs="Arial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spacing w:before="480" w:after="0"/>
      <w:outlineLvl w:val="0"/>
    </w:pPr>
    <w:rPr>
      <w:rFonts w:ascii="Calibri" w:hAnsi="Calibri" w:eastAsia="ＭＳ ゴシック" w:cs="Times New Roman"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/>
      <w:spacing w:before="200" w:after="0"/>
      <w:outlineLvl w:val="1"/>
    </w:pPr>
    <w:rPr>
      <w:rFonts w:ascii="Calibri" w:hAnsi="Calibri" w:eastAsia="ＭＳ ゴシック" w:cs="Times New Roman"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/>
      <w:spacing w:before="200" w:after="0"/>
      <w:outlineLvl w:val="2"/>
    </w:pPr>
    <w:rPr>
      <w:rFonts w:ascii="Calibri" w:hAnsi="Calibri" w:eastAsia="ＭＳ ゴシック" w:cs="Times New Roman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/>
      <w:spacing w:before="200" w:after="0"/>
      <w:outlineLvl w:val="3"/>
    </w:pPr>
    <w:rPr>
      <w:rFonts w:ascii="Calibri" w:hAnsi="Calibri" w:eastAsia="ＭＳ ゴシック" w:cs="Times New Roman" w:asciiTheme="majorHAnsi" w:cstheme="majorBidi" w:eastAsiaTheme="majorEastAsia" w:hAnsiTheme="majorHAnsi"/>
      <w:bCs/>
      <w:i/>
      <w:color w:themeColor="accent1" w:val="4F81BD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ＭＳ ゴシック" w:cs="Times New Roman" w:asciiTheme="majorHAnsi" w:cstheme="majorBidi" w:eastAsiaTheme="majorEastAsia" w:hAnsiTheme="majorHAnsi"/>
      <w:iCs/>
      <w:color w:themeColor="accent1" w:val="4F81BD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ＭＳ ゴシック" w:cs="Times New Roman" w:asciiTheme="majorHAnsi" w:cstheme="majorBidi" w:eastAsiaTheme="majorEastAsia" w:hAnsiTheme="majorHAnsi"/>
      <w:color w:themeColor="accent1" w:val="4F81BD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ＭＳ ゴシック" w:cs="Times New Roman" w:asciiTheme="majorHAnsi" w:cstheme="majorBidi" w:eastAsiaTheme="majorEastAsia" w:hAnsiTheme="majorHAnsi"/>
      <w:color w:themeColor="accent1" w:val="4F81BD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ＭＳ ゴシック" w:cs="Times New Roman" w:asciiTheme="majorHAnsi" w:cstheme="majorBidi" w:eastAsiaTheme="majorEastAsia" w:hAnsiTheme="majorHAnsi"/>
      <w:color w:themeColor="accent1" w:val="4F81BD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ＭＳ ゴシック" w:cs="Times New Roman" w:asciiTheme="majorHAnsi" w:cstheme="majorBidi" w:eastAsiaTheme="majorEastAsia" w:hAnsiTheme="majorHAnsi"/>
      <w:color w:themeColor="accent1" w:val="4F81BD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CaptionChar" w:customStyle="1">
    <w:name w:val="Caption Char"/>
    <w:basedOn w:val="DefaultParagraphFont"/>
    <w:link w:val="Caption"/>
    <w:qFormat/>
    <w:rPr/>
  </w:style>
  <w:style w:type="character" w:styleId="VerbatimChar" w:customStyle="1">
    <w:name w:val="Verbatim Char"/>
    <w:basedOn w:val="CaptionChar"/>
    <w:link w:val="SourceCode"/>
    <w:qFormat/>
    <w:rPr>
      <w:rFonts w:ascii="Consolas" w:hAnsi="Consolas"/>
      <w:sz w:val="22"/>
    </w:rPr>
  </w:style>
  <w:style w:type="character" w:styleId="SectionNumber" w:customStyle="1">
    <w:name w:val="Section Number"/>
    <w:basedOn w:val="CaptionChar"/>
    <w:qFormat/>
    <w:rPr/>
  </w:style>
  <w:style w:type="character" w:styleId="FootnoteCharacters">
    <w:name w:val="Footnote Characters"/>
    <w:basedOn w:val="Caption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Caption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rFonts w:ascii="Consolas" w:hAnsi="Consolas"/>
      <w:b/>
      <w:color w:val="007020"/>
      <w:sz w:val="22"/>
    </w:rPr>
  </w:style>
  <w:style w:type="character" w:styleId="DataTypeTok" w:customStyle="1">
    <w:name w:val="DataTypeTok"/>
    <w:basedOn w:val="VerbatimChar"/>
    <w:qFormat/>
    <w:rPr>
      <w:rFonts w:ascii="Consolas" w:hAnsi="Consolas"/>
      <w:color w:val="902000"/>
      <w:sz w:val="22"/>
    </w:rPr>
  </w:style>
  <w:style w:type="character" w:styleId="DecValTok" w:customStyle="1">
    <w:name w:val="DecValTok"/>
    <w:basedOn w:val="VerbatimChar"/>
    <w:qFormat/>
    <w:rPr>
      <w:rFonts w:ascii="Consolas" w:hAnsi="Consolas"/>
      <w:color w:val="40A070"/>
      <w:sz w:val="22"/>
    </w:rPr>
  </w:style>
  <w:style w:type="character" w:styleId="BaseNTok" w:customStyle="1">
    <w:name w:val="BaseNTok"/>
    <w:basedOn w:val="VerbatimChar"/>
    <w:qFormat/>
    <w:rPr>
      <w:rFonts w:ascii="Consolas" w:hAnsi="Consolas"/>
      <w:color w:val="40A070"/>
      <w:sz w:val="22"/>
    </w:rPr>
  </w:style>
  <w:style w:type="character" w:styleId="FloatTok" w:customStyle="1">
    <w:name w:val="FloatTok"/>
    <w:basedOn w:val="VerbatimChar"/>
    <w:qFormat/>
    <w:rPr>
      <w:rFonts w:ascii="Consolas" w:hAnsi="Consolas"/>
      <w:color w:val="40A070"/>
      <w:sz w:val="22"/>
    </w:rPr>
  </w:style>
  <w:style w:type="character" w:styleId="ConstantTok" w:customStyle="1">
    <w:name w:val="ConstantTok"/>
    <w:basedOn w:val="VerbatimChar"/>
    <w:qFormat/>
    <w:rPr>
      <w:rFonts w:ascii="Consolas" w:hAnsi="Consolas"/>
      <w:color w:val="880000"/>
      <w:sz w:val="22"/>
    </w:rPr>
  </w:style>
  <w:style w:type="character" w:styleId="CharTok" w:customStyle="1">
    <w:name w:val="CharTok"/>
    <w:basedOn w:val="VerbatimChar"/>
    <w:qFormat/>
    <w:rPr>
      <w:rFonts w:ascii="Consolas" w:hAnsi="Consolas"/>
      <w:color w:val="4070A0"/>
      <w:sz w:val="22"/>
    </w:rPr>
  </w:style>
  <w:style w:type="character" w:styleId="SpecialCharTok" w:customStyle="1">
    <w:name w:val="SpecialCharTok"/>
    <w:basedOn w:val="VerbatimChar"/>
    <w:qFormat/>
    <w:rPr>
      <w:rFonts w:ascii="Consolas" w:hAnsi="Consolas"/>
      <w:color w:val="4070A0"/>
      <w:sz w:val="22"/>
    </w:rPr>
  </w:style>
  <w:style w:type="character" w:styleId="StringTok" w:customStyle="1">
    <w:name w:val="StringTok"/>
    <w:basedOn w:val="VerbatimChar"/>
    <w:qFormat/>
    <w:rPr>
      <w:rFonts w:ascii="Consolas" w:hAnsi="Consolas"/>
      <w:color w:val="4070A0"/>
      <w:sz w:val="22"/>
    </w:rPr>
  </w:style>
  <w:style w:type="character" w:styleId="VerbatimStringTok" w:customStyle="1">
    <w:name w:val="VerbatimStringTok"/>
    <w:basedOn w:val="VerbatimChar"/>
    <w:qFormat/>
    <w:rPr>
      <w:rFonts w:ascii="Consolas" w:hAnsi="Consolas"/>
      <w:color w:val="4070A0"/>
      <w:sz w:val="22"/>
    </w:rPr>
  </w:style>
  <w:style w:type="character" w:styleId="SpecialStringTok" w:customStyle="1">
    <w:name w:val="SpecialStringTok"/>
    <w:basedOn w:val="VerbatimChar"/>
    <w:qFormat/>
    <w:rPr>
      <w:rFonts w:ascii="Consolas" w:hAnsi="Consolas"/>
      <w:color w:val="BB6688"/>
      <w:sz w:val="22"/>
    </w:rPr>
  </w:style>
  <w:style w:type="character" w:styleId="ImportTok" w:customStyle="1">
    <w:name w:val="ImportTok"/>
    <w:basedOn w:val="VerbatimChar"/>
    <w:qFormat/>
    <w:rPr>
      <w:rFonts w:ascii="Consolas" w:hAnsi="Consolas"/>
      <w:b/>
      <w:color w:val="008000"/>
      <w:sz w:val="22"/>
    </w:rPr>
  </w:style>
  <w:style w:type="character" w:styleId="CommentTok" w:customStyle="1">
    <w:name w:val="CommentTok"/>
    <w:basedOn w:val="VerbatimChar"/>
    <w:qFormat/>
    <w:rPr>
      <w:rFonts w:ascii="Consolas" w:hAnsi="Consolas"/>
      <w:i/>
      <w:color w:val="60A0B0"/>
      <w:sz w:val="22"/>
    </w:rPr>
  </w:style>
  <w:style w:type="character" w:styleId="DocumentationTok" w:customStyle="1">
    <w:name w:val="DocumentationTok"/>
    <w:basedOn w:val="VerbatimChar"/>
    <w:qFormat/>
    <w:rPr>
      <w:rFonts w:ascii="Consolas" w:hAnsi="Consolas"/>
      <w:i/>
      <w:color w:val="BA2121"/>
      <w:sz w:val="22"/>
    </w:rPr>
  </w:style>
  <w:style w:type="character" w:styleId="AnnotationTok" w:customStyle="1">
    <w:name w:val="AnnotationTok"/>
    <w:basedOn w:val="VerbatimChar"/>
    <w:qFormat/>
    <w:rPr>
      <w:rFonts w:ascii="Consolas" w:hAnsi="Consolas"/>
      <w:b/>
      <w:i/>
      <w:color w:val="60A0B0"/>
      <w:sz w:val="22"/>
    </w:rPr>
  </w:style>
  <w:style w:type="character" w:styleId="CommentVarTok" w:customStyle="1">
    <w:name w:val="CommentVarTok"/>
    <w:basedOn w:val="VerbatimChar"/>
    <w:qFormat/>
    <w:rPr>
      <w:rFonts w:ascii="Consolas" w:hAnsi="Consolas"/>
      <w:b/>
      <w:i/>
      <w:color w:val="60A0B0"/>
      <w:sz w:val="22"/>
    </w:rPr>
  </w:style>
  <w:style w:type="character" w:styleId="OtherTok" w:customStyle="1">
    <w:name w:val="OtherTok"/>
    <w:basedOn w:val="VerbatimChar"/>
    <w:qFormat/>
    <w:rPr>
      <w:rFonts w:ascii="Consolas" w:hAnsi="Consolas"/>
      <w:color w:val="007020"/>
      <w:sz w:val="22"/>
    </w:rPr>
  </w:style>
  <w:style w:type="character" w:styleId="FunctionTok" w:customStyle="1">
    <w:name w:val="FunctionTok"/>
    <w:basedOn w:val="VerbatimChar"/>
    <w:qFormat/>
    <w:rPr>
      <w:rFonts w:ascii="Consolas" w:hAnsi="Consolas"/>
      <w:color w:val="06287E"/>
      <w:sz w:val="22"/>
    </w:rPr>
  </w:style>
  <w:style w:type="character" w:styleId="VariableTok" w:customStyle="1">
    <w:name w:val="VariableTok"/>
    <w:basedOn w:val="VerbatimChar"/>
    <w:qFormat/>
    <w:rPr>
      <w:rFonts w:ascii="Consolas" w:hAnsi="Consolas"/>
      <w:color w:val="19177C"/>
      <w:sz w:val="22"/>
    </w:rPr>
  </w:style>
  <w:style w:type="character" w:styleId="ControlFlowTok" w:customStyle="1">
    <w:name w:val="ControlFlowTok"/>
    <w:basedOn w:val="VerbatimChar"/>
    <w:qFormat/>
    <w:rPr>
      <w:rFonts w:ascii="Consolas" w:hAnsi="Consolas"/>
      <w:b/>
      <w:color w:val="007020"/>
      <w:sz w:val="22"/>
    </w:rPr>
  </w:style>
  <w:style w:type="character" w:styleId="OperatorTok" w:customStyle="1">
    <w:name w:val="OperatorTok"/>
    <w:basedOn w:val="VerbatimChar"/>
    <w:qFormat/>
    <w:rPr>
      <w:rFonts w:ascii="Consolas" w:hAnsi="Consolas"/>
      <w:color w:val="666666"/>
      <w:sz w:val="22"/>
    </w:rPr>
  </w:style>
  <w:style w:type="character" w:styleId="BuiltInTok" w:customStyle="1">
    <w:name w:val="BuiltInTok"/>
    <w:basedOn w:val="VerbatimChar"/>
    <w:qFormat/>
    <w:rPr>
      <w:rFonts w:ascii="Consolas" w:hAnsi="Consolas"/>
      <w:color w:val="008000"/>
      <w:sz w:val="22"/>
    </w:rPr>
  </w:style>
  <w:style w:type="character" w:styleId="ExtensionTok" w:customStyle="1">
    <w:name w:val="ExtensionTok"/>
    <w:basedOn w:val="VerbatimChar"/>
    <w:qFormat/>
    <w:rPr>
      <w:rFonts w:ascii="Consolas" w:hAnsi="Consolas"/>
      <w:sz w:val="22"/>
    </w:rPr>
  </w:style>
  <w:style w:type="character" w:styleId="PreprocessorTok" w:customStyle="1">
    <w:name w:val="PreprocessorTok"/>
    <w:basedOn w:val="VerbatimChar"/>
    <w:qFormat/>
    <w:rPr>
      <w:rFonts w:ascii="Consolas" w:hAnsi="Consolas"/>
      <w:color w:val="BC7A00"/>
      <w:sz w:val="22"/>
    </w:rPr>
  </w:style>
  <w:style w:type="character" w:styleId="AttributeTok" w:customStyle="1">
    <w:name w:val="AttributeTok"/>
    <w:basedOn w:val="VerbatimChar"/>
    <w:qFormat/>
    <w:rPr>
      <w:rFonts w:ascii="Consolas" w:hAnsi="Consolas"/>
      <w:color w:val="7D9029"/>
      <w:sz w:val="22"/>
    </w:rPr>
  </w:style>
  <w:style w:type="character" w:styleId="RegionMarkerTok" w:customStyle="1">
    <w:name w:val="RegionMarkerTok"/>
    <w:basedOn w:val="VerbatimChar"/>
    <w:qFormat/>
    <w:rPr>
      <w:rFonts w:ascii="Consolas" w:hAnsi="Consolas"/>
      <w:sz w:val="22"/>
    </w:rPr>
  </w:style>
  <w:style w:type="character" w:styleId="InformationTok" w:customStyle="1">
    <w:name w:val="InformationTok"/>
    <w:basedOn w:val="VerbatimChar"/>
    <w:qFormat/>
    <w:rPr>
      <w:rFonts w:ascii="Consolas" w:hAnsi="Consolas"/>
      <w:b/>
      <w:i/>
      <w:color w:val="60A0B0"/>
      <w:sz w:val="22"/>
    </w:rPr>
  </w:style>
  <w:style w:type="character" w:styleId="WarningTok" w:customStyle="1">
    <w:name w:val="WarningTok"/>
    <w:basedOn w:val="VerbatimChar"/>
    <w:qFormat/>
    <w:rPr>
      <w:rFonts w:ascii="Consolas" w:hAnsi="Consolas"/>
      <w:b/>
      <w:i/>
      <w:color w:val="60A0B0"/>
      <w:sz w:val="22"/>
    </w:rPr>
  </w:style>
  <w:style w:type="character" w:styleId="AlertTok" w:customStyle="1">
    <w:name w:val="AlertTok"/>
    <w:basedOn w:val="VerbatimChar"/>
    <w:qFormat/>
    <w:rPr>
      <w:rFonts w:ascii="Consolas" w:hAnsi="Consolas"/>
      <w:b/>
      <w:color w:val="FF0000"/>
      <w:sz w:val="22"/>
    </w:rPr>
  </w:style>
  <w:style w:type="character" w:styleId="ErrorTok" w:customStyle="1">
    <w:name w:val="ErrorTok"/>
    <w:basedOn w:val="VerbatimChar"/>
    <w:qFormat/>
    <w:rPr>
      <w:rFonts w:ascii="Consolas" w:hAnsi="Consolas"/>
      <w:b/>
      <w:color w:val="FF0000"/>
      <w:sz w:val="22"/>
    </w:rPr>
  </w:style>
  <w:style w:type="character" w:styleId="NormalTok" w:customStyle="1">
    <w:name w:val="NormalTok"/>
    <w:basedOn w:val="VerbatimChar"/>
    <w:qFormat/>
    <w:rPr>
      <w:rFonts w:ascii="Consolas" w:hAnsi="Consolas"/>
      <w:sz w:val="2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qFormat/>
    <w:pPr>
      <w:spacing w:before="180" w:after="18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link w:val="Caption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qFormat/>
    <w:pPr>
      <w:keepNext w:val="true"/>
      <w:keepLines/>
      <w:spacing w:before="480" w:after="240"/>
      <w:jc w:val="center"/>
    </w:pPr>
    <w:rPr>
      <w:rFonts w:ascii="Calibri" w:hAnsi="Calibri" w:eastAsia="ＭＳ ゴシック" w:cs="Times New Roman"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 w:after="240"/>
    </w:pPr>
    <w:rPr>
      <w:sz w:val="30"/>
      <w:szCs w:val="30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Arial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Arial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color w:val="345A8A"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FootnoteBlockText" w:customStyle="1">
    <w:name w:val="Footnote Block Text"/>
    <w:uiPriority w:val="9"/>
    <w:unhideWhenUsed/>
    <w:qFormat/>
    <w:pPr>
      <w:widowControl/>
      <w:bidi w:val="0"/>
      <w:spacing w:before="100" w:after="100"/>
      <w:ind w:left="480" w:right="480"/>
      <w:jc w:val="left"/>
    </w:pPr>
    <w:rPr>
      <w:rFonts w:ascii="Cambria" w:hAnsi="Cambria" w:eastAsia="Cambria" w:cs="Arial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0"/>
      <w:outlineLvl w:val="9"/>
    </w:pPr>
    <w:rPr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uiPriority w:val="99"/>
    <w:unhideWhenUsed/>
    <w:rsid w:val="7c6ada5b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uiPriority w:val="99"/>
    <w:unhideWhenUsed/>
    <w:rsid w:val="7c6ada5b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ListParagraph">
    <w:name w:val="List Paragraph"/>
    <w:basedOn w:val="Normal"/>
    <w:uiPriority w:val="34"/>
    <w:qFormat/>
    <w:rsid w:val="7c6ada5b"/>
    <w:pPr>
      <w:spacing w:before="0" w:after="200"/>
      <w:ind w:left="720"/>
      <w:contextualSpacing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LibreOffice/24.2.7.2$Linux_X86_64 LibreOffice_project/420$Build-2</Application>
  <AppVersion>15.0000</AppVersion>
  <Pages>4</Pages>
  <Words>466</Words>
  <Characters>2438</Characters>
  <CharactersWithSpaces>2813</CharactersWithSpaces>
  <Paragraphs>90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2026-01-06T15:46:00Z</dcterms:created>
  <dc:creator/>
  <dc:description/>
  <dc:language>en-US</dc:language>
  <cp:lastModifiedBy/>
  <dcterms:modified xsi:type="dcterms:W3CDTF">2026-01-10T12:27:09Z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