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ДОКУМЕНТАЦИЯ ПО РЕШЕНИЮ</w:t>
      </w:r>
    </w:p>
    <w:p>
      <w:pPr>
        <w:jc w:val="center"/>
      </w:pPr>
      <w:r>
        <w:rPr>
          <w:rFonts w:ascii="Arial" w:hAnsi="Arial"/>
          <w:i/>
          <w:sz w:val="26"/>
        </w:rPr>
        <w:t>Система прогнозирования трудоёмкости сборки электрошкафов управления (ШАУ)</w:t>
      </w:r>
    </w:p>
    <w:p>
      <w:pPr>
        <w:jc w:val="center"/>
      </w:pPr>
      <w:r>
        <w:rPr>
          <w:rFonts w:ascii="Arial" w:hAnsi="Arial"/>
          <w:color w:val="595959"/>
          <w:sz w:val="18"/>
        </w:rPr>
        <w:t>Версия 1.0  ·  Параметрическая модель + парсер спецификаций + ML-слой</w:t>
      </w:r>
    </w:p>
    <w:p/>
    <w:p>
      <w:pPr>
        <w:pStyle w:val="Heading2"/>
      </w:pPr>
      <w:r>
        <w:rPr>
          <w:rFonts w:ascii="Arial" w:hAnsi="Arial"/>
          <w:color w:val="1F4E79"/>
        </w:rPr>
        <w:t>Содержание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1. Назначение и состав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2. Архитектура решения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3. Состав поставки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4. Установка и требования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5. Слой B. Парсер спецификаций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6. Слой A. Калькулятор норм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7. Слой C. ML-модель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8. Типовой сценарий работы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9. Адаптация и сопровождение</w:t>
      </w:r>
    </w:p>
    <w:p>
      <w:pPr>
        <w:spacing w:after="40"/>
      </w:pPr>
      <w:r>
        <w:rPr>
          <w:rFonts w:ascii="Arial" w:hAnsi="Arial"/>
          <w:b w:val="0"/>
          <w:i w:val="0"/>
          <w:sz w:val="20"/>
        </w:rPr>
        <w:t>10. Дорожная карта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Назначение и состав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Система прогнозирует трудоёмкость сборки и базовой пусконаладки электрических шкафов управления (ШАУ) в нормо-часах на основе спецификации (BOM) и параметров проекта. Решение покрывает весь цикл: от автоматического извлечения признаков из проектной документации до расчёта трудоёмкости и последующего обучения ML-модели на фактических часах из 1С.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Решение реализовано как три независимых, но взаимодополняющих слоя. Это позволяет получить рабочий инструмент сразу (не дожидаясь накопления данных) и наращивать точность по мере сбора фактических часов.</w:t>
      </w:r>
    </w:p>
    <w:p>
      <w:pPr>
        <w:pStyle w:val="Heading1"/>
      </w:pPr>
      <w:r>
        <w:rPr>
          <w:rFonts w:ascii="Arial" w:hAnsi="Arial"/>
          <w:color w:val="1F4E79"/>
        </w:rPr>
        <w:t>2. Архитектура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Когда работает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A. Параметрическая модель</w:t>
            </w:r>
          </w:p>
        </w:tc>
        <w:tc>
          <w:tcPr>
            <w:tcW w:type="dxa" w:w="2721"/>
          </w:tcPr>
          <w:p>
            <w:r>
              <w:rPr>
                <w:rFonts w:ascii="Arial" w:hAnsi="Arial"/>
                <w:sz w:val="19"/>
              </w:rPr>
              <w:t>Калькулятор норм по эвристикам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9"/>
              </w:rPr>
              <w:t>Калькулятор_норм_ШАУ.xlsx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с первого дня, без данных</w:t>
            </w:r>
          </w:p>
        </w:tc>
      </w:tr>
      <w:tr>
        <w:tc>
          <w:tcPr>
            <w:tcW w:type="dxa" w:w="1814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B. Извлечение признаков</w:t>
            </w:r>
          </w:p>
        </w:tc>
        <w:tc>
          <w:tcPr>
            <w:tcW w:type="dxa" w:w="272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Парсер спецификаций (BOM → признаки)</w:t>
            </w:r>
          </w:p>
        </w:tc>
        <w:tc>
          <w:tcPr>
            <w:tcW w:type="dxa" w:w="238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parse_spec.py</w:t>
            </w:r>
          </w:p>
        </w:tc>
        <w:tc>
          <w:tcPr>
            <w:tcW w:type="dxa" w:w="2268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с первого дня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9"/>
              </w:rPr>
              <w:t>C. ML-модель</w:t>
            </w:r>
          </w:p>
        </w:tc>
        <w:tc>
          <w:tcPr>
            <w:tcW w:type="dxa" w:w="2721"/>
          </w:tcPr>
          <w:p>
            <w:r>
              <w:rPr>
                <w:rFonts w:ascii="Arial" w:hAnsi="Arial"/>
                <w:sz w:val="19"/>
              </w:rPr>
              <w:t>Градиентный бустинг (план)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9"/>
              </w:rPr>
              <w:t>— (этап 3)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при ~150+ проектов с факт-часами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/>
          <w:sz w:val="20"/>
        </w:rPr>
        <w:t>Логика взаимодействия: парсер (B) превращает документацию в вектор признаков; калькулятор (A) сразу даёт оценку и служит baseline; ML-модель (C) обучается на остатках — учит поправку к оценке слоя A по фактическим данным.</w:t>
      </w:r>
    </w:p>
    <w:p>
      <w:pPr>
        <w:pStyle w:val="Heading1"/>
      </w:pPr>
      <w:r>
        <w:rPr>
          <w:rFonts w:ascii="Arial" w:hAnsi="Arial"/>
          <w:color w:val="1F4E79"/>
        </w:rPr>
        <w:t>3. Состав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19"/>
              </w:rPr>
              <w:t>parse_spec.py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19"/>
              </w:rPr>
              <w:t>Парсер PDF/EPLAN-экспорта → вектор признаков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features_example.json</w:t>
            </w:r>
          </w:p>
        </w:tc>
        <w:tc>
          <w:tcPr>
            <w:tcW w:type="dxa" w:w="5669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Пример извлечённого вектора (эталонный шкаф)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19"/>
              </w:rPr>
              <w:t>Калькулятор_норм_ШАУ.xlsx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19"/>
              </w:rPr>
              <w:t>Параметрический калькулятор трудоёмкости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Техническое_решение_ШАУ.docx</w:t>
            </w:r>
          </w:p>
        </w:tc>
        <w:tc>
          <w:tcPr>
            <w:tcW w:type="dxa" w:w="5669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Ответ на ТЗ: архитектура, этапы, критерии приёмки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sz w:val="19"/>
              </w:rPr>
              <w:t>README.md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19"/>
              </w:rPr>
              <w:t>Техническая документация рядом с кодом</w:t>
            </w:r>
          </w:p>
        </w:tc>
      </w:tr>
      <w:tr>
        <w:tc>
          <w:tcPr>
            <w:tcW w:type="dxa" w:w="3515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Документация_по_решению_ШАУ.docx</w:t>
            </w:r>
          </w:p>
        </w:tc>
        <w:tc>
          <w:tcPr>
            <w:tcW w:type="dxa" w:w="5669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Настоящий документ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  <w:color w:val="1F4E79"/>
        </w:rPr>
        <w:t>4. Установка и требования</w:t>
      </w:r>
    </w:p>
    <w:p>
      <w:pPr>
        <w:pStyle w:val="ListBullet"/>
      </w:pPr>
      <w:r>
        <w:rPr>
          <w:rFonts w:ascii="Arial" w:hAnsi="Arial"/>
          <w:sz w:val="22"/>
        </w:rPr>
        <w:t>Python 3.9 и новее.</w:t>
      </w:r>
    </w:p>
    <w:p>
      <w:pPr>
        <w:pStyle w:val="ListBullet"/>
      </w:pPr>
      <w:r>
        <w:rPr>
          <w:rFonts w:ascii="Arial" w:hAnsi="Arial"/>
          <w:sz w:val="22"/>
        </w:rPr>
        <w:t>Библиотека pdfplumber.</w:t>
      </w:r>
    </w:p>
    <w:p>
      <w:pPr>
        <w:pStyle w:val="ListBullet"/>
      </w:pPr>
      <w:r>
        <w:rPr>
          <w:rFonts w:ascii="Arial" w:hAnsi="Arial"/>
          <w:sz w:val="22"/>
        </w:rPr>
        <w:t>Microsoft Excel или LibreOffice — для калькулятора.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Установка зависимости парсера:</w:t>
      </w:r>
    </w:p>
    <w:p>
      <w:pPr>
        <w:spacing w:after="160"/>
        <w:ind w:left="227"/>
        <w:shd w:val="clear" w:fill="F2F2F2"/>
      </w:pPr>
      <w:r>
        <w:rPr>
          <w:rFonts w:ascii="Consolas" w:hAnsi="Consolas"/>
          <w:sz w:val="19"/>
        </w:rPr>
        <w:t>pip install pdfplumber</w:t>
      </w:r>
    </w:p>
    <w:p>
      <w:pPr>
        <w:pStyle w:val="Heading1"/>
      </w:pPr>
      <w:r>
        <w:rPr>
          <w:rFonts w:ascii="Arial" w:hAnsi="Arial"/>
          <w:color w:val="1F4E79"/>
        </w:rPr>
        <w:t>5. Слой B. Парсер спецификаций (parse_spec.py)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Извлекает из проектной документации (PDF-экспорт EPLAN или аналогичной CAD-системы) плоский вектор признаков согласно разделу 2 ТЗ.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Команды запуска:</w:t>
      </w:r>
    </w:p>
    <w:p>
      <w:pPr>
        <w:spacing w:after="160"/>
        <w:ind w:left="227"/>
        <w:shd w:val="clear" w:fill="F2F2F2"/>
      </w:pPr>
      <w:r>
        <w:rPr>
          <w:rFonts w:ascii="Consolas" w:hAnsi="Consolas"/>
          <w:sz w:val="19"/>
        </w:rPr>
        <w:t>python3 parse_spec.py "spec.pdf"                  # вектор признаков в консоль</w:t>
        <w:br/>
        <w:t>python3 parse_spec.py "spec.pdf" --bom            # + распознанные строки BOM</w:t>
        <w:br/>
        <w:t>python3 parse_spec.py "spec.pdf" --json out.json  # + сохранить в JSON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Что и откуда извлекается: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в документе</w:t>
            </w:r>
          </w:p>
        </w:tc>
        <w:tc>
          <w:tcPr>
            <w:tcW w:type="dxa" w:w="5783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Извлекаемые признаки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9"/>
              </w:rPr>
              <w:t>Спецификация (BOM)</w:t>
            </w:r>
          </w:p>
        </w:tc>
        <w:tc>
          <w:tcPr>
            <w:tcW w:type="dxa" w:w="5783"/>
          </w:tcPr>
          <w:p>
            <w:r>
              <w:rPr>
                <w:rFonts w:ascii="Arial" w:hAnsi="Arial"/>
                <w:sz w:val="19"/>
              </w:rPr>
              <w:t>количество аппаратов по категориям, тип/габариты корпуса, IP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Схема расположения</w:t>
            </w:r>
          </w:p>
        </w:tc>
        <w:tc>
          <w:tcPr>
            <w:tcW w:type="dxa" w:w="5783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число и диаметр отверстий ввода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9"/>
              </w:rPr>
              <w:t>Таблица клемм</w:t>
            </w:r>
          </w:p>
        </w:tc>
        <w:tc>
          <w:tcPr>
            <w:tcW w:type="dxa" w:w="5783"/>
          </w:tcPr>
          <w:p>
            <w:r>
              <w:rPr>
                <w:rFonts w:ascii="Arial" w:hAnsi="Arial"/>
                <w:sz w:val="19"/>
              </w:rPr>
              <w:t>аналоговые цепи, количество клемм</w:t>
            </w:r>
          </w:p>
        </w:tc>
      </w:tr>
      <w:tr>
        <w:tc>
          <w:tcPr>
            <w:tcW w:type="dxa" w:w="3402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Схема электрическая</w:t>
            </w:r>
          </w:p>
        </w:tc>
        <w:tc>
          <w:tcPr>
            <w:tcW w:type="dxa" w:w="5783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интерфейсы (Ethernet/RS-485/Modbus)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Состав вектора признаков (фрагмент):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555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sz w:val="19"/>
              </w:rPr>
              <w:t>ip_rating</w:t>
            </w:r>
          </w:p>
        </w:tc>
        <w:tc>
          <w:tcPr>
            <w:tcW w:type="dxa" w:w="5556"/>
          </w:tcPr>
          <w:p>
            <w:r>
              <w:rPr>
                <w:rFonts w:ascii="Arial" w:hAnsi="Arial"/>
                <w:sz w:val="19"/>
              </w:rPr>
              <w:t>степень защиты (IP21/54/65/66)</w:t>
            </w:r>
          </w:p>
        </w:tc>
      </w:tr>
      <w:tr>
        <w:tc>
          <w:tcPr>
            <w:tcW w:type="dxa" w:w="3628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width_mm / height_mm / depth_mm</w:t>
            </w:r>
          </w:p>
        </w:tc>
        <w:tc>
          <w:tcPr>
            <w:tcW w:type="dxa" w:w="555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габариты корпуса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sz w:val="19"/>
              </w:rPr>
              <w:t>mount_panel / din_inclined</w:t>
            </w:r>
          </w:p>
        </w:tc>
        <w:tc>
          <w:tcPr>
            <w:tcW w:type="dxa" w:w="5556"/>
          </w:tcPr>
          <w:p>
            <w:r>
              <w:rPr>
                <w:rFonts w:ascii="Arial" w:hAnsi="Arial"/>
                <w:sz w:val="19"/>
              </w:rPr>
              <w:t>монтажная панель / наклонная DIN-рейка</w:t>
            </w:r>
          </w:p>
        </w:tc>
      </w:tr>
      <w:tr>
        <w:tc>
          <w:tcPr>
            <w:tcW w:type="dxa" w:w="3628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cable_entries</w:t>
            </w:r>
          </w:p>
        </w:tc>
        <w:tc>
          <w:tcPr>
            <w:tcW w:type="dxa" w:w="555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число кабельных вводов (+ детализация по Ø)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sz w:val="19"/>
              </w:rPr>
              <w:t>breakers_le63 / load_switches</w:t>
            </w:r>
          </w:p>
        </w:tc>
        <w:tc>
          <w:tcPr>
            <w:tcW w:type="dxa" w:w="5556"/>
          </w:tcPr>
          <w:p>
            <w:r>
              <w:rPr>
                <w:rFonts w:ascii="Arial" w:hAnsi="Arial"/>
                <w:sz w:val="19"/>
              </w:rPr>
              <w:t>автоматы до 63 А / выключатели нагрузки</w:t>
            </w:r>
          </w:p>
        </w:tc>
      </w:tr>
      <w:tr>
        <w:tc>
          <w:tcPr>
            <w:tcW w:type="dxa" w:w="3628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freq_converters / soft_starters</w:t>
            </w:r>
          </w:p>
        </w:tc>
        <w:tc>
          <w:tcPr>
            <w:tcW w:type="dxa" w:w="555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преобразователи частоты / УПП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sz w:val="19"/>
              </w:rPr>
              <w:t>plc / hmi</w:t>
            </w:r>
          </w:p>
        </w:tc>
        <w:tc>
          <w:tcPr>
            <w:tcW w:type="dxa" w:w="5556"/>
          </w:tcPr>
          <w:p>
            <w:r>
              <w:rPr>
                <w:rFonts w:ascii="Arial" w:hAnsi="Arial"/>
                <w:sz w:val="19"/>
              </w:rPr>
              <w:t>ПЛК / HMI-панели</w:t>
            </w:r>
          </w:p>
        </w:tc>
      </w:tr>
      <w:tr>
        <w:tc>
          <w:tcPr>
            <w:tcW w:type="dxa" w:w="3628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relays / phase_relays</w:t>
            </w:r>
          </w:p>
        </w:tc>
        <w:tc>
          <w:tcPr>
            <w:tcW w:type="dxa" w:w="555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промежуточные реле / реле контроля фаз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sz w:val="19"/>
              </w:rPr>
              <w:t>analog_4_20mA / analog_0_10V</w:t>
            </w:r>
          </w:p>
        </w:tc>
        <w:tc>
          <w:tcPr>
            <w:tcW w:type="dxa" w:w="5556"/>
          </w:tcPr>
          <w:p>
            <w:r>
              <w:rPr>
                <w:rFonts w:ascii="Arial" w:hAnsi="Arial"/>
                <w:sz w:val="19"/>
              </w:rPr>
              <w:t>аналоговые цепи</w:t>
            </w:r>
          </w:p>
        </w:tc>
      </w:tr>
      <w:tr>
        <w:tc>
          <w:tcPr>
            <w:tcW w:type="dxa" w:w="3628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interfaces</w:t>
            </w:r>
          </w:p>
        </w:tc>
        <w:tc>
          <w:tcPr>
            <w:tcW w:type="dxa" w:w="555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Ethernet / RS-485 / Modbus / Profibus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sz w:val="19"/>
              </w:rPr>
              <w:t>terminals / fuse_holders</w:t>
            </w:r>
          </w:p>
        </w:tc>
        <w:tc>
          <w:tcPr>
            <w:tcW w:type="dxa" w:w="5556"/>
          </w:tcPr>
          <w:p>
            <w:r>
              <w:rPr>
                <w:rFonts w:ascii="Arial" w:hAnsi="Arial"/>
                <w:sz w:val="19"/>
              </w:rPr>
              <w:t>клеммы / держатели предохранителей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Принцип распознавания:</w:t>
      </w:r>
    </w:p>
    <w:p>
      <w:pPr>
        <w:pStyle w:val="ListNumber"/>
      </w:pPr>
      <w:r>
        <w:rPr>
          <w:rFonts w:ascii="Arial" w:hAnsi="Arial"/>
          <w:sz w:val="22"/>
        </w:rPr>
        <w:t>Из BOM принимаются только строки спецификации (начинаются с номера позиции, заканчиваются «кол-во / заказной № / изготовитель») — это отсекает текст со схем.</w:t>
      </w:r>
    </w:p>
    <w:p>
      <w:pPr>
        <w:pStyle w:val="ListNumber"/>
      </w:pPr>
      <w:r>
        <w:rPr>
          <w:rFonts w:ascii="Arial" w:hAnsi="Arial"/>
          <w:sz w:val="22"/>
        </w:rPr>
        <w:t>Категоризация — по словарю ключевых слов; аксессуары (цоколь, скоба, изолятор) исключаются из счёта аппаратов.</w:t>
      </w:r>
    </w:p>
    <w:p>
      <w:pPr>
        <w:pStyle w:val="ListNumber"/>
      </w:pPr>
      <w:r>
        <w:rPr>
          <w:rFonts w:ascii="Arial" w:hAnsi="Arial"/>
          <w:sz w:val="22"/>
        </w:rPr>
        <w:t>Корпус, отверстия, аналоговые цепи и интерфейсы — по регулярным выражениям.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Ограничения:</w:t>
      </w:r>
    </w:p>
    <w:p>
      <w:pPr>
        <w:pStyle w:val="ListBullet"/>
      </w:pPr>
      <w:r>
        <w:rPr>
          <w:rFonts w:ascii="Arial" w:hAnsi="Arial"/>
          <w:sz w:val="22"/>
        </w:rPr>
        <w:t>analog_4_20mA оценивается по схеме и может завышаться; точное число — из таблицы клемм.</w:t>
      </w:r>
    </w:p>
    <w:p>
      <w:pPr>
        <w:pStyle w:val="ListBullet"/>
      </w:pPr>
      <w:r>
        <w:rPr>
          <w:rFonts w:ascii="Arial" w:hAnsi="Arial"/>
          <w:sz w:val="22"/>
        </w:rPr>
        <w:t>Качество разбора BOM зависит от структурированности PDF-экспорта.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6. Слой A. Калькулятор норм (Калькулятор_норм_ШАУ.xlsx)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Прозрачная параметрическая модель: трудоёмкость — это сумма нормативов по этапам сборки, умноженная на коэффициенты сложности.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Формула:</w:t>
      </w:r>
    </w:p>
    <w:p>
      <w:pPr>
        <w:spacing w:after="160"/>
        <w:ind w:left="227"/>
        <w:shd w:val="clear" w:fill="F2F2F2"/>
      </w:pPr>
      <w:r>
        <w:rPr>
          <w:rFonts w:ascii="Consolas" w:hAnsi="Consolas"/>
          <w:sz w:val="19"/>
        </w:rPr>
        <w:t>T = Мехобработка + Силовой_монтаж + Слаботочка + Клеммы_маркировка</w:t>
        <w:br/>
        <w:t xml:space="preserve">    + ПНР + Надбавка_IP66</w:t>
        <w:br/>
        <w:br/>
        <w:t>каждый этап = Σ( Кол-во признака × Норматив, ч/ед 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Структура листа:</w:t>
      </w:r>
    </w:p>
    <w:p>
      <w:pPr>
        <w:pStyle w:val="ListBullet"/>
      </w:pPr>
      <w:r>
        <w:rPr>
          <w:rFonts w:ascii="Arial" w:hAnsi="Arial"/>
          <w:sz w:val="22"/>
        </w:rPr>
        <w:t>Жёлтые ячейки (синий шрифт) — вводимые: количество признаков и нормативы.</w:t>
      </w:r>
    </w:p>
    <w:p>
      <w:pPr>
        <w:pStyle w:val="ListBullet"/>
      </w:pPr>
      <w:r>
        <w:rPr>
          <w:rFonts w:ascii="Arial" w:hAnsi="Arial"/>
          <w:sz w:val="22"/>
        </w:rPr>
        <w:t>Чёрные ячейки — формулы, подытоги этапов и итог.</w:t>
      </w:r>
    </w:p>
    <w:p>
      <w:pPr>
        <w:pStyle w:val="ListBullet"/>
      </w:pPr>
      <w:r>
        <w:rPr>
          <w:rFonts w:ascii="Arial" w:hAnsi="Arial"/>
          <w:sz w:val="22"/>
        </w:rPr>
        <w:t>Блок коэффициентов: надбавка IP66 (+30 %) и нелинейный каскад ПЧ.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Учёт нелинейностей (по §8 ТЗ):</w:t>
      </w:r>
    </w:p>
    <w:p>
      <w:pPr>
        <w:pStyle w:val="ListBullet"/>
      </w:pPr>
      <w:r>
        <w:rPr>
          <w:rFonts w:ascii="Arial" w:hAnsi="Arial"/>
          <w:sz w:val="22"/>
        </w:rPr>
        <w:t>Каскад ПЧ: при ≥2 ПЧ настройка по Modbus + ПЛК даёт 3 ч ПНР вместо n×0,5 ч.</w:t>
      </w:r>
    </w:p>
    <w:p>
      <w:pPr>
        <w:pStyle w:val="ListBullet"/>
      </w:pPr>
      <w:r>
        <w:rPr>
          <w:rFonts w:ascii="Arial" w:hAnsi="Arial"/>
          <w:sz w:val="22"/>
        </w:rPr>
        <w:t>IP66: +30 % к мехобработке (сальники, уплотнители).</w:t>
      </w:r>
    </w:p>
    <w:p>
      <w:pPr>
        <w:pStyle w:val="ListBullet"/>
      </w:pPr>
      <w:r>
        <w:rPr>
          <w:rFonts w:ascii="Arial" w:hAnsi="Arial"/>
          <w:sz w:val="22"/>
        </w:rPr>
        <w:t>Аналоговые цепи: отдельный норматив на экранирование, разделку и заземление.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Калибровка и проверка: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Нормативы подобраны так, чтобы эталонный (Anchor) шкаф попадал в диапазон 18–22 ч. По приложенному примеру калькулятор даёт результат: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Часы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1. Мехобработка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3,0</w:t>
            </w:r>
          </w:p>
        </w:tc>
      </w:tr>
      <w:tr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2. Монтаж силовой части</w:t>
            </w:r>
          </w:p>
        </w:tc>
        <w:tc>
          <w:tcPr>
            <w:tcW w:type="dxa" w:w="170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4,5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3. Монтаж слаботочки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3,4</w:t>
            </w:r>
          </w:p>
        </w:tc>
      </w:tr>
      <w:tr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4. Клеммники и маркировка</w:t>
            </w:r>
          </w:p>
        </w:tc>
        <w:tc>
          <w:tcPr>
            <w:tcW w:type="dxa" w:w="170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3,8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5. Пусконаладка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4,7</w:t>
            </w:r>
          </w:p>
        </w:tc>
      </w:tr>
      <w:tr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Надбавка IP66 (+30 %)</w:t>
            </w:r>
          </w:p>
        </w:tc>
        <w:tc>
          <w:tcPr>
            <w:tcW w:type="dxa" w:w="170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0,9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ИТОГО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20,3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/>
          <w:sz w:val="20"/>
        </w:rPr>
        <w:t>При внедрении нормативы уточняются по факт-часам из 1С — достаточно изменить значения в столбце «Норматив, ч/ед».</w:t>
      </w:r>
    </w:p>
    <w:p>
      <w:pPr>
        <w:pStyle w:val="Heading1"/>
      </w:pPr>
      <w:r>
        <w:rPr>
          <w:rFonts w:ascii="Arial" w:hAnsi="Arial"/>
          <w:color w:val="1F4E79"/>
        </w:rPr>
        <w:t>7. Слой C. ML-модель (план реализации)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Активируется при накоплении проектов с фактическими часами.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Алгоритм. </w:t>
      </w:r>
      <w:r>
        <w:rPr>
          <w:rFonts w:ascii="Arial" w:hAnsi="Arial"/>
          <w:sz w:val="22"/>
        </w:rPr>
        <w:t>Алгоритм: CatBoost / LightGBM (градиентный бустинг). На таблицах 150–500 строк превосходит нейросеть и нативно работает с категориями (IP, тип ПЛК).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Подход. </w:t>
      </w:r>
      <w:r>
        <w:rPr>
          <w:rFonts w:ascii="Arial" w:hAnsi="Arial"/>
          <w:sz w:val="22"/>
        </w:rPr>
        <w:t>Обучение на остатках: оценка слоя A подаётся как признак, модель учит поправку «факт − оценка». Это повышает устойчивость на малых данных.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Баланс. </w:t>
      </w:r>
      <w:r>
        <w:rPr>
          <w:rFonts w:ascii="Arial" w:hAnsi="Arial"/>
          <w:sz w:val="22"/>
        </w:rPr>
        <w:t>Дисбаланс: weighted loss для редких сложных шкафов (IP66, взрывозащита).</w:t>
      </w:r>
    </w:p>
    <w:p>
      <w:pPr>
        <w:pStyle w:val="ListNumber"/>
      </w:pPr>
      <w:r>
        <w:rPr>
          <w:rFonts w:ascii="Arial" w:hAnsi="Arial"/>
          <w:b/>
          <w:sz w:val="22"/>
        </w:rPr>
        <w:t xml:space="preserve">Метрики. </w:t>
      </w:r>
      <w:r>
        <w:rPr>
          <w:rFonts w:ascii="Arial" w:hAnsi="Arial"/>
          <w:sz w:val="22"/>
        </w:rPr>
        <w:t>Приёмка: MAE ≤ 10–15 %, R² ≥ 0,85, тест на Anchor 18–22 ч.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Конвейер данных:</w:t>
      </w:r>
    </w:p>
    <w:p>
      <w:pPr>
        <w:spacing w:after="160"/>
        <w:ind w:left="227"/>
        <w:shd w:val="clear" w:fill="F2F2F2"/>
      </w:pPr>
      <w:r>
        <w:rPr>
          <w:rFonts w:ascii="Consolas" w:hAnsi="Consolas"/>
          <w:sz w:val="19"/>
        </w:rPr>
        <w:t>Архив проектов (PDF/EPLAN) --parse_spec.py--&gt; Вектор признаков --+</w:t>
        <w:br/>
        <w:t xml:space="preserve">                                                                 +--&gt; Датасет</w:t>
        <w:br/>
        <w:t>Факт-часы из 1С (наряд-заказы) ----------------------------------+   (очистка)</w:t>
        <w:br/>
        <w:t xml:space="preserve">                                                                      |</w:t>
        <w:br/>
        <w:t xml:space="preserve">                                                       CatBoost --&gt; Прогноз, ч</w:t>
      </w:r>
    </w:p>
    <w:p>
      <w:pPr>
        <w:pStyle w:val="Heading1"/>
      </w:pPr>
      <w:r>
        <w:rPr>
          <w:rFonts w:ascii="Arial" w:hAnsi="Arial"/>
          <w:color w:val="1F4E79"/>
        </w:rPr>
        <w:t>8. Типовой сценарий работы</w:t>
      </w:r>
    </w:p>
    <w:p>
      <w:pPr>
        <w:pStyle w:val="ListNumber"/>
      </w:pPr>
      <w:r>
        <w:rPr>
          <w:rFonts w:ascii="Arial" w:hAnsi="Arial"/>
          <w:sz w:val="22"/>
        </w:rPr>
        <w:t>Извлечь признаки нового шкафа парсером:</w:t>
      </w:r>
    </w:p>
    <w:p>
      <w:pPr>
        <w:spacing w:after="160"/>
        <w:ind w:left="227"/>
        <w:shd w:val="clear" w:fill="F2F2F2"/>
      </w:pPr>
      <w:r>
        <w:rPr>
          <w:rFonts w:ascii="Consolas" w:hAnsi="Consolas"/>
          <w:sz w:val="19"/>
        </w:rPr>
        <w:t>python3 parse_spec.py "new_cabinet.pdf" --json new.json</w:t>
      </w:r>
    </w:p>
    <w:p>
      <w:pPr>
        <w:pStyle w:val="ListNumber"/>
      </w:pPr>
      <w:r>
        <w:rPr>
          <w:rFonts w:ascii="Arial" w:hAnsi="Arial"/>
          <w:sz w:val="22"/>
        </w:rPr>
        <w:t>Перенести значения в жёлтые ячейки калькулятора и получить оценку в нормо-часах (на слое C — подать new.json в обученную модель).</w:t>
      </w:r>
    </w:p>
    <w:p>
      <w:pPr>
        <w:pStyle w:val="Heading1"/>
      </w:pPr>
      <w:r>
        <w:rPr>
          <w:rFonts w:ascii="Arial" w:hAnsi="Arial"/>
          <w:color w:val="1F4E79"/>
        </w:rPr>
        <w:t>9. Адаптация и сопровождение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Парсер настраивается под номенклатуру предприятия без изменения логики — правкой двух словарей в начале parse_spec.py:</w:t>
      </w:r>
    </w:p>
    <w:p>
      <w:pPr>
        <w:spacing w:after="160"/>
        <w:ind w:left="227"/>
        <w:shd w:val="clear" w:fill="F2F2F2"/>
      </w:pPr>
      <w:r>
        <w:rPr>
          <w:rFonts w:ascii="Consolas" w:hAnsi="Consolas"/>
          <w:sz w:val="19"/>
        </w:rPr>
        <w:t>KEYWORDS = { "contactor": ["контактор","пускатель","кми","lc1", ...], ... }</w:t>
        <w:br/>
        <w:t>ACCESSORY = ["цоколь","скоба","изолятор", ...]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Для форматов, отличных от PDF (Excel, XML EPLAN), заменяется только функция загрузки текста build_features() — логика признаков переиспользуется. Нормативы калькулятора сопровождаются периодической перекалибровкой по факт-часам из 1С.</w:t>
      </w:r>
    </w:p>
    <w:p>
      <w:pPr>
        <w:pStyle w:val="Heading1"/>
      </w:pPr>
      <w:r>
        <w:rPr>
          <w:rFonts w:ascii="Arial" w:hAnsi="Arial"/>
          <w:color w:val="1F4E79"/>
        </w:rPr>
        <w:t>10.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Калькулятор + парсер (быстрый старт)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1–2 нед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Сбор и очистка данных (архив + факт-часы 1С)</w:t>
            </w:r>
          </w:p>
        </w:tc>
        <w:tc>
          <w:tcPr>
            <w:tcW w:type="dxa" w:w="170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2–3 нед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EDA и Feature Engineering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2 нед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6236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Обучение и валидация (CatBoost/LightGBM)</w:t>
            </w:r>
          </w:p>
        </w:tc>
        <w:tc>
          <w:tcPr>
            <w:tcW w:type="dxa" w:w="1701"/>
            <w:shd w:val="clear" w:color="auto" w:fill="EAF1F8"/>
          </w:tcPr>
          <w:p>
            <w:r>
              <w:rPr>
                <w:rFonts w:ascii="Arial" w:hAnsi="Arial"/>
                <w:sz w:val="19"/>
              </w:rPr>
              <w:t>3 нед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9"/>
              </w:rPr>
              <w:t>Интеграция и UI (веб-форма / плагин CAD)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2 нед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