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ТЕХНИЧЕСКОЕ РЕШЕНИЕ</w:t>
      </w:r>
    </w:p>
    <w:p>
      <w:pPr>
        <w:jc w:val="center"/>
      </w:pPr>
      <w:r>
        <w:rPr>
          <w:rFonts w:ascii="Arial" w:hAnsi="Arial"/>
          <w:i/>
          <w:sz w:val="26"/>
        </w:rPr>
        <w:t>Модель прогнозирования трудоёмкости сборки электрических шкафов управления (ШАУ)</w:t>
      </w:r>
    </w:p>
    <w:p>
      <w:pPr>
        <w:jc w:val="center"/>
      </w:pPr>
      <w:r>
        <w:rPr>
          <w:rFonts w:ascii="Arial" w:hAnsi="Arial"/>
          <w:color w:val="595959"/>
          <w:sz w:val="18"/>
        </w:rPr>
        <w:t>Ответ на ТЗ «Автоматическое нормирование ШАУ»  ·  Референс: ШАУ-В-380-33-004-54КЧ3-С (МЕГАТРОН)</w:t>
      </w:r>
    </w:p>
    <w:p/>
    <w:p>
      <w:pPr>
        <w:pStyle w:val="Heading1"/>
      </w:pPr>
      <w:r>
        <w:rPr>
          <w:rFonts w:ascii="Arial" w:hAnsi="Arial"/>
          <w:color w:val="1F4E79"/>
        </w:rPr>
        <w:t>1. Краткое резюме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Предлагается строить систему нормирования не как «чистую нейросеть», а как трёхслойное решение, которое даёт работающий инструмент с первого дня и развивается по мере накопления факт-часов: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Слой A — </w:t>
      </w:r>
      <w:r>
        <w:rPr>
          <w:rFonts w:ascii="Arial" w:hAnsi="Arial"/>
          <w:sz w:val="22"/>
        </w:rPr>
        <w:t>параметрический калькулятор норм на эвристиках §8 ТЗ (работает без датасета, откалиброван по эталону Anchor = 20 ч);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Слой B — </w:t>
      </w:r>
      <w:r>
        <w:rPr>
          <w:rFonts w:ascii="Arial" w:hAnsi="Arial"/>
          <w:sz w:val="22"/>
        </w:rPr>
        <w:t>автоматический парсер спецификаций (BOM/EPLAN-экспорт → вектор признаков), который снимает главное узкое место ТЗ — ручную разметку 500–1000 проектов;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Слой C — </w:t>
      </w:r>
      <w:r>
        <w:rPr>
          <w:rFonts w:ascii="Arial" w:hAnsi="Arial"/>
          <w:sz w:val="22"/>
        </w:rPr>
        <w:t>ML-модель на градиентном бустинге (CatBoost/LightGBM) поверх параметрической оценки, когда накоплены фактические часы из 1С.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Ключевой вывод по приложенному примеру: это и есть эталонный (Anchor) шкаф из ТЗ (3 насоса, 3 ПЧ 1,5 кВт INSTART, ПЛК ОВЕН ПР103, HMI 7", корпус IP66 800×600×300). Документ полностью структурирован, поэтому почти все признаки раздела 2 ТЗ извлекаются из него автоматически — это и доказывает реализуемость Слоя B.</w:t>
      </w:r>
    </w:p>
    <w:p>
      <w:pPr>
        <w:pStyle w:val="Heading1"/>
      </w:pPr>
      <w:r>
        <w:rPr>
          <w:rFonts w:ascii="Arial" w:hAnsi="Arial"/>
          <w:color w:val="1F4E79"/>
        </w:rPr>
        <w:t>2. Анализ ТЗ и приложенного примера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ТЗ ставит классическую задачу табличной регрессии: по спецификации и параметрам проекта спрогнозировать трудоёмкость сборки и базовой ПНР в нормо-часах. Главный риск ТЗ — не выбор модели, а данные: требование 500–1000 размеченных проектов для нейросети на старте нереалистично, а фактические часы из 1С почти всегда «грязные» (простои поставок, совмещение заказов).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Приложенный PDF — это экспорт проектной документации (схема, таблица клемм, схема расположения с числом отверстий, спецификация, перечень надписей). Такой документ машиночитаем: разработанный парсер уже извлёк из него полный вектор признаков (раздел 4).</w:t>
      </w:r>
    </w:p>
    <w:p>
      <w:pPr>
        <w:pStyle w:val="Heading1"/>
      </w:pPr>
      <w:r>
        <w:rPr>
          <w:rFonts w:ascii="Arial" w:hAnsi="Arial"/>
          <w:color w:val="1F4E79"/>
        </w:rPr>
        <w:t>3. Предлагаемая архитектура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294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Что это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Когда работает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Что решает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A. Параметрическая модель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sz w:val="20"/>
              </w:rPr>
              <w:t>Прозрачная формула: база + Σ(компонент×норматив) × коэффициенты (IP66, каскад ПЧ, аналоговые цепи)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20"/>
              </w:rPr>
              <w:t>С первого дня, без датасета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20"/>
              </w:rPr>
              <w:t>Рабочий инструмент сразу; baseline; авторазметка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B. Парсер спецификаций</w:t>
            </w:r>
          </w:p>
        </w:tc>
        <w:tc>
          <w:tcPr>
            <w:tcW w:type="dxa" w:w="2948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Скрипт BOM/EPLAN-экспорт → вектор признаков</w:t>
            </w:r>
          </w:p>
        </w:tc>
        <w:tc>
          <w:tcPr>
            <w:tcW w:type="dxa" w:w="1814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После настройки под номенклатуру</w:t>
            </w:r>
          </w:p>
        </w:tc>
        <w:tc>
          <w:tcPr>
            <w:tcW w:type="dxa" w:w="2608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Автосбор датасета из архива → факт-часы из 1С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C. ML-модель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sz w:val="20"/>
              </w:rPr>
              <w:t>CatBoost/LightGBM поверх оценки слоя A (обучение на остатках)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20"/>
              </w:rPr>
              <w:t>При наличии ~150+ проектов с факт-часами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20"/>
              </w:rPr>
              <w:t>Точность, учёт нелинейностей, веса для редких шкафов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/>
          <w:sz w:val="20"/>
        </w:rPr>
        <w:t>Почему бустинг, а не нейросеть: на таблицах в 150–500 строк CatBoost/LightGBM стабильно превосходят MLP, нативно работают с категориями (IP, тип ПЛК) и не требуют больших данных. Нейросеть из требований стоит отложить до накопления значимого объёма.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4. Разбор примера: автоматически извлечённый вектор признаков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Получено парсером parse_spec.py из приложенного PDF (демонстрация Слоя B):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515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Кластер / признак</w:t>
            </w:r>
          </w:p>
        </w:tc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515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 в документе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Тип защиты IP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sz w:val="20"/>
              </w:rPr>
              <w:t>IP66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Спецификация, поз. 0 (ЩМП DKC)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Габариты Ш×В×Г, мм</w:t>
            </w:r>
          </w:p>
        </w:tc>
        <w:tc>
          <w:tcPr>
            <w:tcW w:type="dxa" w:w="2041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800×600×300</w:t>
            </w:r>
          </w:p>
        </w:tc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Спецификация / схема расположения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Монтажная панель / наклонная DIN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sz w:val="20"/>
              </w:rPr>
              <w:t>да / да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«установить на наклонную DIN-рейку», л.9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Кабельные вводы (отверстия снизу)</w:t>
            </w:r>
          </w:p>
        </w:tc>
        <w:tc>
          <w:tcPr>
            <w:tcW w:type="dxa" w:w="2041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19 (4×Ø25 + 14×Ø20 + 1×Ø32)</w:t>
            </w:r>
          </w:p>
        </w:tc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Схема расположения, л.9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Автоматы до 63 А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sz w:val="20"/>
              </w:rPr>
              <w:t>5 (QF1-3, SF1-2)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Спецификация, поз. 15, 17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Выключатель нагрузки</w:t>
            </w:r>
          </w:p>
        </w:tc>
        <w:tc>
          <w:tcPr>
            <w:tcW w:type="dxa" w:w="2041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1 (QS1)</w:t>
            </w:r>
          </w:p>
        </w:tc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Спецификация, поз. 16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Преобразователи частоты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sz w:val="20"/>
              </w:rPr>
              <w:t>3 (UZ1-3, NCI 1,5 кВт)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Спецификация, поз. 18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ПЛК</w:t>
            </w:r>
          </w:p>
        </w:tc>
        <w:tc>
          <w:tcPr>
            <w:tcW w:type="dxa" w:w="2041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1 (ОВЕН ПР103)</w:t>
            </w:r>
          </w:p>
        </w:tc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Спецификация, поз. 4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HMI-панель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sz w:val="20"/>
              </w:rPr>
              <w:t>1 (EKF 7")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Спецификация, поз. 5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Реле промежуточные / контроля фаз</w:t>
            </w:r>
          </w:p>
        </w:tc>
        <w:tc>
          <w:tcPr>
            <w:tcW w:type="dxa" w:w="2041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3 / 1</w:t>
            </w:r>
          </w:p>
        </w:tc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Спецификация, поз. 9 / 12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Аналоговые цепи 4-20 мА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sz w:val="20"/>
              </w:rPr>
              <w:t>~6 контуров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Таблица клемм XT3/XT5.5, л.8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Сетевые интерфейсы</w:t>
            </w:r>
          </w:p>
        </w:tc>
        <w:tc>
          <w:tcPr>
            <w:tcW w:type="dxa" w:w="2041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Ethernet + RS-485 (Modbus RTU)</w:t>
            </w:r>
          </w:p>
        </w:tc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Схема, л.4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Клеммы Klemsan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sz w:val="20"/>
              </w:rPr>
              <w:t>~50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sz w:val="20"/>
              </w:rPr>
              <w:t>Спецификация, поз. 22-26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Держатели предохранителей</w:t>
            </w:r>
          </w:p>
        </w:tc>
        <w:tc>
          <w:tcPr>
            <w:tcW w:type="dxa" w:w="2041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Спецификация, поз. 19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color w:val="595959"/>
          <w:sz w:val="18"/>
        </w:rPr>
        <w:t>Примечание: число аналоговых контуров парсер оценивает по упоминаниям «4-20 мА» на схеме; точное значение берётся из таблицы клемм. Остальные признаки извлекаются однозначно из BOM.</w:t>
      </w:r>
    </w:p>
    <w:p>
      <w:pPr>
        <w:pStyle w:val="Heading1"/>
      </w:pPr>
      <w:r>
        <w:rPr>
          <w:rFonts w:ascii="Arial" w:hAnsi="Arial"/>
          <w:color w:val="1F4E79"/>
        </w:rPr>
        <w:t>5. Параметрическая модель и проверка по эталону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Калькулятор (Excel) рассчитывает трудоёмкость по этапам. Нормативы откалиброваны так, чтобы эталонный шкаф попадал в требуемый диапазон 18–22 ч. Результат по приложенному примеру: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Часы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1. Мехобработка (корпус, 19 вводов, DIN-рейки)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3,0</w:t>
            </w:r>
          </w:p>
        </w:tc>
      </w:tr>
      <w:tr>
        <w:tc>
          <w:tcPr>
            <w:tcW w:type="dxa" w:w="6236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2. Монтаж силовой части (автоматы, 3 ПЧ, БП, реле)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4,5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3. Монтаж слаботочки (ПЛК, HMI, 6 аналог. цепей, интерфейсы)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3,4</w:t>
            </w:r>
          </w:p>
        </w:tc>
      </w:tr>
      <w:tr>
        <w:tc>
          <w:tcPr>
            <w:tcW w:type="dxa" w:w="6236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4. Клеммники и маркировка (~50 клемм)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3,8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5. Пусконаладка (база + аналог + каскад 3 ПЧ по Modbus)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4,7</w:t>
            </w:r>
          </w:p>
        </w:tc>
      </w:tr>
      <w:tr>
        <w:tc>
          <w:tcPr>
            <w:tcW w:type="dxa" w:w="6236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Надбавка IP66 (+30% к мехобработке)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0,9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ИТОГО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20,3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sz w:val="20"/>
        </w:rPr>
        <w:t>Итог 20,3 ч укладывается в тест на Anchor-проекте (18–22 ч). Нелинейности учтены явно: каскад из 3 ПЧ по Modbus с привязкой к ПЛК даёт 3 ч ПНР вместо 3×0,5 ч; коэффициент IP66 +30% — согласно §8 ТЗ.</w:t>
      </w:r>
    </w:p>
    <w:p>
      <w:pPr>
        <w:pStyle w:val="Heading1"/>
      </w:pPr>
      <w:r>
        <w:rPr>
          <w:rFonts w:ascii="Arial" w:hAnsi="Arial"/>
          <w:color w:val="1F4E79"/>
        </w:rPr>
        <w:t>6. Рекомендуемые правки к ТЗ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Алгоритмы. </w:t>
      </w:r>
      <w:r>
        <w:rPr>
          <w:rFonts w:ascii="Arial" w:hAnsi="Arial"/>
          <w:sz w:val="22"/>
        </w:rPr>
        <w:t>Убрать/отложить нейросеть на старте: для табличной задачи приоритет — градиентный бустинг; нейросеть оправдана только при больших данных.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Датасет. </w:t>
      </w:r>
      <w:r>
        <w:rPr>
          <w:rFonts w:ascii="Arial" w:hAnsi="Arial"/>
          <w:sz w:val="22"/>
        </w:rPr>
        <w:t>Реалистичный объём данных: для бустинга достаточно 100–200 проектов; цель 500–1000 — для дальнего горизонта. Это снимает блокирующее требование.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Качество цели. </w:t>
      </w:r>
      <w:r>
        <w:rPr>
          <w:rFonts w:ascii="Arial" w:hAnsi="Arial"/>
          <w:sz w:val="22"/>
        </w:rPr>
        <w:t>Обязательный этап очистки факт-часов из 1С (отсев простоев поставки, нормализация по бригадам), иначе целевая переменная зашумлена.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Признаки. </w:t>
      </w:r>
      <w:r>
        <w:rPr>
          <w:rFonts w:ascii="Arial" w:hAnsi="Arial"/>
          <w:sz w:val="22"/>
        </w:rPr>
        <w:t>Зафиксировать парсер спецификаций как отдельный поставляемый модуль — он автоматизирует разметку и обеспечивает повторяемость признаков.</w:t>
      </w:r>
    </w:p>
    <w:p>
      <w:pPr>
        <w:pStyle w:val="Heading1"/>
      </w:pPr>
      <w:r>
        <w:rPr>
          <w:rFonts w:ascii="Arial" w:hAnsi="Arial"/>
          <w:color w:val="1F4E79"/>
        </w:rPr>
        <w:t>7. Этапы и сроки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442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sz w:val="20"/>
              </w:rPr>
              <w:t>0. Калькулятор + парсер (быстрый старт)</w:t>
            </w:r>
          </w:p>
        </w:tc>
        <w:tc>
          <w:tcPr>
            <w:tcW w:type="dxa" w:w="4422"/>
          </w:tcPr>
          <w:p>
            <w:r>
              <w:rPr>
                <w:rFonts w:ascii="Arial" w:hAnsi="Arial"/>
                <w:sz w:val="20"/>
              </w:rPr>
              <w:t>Параметрическая модель и парсер BOM — рабочий инструмент уже на этом этапе</w:t>
            </w:r>
          </w:p>
        </w:tc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1–2 нед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1. Сбор и очистка данных</w:t>
            </w:r>
          </w:p>
        </w:tc>
        <w:tc>
          <w:tcPr>
            <w:tcW w:type="dxa" w:w="4422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Выгрузка архива, парсинг спецификаций, сопоставление с факт-часами 1С, отсев выбросов</w:t>
            </w:r>
          </w:p>
        </w:tc>
        <w:tc>
          <w:tcPr>
            <w:tcW w:type="dxa" w:w="907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2–3 нед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sz w:val="20"/>
              </w:rPr>
              <w:t>2. EDA и Feature Engineering</w:t>
            </w:r>
          </w:p>
        </w:tc>
        <w:tc>
          <w:tcPr>
            <w:tcW w:type="dxa" w:w="4422"/>
          </w:tcPr>
          <w:p>
            <w:r>
              <w:rPr>
                <w:rFonts w:ascii="Arial" w:hAnsi="Arial"/>
                <w:sz w:val="20"/>
              </w:rPr>
              <w:t>Корреляции, составные признаки (плотность компоновки и т.п.)</w:t>
            </w:r>
          </w:p>
        </w:tc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2 нед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3. Обучение и валидация</w:t>
            </w:r>
          </w:p>
        </w:tc>
        <w:tc>
          <w:tcPr>
            <w:tcW w:type="dxa" w:w="4422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CatBoost/LightGBM, кросс-валидация, подбор гиперпараметров, weighted loss</w:t>
            </w:r>
          </w:p>
        </w:tc>
        <w:tc>
          <w:tcPr>
            <w:tcW w:type="dxa" w:w="907"/>
            <w:shd w:val="clear" w:color="auto" w:fill="EAF1F8"/>
          </w:tcPr>
          <w:p>
            <w:r>
              <w:rPr>
                <w:rFonts w:ascii="Arial" w:hAnsi="Arial"/>
                <w:sz w:val="20"/>
              </w:rPr>
              <w:t>3 нед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sz w:val="20"/>
              </w:rPr>
              <w:t>4. Интеграция и UI</w:t>
            </w:r>
          </w:p>
        </w:tc>
        <w:tc>
          <w:tcPr>
            <w:tcW w:type="dxa" w:w="4422"/>
          </w:tcPr>
          <w:p>
            <w:r>
              <w:rPr>
                <w:rFonts w:ascii="Arial" w:hAnsi="Arial"/>
                <w:sz w:val="20"/>
              </w:rPr>
              <w:t>Веб-форма/плагин: ввод параметров или загрузка спецификации → прогноз</w:t>
            </w:r>
          </w:p>
        </w:tc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2 нед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8. Критерии приёмки</w:t>
      </w:r>
    </w:p>
    <w:p>
      <w:pPr>
        <w:pStyle w:val="ListBullet"/>
      </w:pPr>
      <w:r>
        <w:rPr>
          <w:rFonts w:ascii="Arial" w:hAnsi="Arial"/>
          <w:sz w:val="22"/>
        </w:rPr>
        <w:t>MAE ≤ 10–15 % от фактического времени (для шкафа 20 ч — не более ±2,5 ч).</w:t>
      </w:r>
    </w:p>
    <w:p>
      <w:pPr>
        <w:pStyle w:val="ListBullet"/>
      </w:pPr>
      <w:r>
        <w:rPr>
          <w:rFonts w:ascii="Arial" w:hAnsi="Arial"/>
          <w:sz w:val="22"/>
        </w:rPr>
        <w:t>R² ≥ 0,85 на отложенной выборке.</w:t>
      </w:r>
    </w:p>
    <w:p>
      <w:pPr>
        <w:pStyle w:val="ListBullet"/>
      </w:pPr>
      <w:r>
        <w:rPr>
          <w:rFonts w:ascii="Arial" w:hAnsi="Arial"/>
          <w:sz w:val="22"/>
        </w:rPr>
        <w:t>Тест на Anchor-проекте: эталонный шкаф интерпретируется в диапазоне 18–22 ч (выполнено параметрической моделью: 20,3 ч).</w:t>
      </w:r>
    </w:p>
    <w:p>
      <w:pPr>
        <w:pStyle w:val="Heading1"/>
      </w:pPr>
      <w:r>
        <w:rPr>
          <w:rFonts w:ascii="Arial" w:hAnsi="Arial"/>
          <w:color w:val="1F4E79"/>
        </w:rPr>
        <w:t>9. Состав поставки (прилагается)</w:t>
      </w:r>
    </w:p>
    <w:p>
      <w:pPr>
        <w:pStyle w:val="ListBullet"/>
      </w:pPr>
      <w:r>
        <w:rPr>
          <w:rFonts w:ascii="Arial" w:hAnsi="Arial"/>
          <w:sz w:val="22"/>
        </w:rPr>
        <w:t>parse_spec.py — парсер спецификации (PDF/EPLAN-экспорт) → вектор признаков.</w:t>
      </w:r>
    </w:p>
    <w:p>
      <w:pPr>
        <w:pStyle w:val="ListBullet"/>
      </w:pPr>
      <w:r>
        <w:rPr>
          <w:rFonts w:ascii="Arial" w:hAnsi="Arial"/>
          <w:sz w:val="22"/>
        </w:rPr>
        <w:t>Калькулятор_норм_ШАУ.xlsx — параметрический калькулятор трудоёмкости, откалиброван по Anchor.</w:t>
      </w:r>
    </w:p>
    <w:p>
      <w:pPr>
        <w:pStyle w:val="ListBullet"/>
      </w:pPr>
      <w:r>
        <w:rPr>
          <w:rFonts w:ascii="Arial" w:hAnsi="Arial"/>
          <w:sz w:val="22"/>
        </w:rPr>
        <w:t>features_example.json — извлечённый вектор признаков приложенного примера.</w:t>
      </w:r>
    </w:p>
    <w:p>
      <w:pPr>
        <w:pStyle w:val="ListBullet"/>
      </w:pPr>
      <w:r>
        <w:rPr>
          <w:rFonts w:ascii="Arial" w:hAnsi="Arial"/>
          <w:sz w:val="22"/>
        </w:rPr>
        <w:t>Настоящий документ — техническое решение.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