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jc w:val="center"/>
      </w:pPr>
      <w:r>
        <w:rPr>
          <w:rFonts w:ascii="Arial" w:cs="Arial" w:eastAsia="Arial" w:hAnsi="Arial"/>
          <w:b/>
          <w:bCs/>
          <w:color w:val="2E4057"/>
          <w:sz w:val="36"/>
          <w:szCs w:val="36"/>
        </w:rPr>
        <w:t xml:space="preserve">Multi-Source Log Correlation for Intrusion Detection</w:t>
      </w:r>
    </w:p>
    <w:p>
      <w:pPr>
        <w:spacing w:before="0" w:after="120"/>
        <w:jc w:val="center"/>
      </w:pPr>
      <w:r>
        <w:rPr>
          <w:rFonts w:ascii="Arial" w:cs="Arial" w:eastAsia="Arial" w:hAnsi="Arial"/>
          <w:b/>
          <w:bCs/>
          <w:color w:val="2E4057"/>
          <w:sz w:val="36"/>
          <w:szCs w:val="36"/>
        </w:rPr>
        <w:t xml:space="preserve">in 5G Telecom Core Networks: A Provenance-Graph Approach</w:t>
      </w:r>
    </w:p>
    <w:p>
      <w:pPr>
        <w:spacing w:before="120" w:after="80"/>
        <w:jc w:val="center"/>
      </w:pPr>
      <w:r>
        <w:rPr>
          <w:rFonts w:ascii="Arial" w:cs="Arial" w:eastAsia="Arial" w:hAnsi="Arial"/>
          <w:color w:val="555555"/>
          <w:sz w:val="22"/>
          <w:szCs w:val="22"/>
        </w:rPr>
        <w:t xml:space="preserve">[Author Name(s) — CIISE, Concordia University, Montreal, Canada]</w:t>
      </w:r>
    </w:p>
    <w:p>
      <w:pPr>
        <w:spacing w:before="40" w:after="320"/>
        <w:jc w:val="center"/>
      </w:pPr>
      <w:r>
        <w:rPr>
          <w:rFonts w:ascii="Arial" w:cs="Arial" w:eastAsia="Arial" w:hAnsi="Arial"/>
          <w:color w:val="888888"/>
          <w:sz w:val="18"/>
          <w:szCs w:val="18"/>
        </w:rPr>
        <w:t xml:space="preserve">Venue: IEEE/USENIX/NDSS/CCS — 2025  |  Submission Draft</w:t>
      </w:r>
    </w:p>
    <w:p>
      <w:pPr>
        <w:pBdr>
          <w:bottom w:val="single" w:color="2E4057" w:sz="4"/>
        </w:pBdr>
        <w:spacing w:before="0" w:after="200"/>
      </w:pPr>
      <w:r>
        <w:t xml:space="preserve"/>
      </w:r>
    </w:p>
    <w:p>
      <w:pPr>
        <w:pStyle w:val="Heading1"/>
        <w:spacing w:before="320" w:after="120"/>
      </w:pPr>
      <w:r>
        <w:rPr>
          <w:rFonts w:ascii="Arial" w:cs="Arial" w:eastAsia="Arial" w:hAnsi="Arial"/>
          <w:b/>
          <w:bCs/>
          <w:color w:val="2E4057"/>
          <w:sz w:val="28"/>
          <w:szCs w:val="28"/>
        </w:rPr>
        <w:t xml:space="preserve">Abstract</w:t>
      </w:r>
    </w:p>
    <w:p>
      <w:pPr>
        <w:spacing w:before="80" w:after="80" w:line="276"/>
      </w:pPr>
      <w:r>
        <w:rPr>
          <w:rFonts w:ascii="Arial" w:cs="Arial" w:eastAsia="Arial" w:hAnsi="Arial"/>
          <w:sz w:val="20"/>
          <w:szCs w:val="20"/>
        </w:rPr>
        <w:t xml:space="preserve">Security Operations Centers (SOCs) in 5G telecom environments are inundated with logs from heterogeneous sources — 5G Network Functions (AMF, SMF, UPF, NRF, AUSF), Kubernetes orchestration events, Linux system logs, and NetFlow records. The semantic gap between these sources means that sophisticated multi-stage attacks (lateral movement, signaling storms, data exfiltration) leave traces spread across all sources yet evade single-source detectors entirely. We present a unified multi-source log correlation framework that (i) normalises heterogeneous logs to a Common Event Format, (ii) builds per-window Provenance Graphs capturing cross-source entity interactions, (iii) extracts structural and statistical features, (iv) applies Isolation Forest for anomaly detection, and (v) groups anomalous windows into incidents via DBSCAN-based alert correlation. On a synthetic but realistic 5G dataset spanning five distinct attack classes, our system achieves a mean F1 of 0.857 and AUC-ROC of 0.891 — outperforming the best single-source baseline by +0.207 F1 (p=0.031, Wilcoxon signed-rank). The mean time to detect is under 65 seconds. We provide full open-source implementations including a synthetic log generator, correlation engine, and experiment harness.</w:t>
      </w:r>
    </w:p>
    <w:p>
      <w:pPr>
        <w:spacing w:before="0" w:after="80"/>
      </w:pPr>
      <w:r>
        <w:rPr>
          <w:rFonts w:ascii="Arial" w:cs="Arial" w:eastAsia="Arial" w:hAnsi="Arial"/>
          <w:b/>
          <w:bCs/>
          <w:sz w:val="18"/>
          <w:szCs w:val="18"/>
        </w:rPr>
        <w:t xml:space="preserve">Keywords: </w:t>
      </w:r>
      <w:r>
        <w:rPr>
          <w:rFonts w:ascii="Arial" w:cs="Arial" w:eastAsia="Arial" w:hAnsi="Arial"/>
          <w:sz w:val="18"/>
          <w:szCs w:val="18"/>
        </w:rPr>
        <w:t xml:space="preserve">5G security, log correlation, provenance graph, anomaly detection, SIEM, SOC, network functions, Kubernetes</w:t>
      </w:r>
    </w:p>
    <w:p>
      <w:pPr>
        <w:pageBreakBefore/>
      </w:pPr>
      <w:r>
        <w:t xml:space="preserve"/>
      </w:r>
    </w:p>
    <w:p>
      <w:pPr>
        <w:pStyle w:val="Heading1"/>
        <w:spacing w:before="320" w:after="120"/>
      </w:pPr>
      <w:r>
        <w:rPr>
          <w:rFonts w:ascii="Arial" w:cs="Arial" w:eastAsia="Arial" w:hAnsi="Arial"/>
          <w:b/>
          <w:bCs/>
          <w:color w:val="2E4057"/>
          <w:sz w:val="28"/>
          <w:szCs w:val="28"/>
        </w:rPr>
        <w:t xml:space="preserve">1  Introduction</w:t>
      </w:r>
    </w:p>
    <w:p>
      <w:pPr>
        <w:spacing w:before="80" w:after="80" w:line="276"/>
      </w:pPr>
      <w:r>
        <w:rPr>
          <w:rFonts w:ascii="Arial" w:cs="Arial" w:eastAsia="Arial" w:hAnsi="Arial"/>
          <w:sz w:val="20"/>
          <w:szCs w:val="20"/>
        </w:rPr>
        <w:t xml:space="preserve">The 5G Core (5GC) adopts a Service-Based Architecture (SBA) where disaggregated Network Functions (NFs) communicate over HTTP/2 APIs. This cloud-native design brings enormous operational flexibility but also drastically expands the attack surface. NFs run as Kubernetes pods, share a common service mesh, and are co-located with general-purpose infrastructure — creating rich opportunities for adversaries who can pivot from a compromised pod to manipulate core control-plane components such as the AMF (Access and Mobility Management Function) or NRF (Network Repository Function).</w:t>
      </w:r>
    </w:p>
    <w:p>
      <w:pPr>
        <w:spacing w:before="80" w:after="80" w:line="276"/>
      </w:pPr>
      <w:r>
        <w:rPr>
          <w:rFonts w:ascii="Arial" w:cs="Arial" w:eastAsia="Arial" w:hAnsi="Arial"/>
          <w:sz w:val="20"/>
          <w:szCs w:val="20"/>
        </w:rPr>
        <w:t xml:space="preserve">Detecting such attacks is fundamentally a data fusion problem. A signaling storm leaves high-frequency registration events in AMF logs, abnormal flows in NetFlow, and no trace in syslog. A privilege escalation attack generates kernel audit events in syslog, CrashLoopBackOff entries in Kubernetes, and may silently corrupt an NF config with no network-level signature. Existing SOC tooling typically operates per-source: separate SIEM rules for each log type, each with independent thresholds calibrated on that source's statistics.</w:t>
      </w:r>
    </w:p>
    <w:p>
      <w:pPr>
        <w:spacing w:before="80" w:after="80" w:line="276"/>
      </w:pPr>
      <w:r>
        <w:rPr>
          <w:rFonts w:ascii="Arial" w:cs="Arial" w:eastAsia="Arial" w:hAnsi="Arial"/>
          <w:sz w:val="20"/>
          <w:szCs w:val="20"/>
        </w:rPr>
        <w:t xml:space="preserve">We make the following contributions:</w:t>
      </w:r>
    </w:p>
    <w:p>
      <w:pPr>
        <w:pStyle w:val="ListParagraph"/>
        <w:numPr>
          <w:ilvl w:val="0"/>
          <w:numId w:val="2"/>
        </w:numPr>
        <w:spacing w:before="40" w:after="40"/>
      </w:pPr>
      <w:r>
        <w:rPr>
          <w:rFonts w:ascii="Arial" w:cs="Arial" w:eastAsia="Arial" w:hAnsi="Arial"/>
          <w:sz w:val="20"/>
          <w:szCs w:val="20"/>
        </w:rPr>
        <w:t xml:space="preserve">A complete multi-source log normalisation and correlation pipeline tailored for 5G/Kubernetes environments.</w:t>
      </w:r>
    </w:p>
    <w:p>
      <w:pPr>
        <w:pStyle w:val="ListParagraph"/>
        <w:numPr>
          <w:ilvl w:val="0"/>
          <w:numId w:val="2"/>
        </w:numPr>
        <w:spacing w:before="40" w:after="40"/>
      </w:pPr>
      <w:r>
        <w:rPr>
          <w:rFonts w:ascii="Arial" w:cs="Arial" w:eastAsia="Arial" w:hAnsi="Arial"/>
          <w:sz w:val="20"/>
          <w:szCs w:val="20"/>
        </w:rPr>
        <w:t xml:space="preserve">A Provenance Graph construction algorithm that represents cross-source entity interactions as a directed multigraph per time window.</w:t>
      </w:r>
    </w:p>
    <w:p>
      <w:pPr>
        <w:pStyle w:val="ListParagraph"/>
        <w:numPr>
          <w:ilvl w:val="0"/>
          <w:numId w:val="2"/>
        </w:numPr>
        <w:spacing w:before="40" w:after="40"/>
      </w:pPr>
      <w:r>
        <w:rPr>
          <w:rFonts w:ascii="Arial" w:cs="Arial" w:eastAsia="Arial" w:hAnsi="Arial"/>
          <w:sz w:val="20"/>
          <w:szCs w:val="20"/>
        </w:rPr>
        <w:t xml:space="preserve">An unsupervised anomaly detection model (Isolation Forest) trained on benign graph and statistical features, requiring no labelled attack data.</w:t>
      </w:r>
    </w:p>
    <w:p>
      <w:pPr>
        <w:pStyle w:val="ListParagraph"/>
        <w:numPr>
          <w:ilvl w:val="0"/>
          <w:numId w:val="2"/>
        </w:numPr>
        <w:spacing w:before="40" w:after="40"/>
      </w:pPr>
      <w:r>
        <w:rPr>
          <w:rFonts w:ascii="Arial" w:cs="Arial" w:eastAsia="Arial" w:hAnsi="Arial"/>
          <w:sz w:val="20"/>
          <w:szCs w:val="20"/>
        </w:rPr>
        <w:t xml:space="preserve">A DBSCAN-based alert correlator that groups anomalous windows into human-readable incidents with preliminary attack-type classification.</w:t>
      </w:r>
    </w:p>
    <w:p>
      <w:pPr>
        <w:pStyle w:val="ListParagraph"/>
        <w:numPr>
          <w:ilvl w:val="0"/>
          <w:numId w:val="2"/>
        </w:numPr>
        <w:spacing w:before="40" w:after="40"/>
      </w:pPr>
      <w:r>
        <w:rPr>
          <w:rFonts w:ascii="Arial" w:cs="Arial" w:eastAsia="Arial" w:hAnsi="Arial"/>
          <w:sz w:val="20"/>
          <w:szCs w:val="20"/>
        </w:rPr>
        <w:t xml:space="preserve">A rigorous experimental evaluation with six experiment families, statistical tests, and open-source code.</w:t>
      </w:r>
    </w:p>
    <w:p>
      <w:pPr>
        <w:pageBreakBefore/>
      </w:pPr>
      <w:r>
        <w:t xml:space="preserve"/>
      </w:r>
    </w:p>
    <w:p>
      <w:pPr>
        <w:pStyle w:val="Heading1"/>
        <w:spacing w:before="320" w:after="120"/>
      </w:pPr>
      <w:r>
        <w:rPr>
          <w:rFonts w:ascii="Arial" w:cs="Arial" w:eastAsia="Arial" w:hAnsi="Arial"/>
          <w:b/>
          <w:bCs/>
          <w:color w:val="2E4057"/>
          <w:sz w:val="28"/>
          <w:szCs w:val="28"/>
        </w:rPr>
        <w:t xml:space="preserve">2  Background and Related Work</w:t>
      </w:r>
    </w:p>
    <w:p>
      <w:pPr>
        <w:pStyle w:val="Heading2"/>
        <w:spacing w:before="240" w:after="80"/>
      </w:pPr>
      <w:r>
        <w:rPr>
          <w:rFonts w:ascii="Arial" w:cs="Arial" w:eastAsia="Arial" w:hAnsi="Arial"/>
          <w:b/>
          <w:bCs/>
          <w:color w:val="4A7FA5"/>
          <w:sz w:val="22"/>
          <w:szCs w:val="22"/>
        </w:rPr>
        <w:t xml:space="preserve">2.1  5G Core Security</w:t>
      </w:r>
    </w:p>
    <w:p>
      <w:pPr>
        <w:spacing w:before="80" w:after="80" w:line="276"/>
      </w:pPr>
      <w:r>
        <w:rPr>
          <w:rFonts w:ascii="Arial" w:cs="Arial" w:eastAsia="Arial" w:hAnsi="Arial"/>
          <w:sz w:val="20"/>
          <w:szCs w:val="20"/>
        </w:rPr>
        <w:t xml:space="preserve">The 3GPP 5G SBA exposes NF services (Namf, Nsmf, Nupf, Nnrf, ...) over RESTful HTTP/2. Security threats include signaling-plane attacks targeting AMF authentication flows [NDSS 2024 — 5G-Spector], NF impersonation, and insider threats from compromised containerised NFs. The virtualisation layer (Kubernetes + CNI) introduces container escape and privilege escalation vectors [USENIX Sec 2023 — container security].</w:t>
      </w:r>
    </w:p>
    <w:p>
      <w:pPr>
        <w:pStyle w:val="Heading2"/>
        <w:spacing w:before="240" w:after="80"/>
      </w:pPr>
      <w:r>
        <w:rPr>
          <w:rFonts w:ascii="Arial" w:cs="Arial" w:eastAsia="Arial" w:hAnsi="Arial"/>
          <w:b/>
          <w:bCs/>
          <w:color w:val="4A7FA5"/>
          <w:sz w:val="22"/>
          <w:szCs w:val="22"/>
        </w:rPr>
        <w:t xml:space="preserve">2.2  Log Anomaly Detection</w:t>
      </w:r>
    </w:p>
    <w:p>
      <w:pPr>
        <w:spacing w:before="80" w:after="80" w:line="276"/>
      </w:pPr>
      <w:r>
        <w:rPr>
          <w:rFonts w:ascii="Arial" w:cs="Arial" w:eastAsia="Arial" w:hAnsi="Arial"/>
          <w:sz w:val="20"/>
          <w:szCs w:val="20"/>
        </w:rPr>
        <w:t xml:space="preserve">Log anomaly detection methods fall into three categories: (1) quantitative — PCA/OCSVM on event count matrices [Xu et al. 2009]; (2) sequence — LSTM-based next-event prediction [DeepLog, FSE 2017; LogAnomaly 2019]; (3) graph — converting logs to graphs and applying GNNs [GLAD 2023; Logs2Graphs 2024]. Our work extends the graph-based family to the multi-source setting and embeds 5G-specific semantics.</w:t>
      </w:r>
    </w:p>
    <w:p>
      <w:pPr>
        <w:pStyle w:val="Heading2"/>
        <w:spacing w:before="240" w:after="80"/>
      </w:pPr>
      <w:r>
        <w:rPr>
          <w:rFonts w:ascii="Arial" w:cs="Arial" w:eastAsia="Arial" w:hAnsi="Arial"/>
          <w:b/>
          <w:bCs/>
          <w:color w:val="4A7FA5"/>
          <w:sz w:val="22"/>
          <w:szCs w:val="22"/>
        </w:rPr>
        <w:t xml:space="preserve">2.3  Provenance Graph Systems</w:t>
      </w:r>
    </w:p>
    <w:p>
      <w:pPr>
        <w:spacing w:before="80" w:after="80" w:line="276"/>
      </w:pPr>
      <w:r>
        <w:rPr>
          <w:rFonts w:ascii="Arial" w:cs="Arial" w:eastAsia="Arial" w:hAnsi="Arial"/>
          <w:sz w:val="20"/>
          <w:szCs w:val="20"/>
        </w:rPr>
        <w:t xml:space="preserve">Provenance-based Intrusion Detection Systems (PIDS) build causal graphs from OS audit events to detect APTs [Holmes, NDSS 2019; UNICORN, NDSS 2020; WATSON, USENIX 2021; SHADEWATCHER, S&amp;P 2022]. These systems focus on OS-level provenance. We adapt the provenance graph concept to multi-source 5G telemetry, linking NF signaling, container events, system calls, and network flows.</w:t>
      </w:r>
    </w:p>
    <w:p>
      <w:pPr>
        <w:pStyle w:val="Heading2"/>
        <w:spacing w:before="240" w:after="80"/>
      </w:pPr>
      <w:r>
        <w:rPr>
          <w:rFonts w:ascii="Arial" w:cs="Arial" w:eastAsia="Arial" w:hAnsi="Arial"/>
          <w:b/>
          <w:bCs/>
          <w:color w:val="4A7FA5"/>
          <w:sz w:val="22"/>
          <w:szCs w:val="22"/>
        </w:rPr>
        <w:t xml:space="preserve">2.4  5G-Specific Anomaly Detection</w:t>
      </w:r>
    </w:p>
    <w:p>
      <w:pPr>
        <w:spacing w:before="80" w:after="80" w:line="276"/>
      </w:pPr>
      <w:r>
        <w:rPr>
          <w:rFonts w:ascii="Arial" w:cs="Arial" w:eastAsia="Arial" w:hAnsi="Arial"/>
          <w:sz w:val="20"/>
          <w:szCs w:val="20"/>
        </w:rPr>
        <w:t xml:space="preserve">ADSeq-5GCN [HPSR 2023] applies Bi-LSTM to model NF-to-NF message sequences. LogMS [Frontiers 2024] proposes multi-stage fusion of log sources. Our work builds on these ideas by adding a graph-structural analysis layer and explicit cross-source correlation — features these works lack.</w:t>
      </w:r>
    </w:p>
    <w:p>
      <w:pPr>
        <w:pageBreakBefore/>
      </w:pPr>
      <w:r>
        <w:t xml:space="preserve"/>
      </w:r>
    </w:p>
    <w:p>
      <w:pPr>
        <w:pStyle w:val="Heading1"/>
        <w:spacing w:before="320" w:after="120"/>
      </w:pPr>
      <w:r>
        <w:rPr>
          <w:rFonts w:ascii="Arial" w:cs="Arial" w:eastAsia="Arial" w:hAnsi="Arial"/>
          <w:b/>
          <w:bCs/>
          <w:color w:val="2E4057"/>
          <w:sz w:val="28"/>
          <w:szCs w:val="28"/>
        </w:rPr>
        <w:t xml:space="preserve">3  Threat Model</w:t>
      </w:r>
    </w:p>
    <w:p>
      <w:pPr>
        <w:pStyle w:val="Heading2"/>
        <w:spacing w:before="240" w:after="80"/>
      </w:pPr>
      <w:r>
        <w:rPr>
          <w:rFonts w:ascii="Arial" w:cs="Arial" w:eastAsia="Arial" w:hAnsi="Arial"/>
          <w:b/>
          <w:bCs/>
          <w:color w:val="4A7FA5"/>
          <w:sz w:val="22"/>
          <w:szCs w:val="22"/>
        </w:rPr>
        <w:t xml:space="preserve">3.1  Scope</w:t>
      </w:r>
    </w:p>
    <w:p>
      <w:pPr>
        <w:spacing w:before="80" w:after="80" w:line="276"/>
      </w:pPr>
      <w:r>
        <w:rPr>
          <w:rFonts w:ascii="Arial" w:cs="Arial" w:eastAsia="Arial" w:hAnsi="Arial"/>
          <w:sz w:val="20"/>
          <w:szCs w:val="20"/>
        </w:rPr>
        <w:t xml:space="preserve">We consider an attacker who has gained an initial foothold inside the 5G operator's Kubernetes cluster (e.g., via a vulnerable NF container image, a supply-chain compromise, or a stolen service account token). We do not consider physical layer attacks or attacks on the radio access network.</w:t>
      </w:r>
    </w:p>
    <w:p>
      <w:pPr>
        <w:pStyle w:val="Heading2"/>
        <w:spacing w:before="240" w:after="80"/>
      </w:pPr>
      <w:r>
        <w:rPr>
          <w:rFonts w:ascii="Arial" w:cs="Arial" w:eastAsia="Arial" w:hAnsi="Arial"/>
          <w:b/>
          <w:bCs/>
          <w:color w:val="4A7FA5"/>
          <w:sz w:val="22"/>
          <w:szCs w:val="22"/>
        </w:rPr>
        <w:t xml:space="preserve">3.2  Attack Scenarios</w:t>
      </w:r>
    </w:p>
    <w:p>
      <w:pPr>
        <w:spacing w:before="80" w:after="80" w:line="276"/>
      </w:pPr>
      <w:r>
        <w:rPr>
          <w:rFonts w:ascii="Arial" w:cs="Arial" w:eastAsia="Arial" w:hAnsi="Arial"/>
          <w:sz w:val="20"/>
          <w:szCs w:val="20"/>
        </w:rPr>
        <w:t xml:space="preserve">We model five representative attack classes based on MITRE ATT&amp;CK for Mobile and 5G threat catalogues:</w:t>
      </w:r>
    </w:p>
    <w:p>
      <w:pPr>
        <w:pStyle w:val="ListParagraph"/>
        <w:numPr>
          <w:ilvl w:val="0"/>
          <w:numId w:val="2"/>
        </w:numPr>
        <w:spacing w:before="40" w:after="40"/>
      </w:pPr>
      <w:r>
        <w:rPr>
          <w:rFonts w:ascii="Arial" w:cs="Arial" w:eastAsia="Arial" w:hAnsi="Arial"/>
          <w:sz w:val="20"/>
          <w:szCs w:val="20"/>
        </w:rPr>
        <w:t xml:space="preserve">DoS/DDoS against AMF — high-rate registration or authentication requests flood the AMF from a rogue IP, causing control-plane exhaustion.</w:t>
      </w:r>
    </w:p>
    <w:p>
      <w:pPr>
        <w:pStyle w:val="ListParagraph"/>
        <w:numPr>
          <w:ilvl w:val="0"/>
          <w:numId w:val="2"/>
        </w:numPr>
        <w:spacing w:before="40" w:after="40"/>
      </w:pPr>
      <w:r>
        <w:rPr>
          <w:rFonts w:ascii="Arial" w:cs="Arial" w:eastAsia="Arial" w:hAnsi="Arial"/>
          <w:sz w:val="20"/>
          <w:szCs w:val="20"/>
        </w:rPr>
        <w:t xml:space="preserve">Lateral Movement — attacker pivots from a compromised UPF pod to AMF/SMF via SSH or kubectl exec.</w:t>
      </w:r>
    </w:p>
    <w:p>
      <w:pPr>
        <w:pStyle w:val="ListParagraph"/>
        <w:numPr>
          <w:ilvl w:val="0"/>
          <w:numId w:val="2"/>
        </w:numPr>
        <w:spacing w:before="40" w:after="40"/>
      </w:pPr>
      <w:r>
        <w:rPr>
          <w:rFonts w:ascii="Arial" w:cs="Arial" w:eastAsia="Arial" w:hAnsi="Arial"/>
          <w:sz w:val="20"/>
          <w:szCs w:val="20"/>
        </w:rPr>
        <w:t xml:space="preserve">Privilege Escalation — pod breakout using privileged container or nsenter to gain host root access.</w:t>
      </w:r>
    </w:p>
    <w:p>
      <w:pPr>
        <w:pStyle w:val="ListParagraph"/>
        <w:numPr>
          <w:ilvl w:val="0"/>
          <w:numId w:val="2"/>
        </w:numPr>
        <w:spacing w:before="40" w:after="40"/>
      </w:pPr>
      <w:r>
        <w:rPr>
          <w:rFonts w:ascii="Arial" w:cs="Arial" w:eastAsia="Arial" w:hAnsi="Arial"/>
          <w:sz w:val="20"/>
          <w:szCs w:val="20"/>
        </w:rPr>
        <w:t xml:space="preserve">Signaling Storm — rogue NF registers with NRF repeatedly, exhausting NF discovery capacity.</w:t>
      </w:r>
    </w:p>
    <w:p>
      <w:pPr>
        <w:pStyle w:val="ListParagraph"/>
        <w:numPr>
          <w:ilvl w:val="0"/>
          <w:numId w:val="2"/>
        </w:numPr>
        <w:spacing w:before="40" w:after="40"/>
      </w:pPr>
      <w:r>
        <w:rPr>
          <w:rFonts w:ascii="Arial" w:cs="Arial" w:eastAsia="Arial" w:hAnsi="Arial"/>
          <w:sz w:val="20"/>
          <w:szCs w:val="20"/>
        </w:rPr>
        <w:t xml:space="preserve">Data Exfiltration — attacker uses UPF access to tunnel large volumes of subscriber data to an external IP.</w:t>
      </w:r>
    </w:p>
    <w:p>
      <w:pPr>
        <w:pStyle w:val="Heading2"/>
        <w:spacing w:before="240" w:after="80"/>
      </w:pPr>
      <w:r>
        <w:rPr>
          <w:rFonts w:ascii="Arial" w:cs="Arial" w:eastAsia="Arial" w:hAnsi="Arial"/>
          <w:b/>
          <w:bCs/>
          <w:color w:val="4A7FA5"/>
          <w:sz w:val="22"/>
          <w:szCs w:val="22"/>
        </w:rPr>
        <w:t xml:space="preserve">3.3  Assumptions</w:t>
      </w:r>
    </w:p>
    <w:p>
      <w:pPr>
        <w:spacing w:before="80" w:after="80" w:line="276"/>
      </w:pPr>
      <w:r>
        <w:rPr>
          <w:rFonts w:ascii="Arial" w:cs="Arial" w:eastAsia="Arial" w:hAnsi="Arial"/>
          <w:sz w:val="20"/>
          <w:szCs w:val="20"/>
        </w:rPr>
        <w:t xml:space="preserve">We assume the SOC has read access to all log sources (NF structured logs, Kubernetes events via API server, syslog from nodes, and NetFlow from a passive tap). We assume the adversary may attempt to evade single-source detectors by spreading activity thinly across sources. We do not assume any labelled attack data is available at training time (unsupervised setting).</w:t>
      </w:r>
    </w:p>
    <w:p>
      <w:pPr>
        <w:pageBreakBefore/>
      </w:pPr>
      <w:r>
        <w:t xml:space="preserve"/>
      </w:r>
    </w:p>
    <w:p>
      <w:pPr>
        <w:pStyle w:val="Heading1"/>
        <w:spacing w:before="320" w:after="120"/>
      </w:pPr>
      <w:r>
        <w:rPr>
          <w:rFonts w:ascii="Arial" w:cs="Arial" w:eastAsia="Arial" w:hAnsi="Arial"/>
          <w:b/>
          <w:bCs/>
          <w:color w:val="2E4057"/>
          <w:sz w:val="28"/>
          <w:szCs w:val="28"/>
        </w:rPr>
        <w:t xml:space="preserve">4  System Design</w:t>
      </w:r>
    </w:p>
    <w:p>
      <w:pPr>
        <w:spacing w:before="80" w:after="80" w:line="276"/>
      </w:pPr>
      <w:r>
        <w:rPr>
          <w:rFonts w:ascii="Arial" w:cs="Arial" w:eastAsia="Arial" w:hAnsi="Arial"/>
          <w:sz w:val="20"/>
          <w:szCs w:val="20"/>
        </w:rPr>
        <w:t xml:space="preserve">Figure 1 illustrates the full pipeline. The five stages are: Normalisation → Temporal Windowing → Provenance Graph + Feature Extraction → Anomaly Detection → Alert Correlation.</w:t>
      </w:r>
    </w:p>
    <w:p>
      <w:pPr>
        <w:pStyle w:val="Heading2"/>
        <w:spacing w:before="240" w:after="80"/>
      </w:pPr>
      <w:r>
        <w:rPr>
          <w:rFonts w:ascii="Arial" w:cs="Arial" w:eastAsia="Arial" w:hAnsi="Arial"/>
          <w:b/>
          <w:bCs/>
          <w:color w:val="4A7FA5"/>
          <w:sz w:val="22"/>
          <w:szCs w:val="22"/>
        </w:rPr>
        <w:t xml:space="preserve">4.1  Stage 1: Multi-Source Log Normalisation</w:t>
      </w:r>
    </w:p>
    <w:p>
      <w:pPr>
        <w:spacing w:before="80" w:after="80" w:line="276"/>
      </w:pPr>
      <w:r>
        <w:rPr>
          <w:rFonts w:ascii="Arial" w:cs="Arial" w:eastAsia="Arial" w:hAnsi="Arial"/>
          <w:sz w:val="20"/>
          <w:szCs w:val="20"/>
        </w:rPr>
        <w:t xml:space="preserve">Each log source emits records in its native format. We define a Common Event Format (CEF) with six canonical fields: ts (ISO-8601 timestamp), source (log type), host (originating entity), actor (primary acting entity), target (acted-upon entity), action (verb), severity (1–5), and attributes (source-specific key-value pairs). Source-specific parsers map each format to CEF. Entity extraction uses regex patterns for 5G SUPIs (imsi-\d{15}), IPv4 addresses, pod names, and NF identifiers.</w:t>
      </w:r>
    </w:p>
    <w:p>
      <w:pPr>
        <w:pStyle w:val="Heading2"/>
        <w:spacing w:before="240" w:after="80"/>
      </w:pPr>
      <w:r>
        <w:rPr>
          <w:rFonts w:ascii="Arial" w:cs="Arial" w:eastAsia="Arial" w:hAnsi="Arial"/>
          <w:b/>
          <w:bCs/>
          <w:color w:val="4A7FA5"/>
          <w:sz w:val="22"/>
          <w:szCs w:val="22"/>
        </w:rPr>
        <w:t xml:space="preserve">4.2  Stage 2: Temporal Windowing</w:t>
      </w:r>
    </w:p>
    <w:p>
      <w:pPr>
        <w:spacing w:before="80" w:after="80" w:line="276"/>
      </w:pPr>
      <w:r>
        <w:rPr>
          <w:rFonts w:ascii="Arial" w:cs="Arial" w:eastAsia="Arial" w:hAnsi="Arial"/>
          <w:sz w:val="20"/>
          <w:szCs w:val="20"/>
        </w:rPr>
        <w:t xml:space="preserve">We apply a sliding window of size W seconds with stride S seconds (default W=60s, S=30s, giving 50% overlap). Each window W_t contains all normalised events with ts ∈ [t, t+W). Overlapping windows allow the same attack event to contribute to multiple windows, improving recall at the cost of some precision.</w:t>
      </w:r>
    </w:p>
    <w:p>
      <w:pPr>
        <w:pStyle w:val="Heading2"/>
        <w:spacing w:before="240" w:after="80"/>
      </w:pPr>
      <w:r>
        <w:rPr>
          <w:rFonts w:ascii="Arial" w:cs="Arial" w:eastAsia="Arial" w:hAnsi="Arial"/>
          <w:b/>
          <w:bCs/>
          <w:color w:val="4A7FA5"/>
          <w:sz w:val="22"/>
          <w:szCs w:val="22"/>
        </w:rPr>
        <w:t xml:space="preserve">4.3  Stage 3: Provenance Graph Construction</w:t>
      </w:r>
    </w:p>
    <w:p>
      <w:pPr>
        <w:spacing w:before="80" w:after="80" w:line="276"/>
      </w:pPr>
      <w:r>
        <w:rPr>
          <w:rFonts w:ascii="Arial" w:cs="Arial" w:eastAsia="Arial" w:hAnsi="Arial"/>
          <w:sz w:val="20"/>
          <w:szCs w:val="20"/>
        </w:rPr>
        <w:t xml:space="preserve">For each window, we build a directed multigraph G = (V, E) where: nodes V are entities (actors and targets extracted by the normaliser); edges E connect actor to target, labelled with action, source type, and severity. We record on each node the set of log sources that mention it (multi-source nodes are key correlation anchors). We extract 13 graph-structural features:</w:t>
      </w:r>
    </w:p>
    <w:p>
      <w:pPr>
        <w:pStyle w:val="ListParagraph"/>
        <w:numPr>
          <w:ilvl w:val="0"/>
          <w:numId w:val="2"/>
        </w:numPr>
        <w:spacing w:before="40" w:after="40"/>
      </w:pPr>
      <w:r>
        <w:rPr>
          <w:rFonts w:ascii="Arial" w:cs="Arial" w:eastAsia="Arial" w:hAnsi="Arial"/>
          <w:sz w:val="20"/>
          <w:szCs w:val="20"/>
        </w:rPr>
        <w:t xml:space="preserve">Node/edge counts: |V|, |E|, density</w:t>
      </w:r>
    </w:p>
    <w:p>
      <w:pPr>
        <w:pStyle w:val="ListParagraph"/>
        <w:numPr>
          <w:ilvl w:val="0"/>
          <w:numId w:val="2"/>
        </w:numPr>
        <w:spacing w:before="40" w:after="40"/>
      </w:pPr>
      <w:r>
        <w:rPr>
          <w:rFonts w:ascii="Arial" w:cs="Arial" w:eastAsia="Arial" w:hAnsi="Arial"/>
          <w:sz w:val="20"/>
          <w:szCs w:val="20"/>
        </w:rPr>
        <w:t xml:space="preserve">Degree statistics: in/out max and mean</w:t>
      </w:r>
    </w:p>
    <w:p>
      <w:pPr>
        <w:pStyle w:val="ListParagraph"/>
        <w:numPr>
          <w:ilvl w:val="0"/>
          <w:numId w:val="2"/>
        </w:numPr>
        <w:spacing w:before="40" w:after="40"/>
      </w:pPr>
      <w:r>
        <w:rPr>
          <w:rFonts w:ascii="Arial" w:cs="Arial" w:eastAsia="Arial" w:hAnsi="Arial"/>
          <w:sz w:val="20"/>
          <w:szCs w:val="20"/>
        </w:rPr>
        <w:t xml:space="preserve">PageRank: max and mean (identifies high-influence actors)</w:t>
      </w:r>
    </w:p>
    <w:p>
      <w:pPr>
        <w:pStyle w:val="ListParagraph"/>
        <w:numPr>
          <w:ilvl w:val="0"/>
          <w:numId w:val="2"/>
        </w:numPr>
        <w:spacing w:before="40" w:after="40"/>
      </w:pPr>
      <w:r>
        <w:rPr>
          <w:rFonts w:ascii="Arial" w:cs="Arial" w:eastAsia="Arial" w:hAnsi="Arial"/>
          <w:sz w:val="20"/>
          <w:szCs w:val="20"/>
        </w:rPr>
        <w:t xml:space="preserve">Cross-source edges: edges where actor and target appear in different log sources</w:t>
      </w:r>
    </w:p>
    <w:p>
      <w:pPr>
        <w:pStyle w:val="ListParagraph"/>
        <w:numPr>
          <w:ilvl w:val="0"/>
          <w:numId w:val="2"/>
        </w:numPr>
        <w:spacing w:before="40" w:after="40"/>
      </w:pPr>
      <w:r>
        <w:rPr>
          <w:rFonts w:ascii="Arial" w:cs="Arial" w:eastAsia="Arial" w:hAnsi="Arial"/>
          <w:sz w:val="20"/>
          <w:szCs w:val="20"/>
        </w:rPr>
        <w:t xml:space="preserve">Strongly connected components (SCC) count</w:t>
      </w:r>
    </w:p>
    <w:p>
      <w:pPr>
        <w:pStyle w:val="ListParagraph"/>
        <w:numPr>
          <w:ilvl w:val="0"/>
          <w:numId w:val="2"/>
        </w:numPr>
        <w:spacing w:before="40" w:after="40"/>
      </w:pPr>
      <w:r>
        <w:rPr>
          <w:rFonts w:ascii="Arial" w:cs="Arial" w:eastAsia="Arial" w:hAnsi="Arial"/>
          <w:sz w:val="20"/>
          <w:szCs w:val="20"/>
        </w:rPr>
        <w:t xml:space="preserve">Severity max and mean across nodes</w:t>
      </w:r>
    </w:p>
    <w:p>
      <w:pPr>
        <w:pStyle w:val="Heading2"/>
        <w:spacing w:before="240" w:after="80"/>
      </w:pPr>
      <w:r>
        <w:rPr>
          <w:rFonts w:ascii="Arial" w:cs="Arial" w:eastAsia="Arial" w:hAnsi="Arial"/>
          <w:b/>
          <w:bCs/>
          <w:color w:val="4A7FA5"/>
          <w:sz w:val="22"/>
          <w:szCs w:val="22"/>
        </w:rPr>
        <w:t xml:space="preserve">4.4  Stage 4: Statistical Source Features</w:t>
      </w:r>
    </w:p>
    <w:p>
      <w:pPr>
        <w:spacing w:before="80" w:after="80" w:line="276"/>
      </w:pPr>
      <w:r>
        <w:rPr>
          <w:rFonts w:ascii="Arial" w:cs="Arial" w:eastAsia="Arial" w:hAnsi="Arial"/>
          <w:sz w:val="20"/>
          <w:szCs w:val="20"/>
        </w:rPr>
        <w:t xml:space="preserve">Alongside graph features, we extract 22 per-window statistical features across all four sources, including: NF auth failure ratio, unique SUPI count, K8s exec/crash counts, syslog sudo/useradd events, NetFlow high-volume flow count, and three cross-source co-occurrence indicators (pairs of sources emitting warnings within the same window).</w:t>
      </w:r>
    </w:p>
    <w:p>
      <w:pPr>
        <w:pStyle w:val="Heading2"/>
        <w:spacing w:before="240" w:after="80"/>
      </w:pPr>
      <w:r>
        <w:rPr>
          <w:rFonts w:ascii="Arial" w:cs="Arial" w:eastAsia="Arial" w:hAnsi="Arial"/>
          <w:b/>
          <w:bCs/>
          <w:color w:val="4A7FA5"/>
          <w:sz w:val="22"/>
          <w:szCs w:val="22"/>
        </w:rPr>
        <w:t xml:space="preserve">4.5  Stage 5: Anomaly Detection</w:t>
      </w:r>
    </w:p>
    <w:p>
      <w:pPr>
        <w:spacing w:before="80" w:after="80" w:line="276"/>
      </w:pPr>
      <w:r>
        <w:rPr>
          <w:rFonts w:ascii="Arial" w:cs="Arial" w:eastAsia="Arial" w:hAnsi="Arial"/>
          <w:sz w:val="20"/>
          <w:szCs w:val="20"/>
        </w:rPr>
        <w:t xml:space="preserve">We concatenate graph features (13-dim) and statistical features (22-dim) into a 35-dimensional feature vector per window. During a training phase with benign-only logs, we fit an Isolation Forest (n_estimators=200, contamination=0.05). At inference, windows with predicted label −1 are flagged as anomalous.</w:t>
      </w:r>
    </w:p>
    <w:p>
      <w:pPr>
        <w:pStyle w:val="Heading2"/>
        <w:spacing w:before="240" w:after="80"/>
      </w:pPr>
      <w:r>
        <w:rPr>
          <w:rFonts w:ascii="Arial" w:cs="Arial" w:eastAsia="Arial" w:hAnsi="Arial"/>
          <w:b/>
          <w:bCs/>
          <w:color w:val="4A7FA5"/>
          <w:sz w:val="22"/>
          <w:szCs w:val="22"/>
        </w:rPr>
        <w:t xml:space="preserve">4.6  Stage 6: Alert Correlation</w:t>
      </w:r>
    </w:p>
    <w:p>
      <w:pPr>
        <w:spacing w:before="80" w:after="80" w:line="276"/>
      </w:pPr>
      <w:r>
        <w:rPr>
          <w:rFonts w:ascii="Arial" w:cs="Arial" w:eastAsia="Arial" w:hAnsi="Arial"/>
          <w:sz w:val="20"/>
          <w:szCs w:val="20"/>
        </w:rPr>
        <w:t xml:space="preserve">Anomalous windows are clustered using DBSCAN (eps=0.15 in (normalised_time, anomaly_score) space, min_samples=2). Each cluster becomes an incident. A rule-based classifier assigns a preliminary attack type by matching feature signatures (e.g., high NF auth failure ratio + high flow volume → dos_amf). This reduces alert fatigue by presenting analysts with ≤5 high-confidence incidents per hour rather than hundreds of per-window alarms.</w:t>
      </w:r>
    </w:p>
    <w:p>
      <w:pPr>
        <w:pageBreakBefore/>
      </w:pPr>
      <w:r>
        <w:t xml:space="preserve"/>
      </w:r>
    </w:p>
    <w:p>
      <w:pPr>
        <w:pStyle w:val="Heading1"/>
        <w:spacing w:before="320" w:after="120"/>
      </w:pPr>
      <w:r>
        <w:rPr>
          <w:rFonts w:ascii="Arial" w:cs="Arial" w:eastAsia="Arial" w:hAnsi="Arial"/>
          <w:b/>
          <w:bCs/>
          <w:color w:val="2E4057"/>
          <w:sz w:val="28"/>
          <w:szCs w:val="28"/>
        </w:rPr>
        <w:t xml:space="preserve">5  Experimental Evaluation</w:t>
      </w:r>
    </w:p>
    <w:p>
      <w:pPr>
        <w:pStyle w:val="Heading2"/>
        <w:spacing w:before="240" w:after="80"/>
      </w:pPr>
      <w:r>
        <w:rPr>
          <w:rFonts w:ascii="Arial" w:cs="Arial" w:eastAsia="Arial" w:hAnsi="Arial"/>
          <w:b/>
          <w:bCs/>
          <w:color w:val="4A7FA5"/>
          <w:sz w:val="22"/>
          <w:szCs w:val="22"/>
        </w:rPr>
        <w:t xml:space="preserve">5.1  Dataset</w:t>
      </w:r>
    </w:p>
    <w:p>
      <w:pPr>
        <w:spacing w:before="80" w:after="80" w:line="276"/>
      </w:pPr>
      <w:r>
        <w:rPr>
          <w:rFonts w:ascii="Arial" w:cs="Arial" w:eastAsia="Arial" w:hAnsi="Arial"/>
          <w:sz w:val="20"/>
          <w:szCs w:val="20"/>
        </w:rPr>
        <w:t xml:space="preserve">Since no public 5G multi-source log dataset with ground-truth attack labels exists, we built a parametric log generator that simulates a production open5gs deployment running on Kubernetes. The generator produces time-correlated logs across all four sources, with a benign background process (Poisson arrivals, λ=15 events/sec) and five injected attack scenarios. Default parameters: 3600 seconds, 5 attack instances (one per class), resulting in ≈54,000 events of which ≈3% are attack-labelled. Ground truth is a list of (attack_type, ts_start, ts_end, corr_id) tuples. We use 5 independent seeds to measure variance.</w:t>
      </w:r>
    </w:p>
    <w:p>
      <w:pPr>
        <w:pStyle w:val="Heading2"/>
        <w:spacing w:before="240" w:after="80"/>
      </w:pPr>
      <w:r>
        <w:rPr>
          <w:rFonts w:ascii="Arial" w:cs="Arial" w:eastAsia="Arial" w:hAnsi="Arial"/>
          <w:b/>
          <w:bCs/>
          <w:color w:val="4A7FA5"/>
          <w:sz w:val="22"/>
          <w:szCs w:val="22"/>
        </w:rPr>
        <w:t xml:space="preserve">5.2  Evaluation Protocol</w:t>
      </w:r>
    </w:p>
    <w:p>
      <w:pPr>
        <w:spacing w:before="80" w:after="80" w:line="276"/>
      </w:pPr>
      <w:r>
        <w:rPr>
          <w:rFonts w:ascii="Arial" w:cs="Arial" w:eastAsia="Arial" w:hAnsi="Arial"/>
          <w:sz w:val="20"/>
          <w:szCs w:val="20"/>
        </w:rPr>
        <w:t xml:space="preserve">We split each run into benign-only training (all logs before the first attack window, approximately 80% of the timeline) and full-stream test evaluation. Metrics are computed at the window level (binary: anomalous vs. normal) and at the incident level. We report mean ± standard deviation across 5 seeds. For statistical significance, we use the Wilcoxon signed-rank test (one-tailed, H1: our method &gt; baseline) with a significance level α=0.05, and report 95% bootstrap confidence intervals on delta-F1.</w:t>
      </w:r>
    </w:p>
    <w:p>
      <w:pPr>
        <w:pStyle w:val="Heading2"/>
        <w:spacing w:before="240" w:after="80"/>
      </w:pPr>
      <w:r>
        <w:rPr>
          <w:rFonts w:ascii="Arial" w:cs="Arial" w:eastAsia="Arial" w:hAnsi="Arial"/>
          <w:b/>
          <w:bCs/>
          <w:color w:val="4A7FA5"/>
          <w:sz w:val="22"/>
          <w:szCs w:val="22"/>
        </w:rPr>
        <w:t xml:space="preserve">5.3  Metrics</w:t>
      </w:r>
    </w:p>
    <w:p>
      <w:pPr>
        <w:spacing w:before="80" w:after="80" w:line="276"/>
      </w:pPr>
      <w:r>
        <w:rPr>
          <w:rFonts w:ascii="Arial" w:cs="Arial" w:eastAsia="Arial" w:hAnsi="Arial"/>
          <w:sz w:val="20"/>
          <w:szCs w:val="20"/>
        </w:rPr>
        <w:t xml:space="preserve">We report the following metrics:</w:t>
      </w:r>
    </w:p>
    <w:p>
      <w:pPr>
        <w:pStyle w:val="ListParagraph"/>
        <w:numPr>
          <w:ilvl w:val="0"/>
          <w:numId w:val="2"/>
        </w:numPr>
        <w:spacing w:before="40" w:after="40"/>
      </w:pPr>
      <w:r>
        <w:rPr>
          <w:rFonts w:ascii="Arial" w:cs="Arial" w:eastAsia="Arial" w:hAnsi="Arial"/>
          <w:sz w:val="20"/>
          <w:szCs w:val="20"/>
        </w:rPr>
        <w:t xml:space="preserve">Window-level: Precision, Recall, F1, AUC-ROC, Average Precision (AP/AUC-PR)</w:t>
      </w:r>
    </w:p>
    <w:p>
      <w:pPr>
        <w:pStyle w:val="ListParagraph"/>
        <w:numPr>
          <w:ilvl w:val="0"/>
          <w:numId w:val="2"/>
        </w:numPr>
        <w:spacing w:before="40" w:after="40"/>
      </w:pPr>
      <w:r>
        <w:rPr>
          <w:rFonts w:ascii="Arial" w:cs="Arial" w:eastAsia="Arial" w:hAnsi="Arial"/>
          <w:sz w:val="20"/>
          <w:szCs w:val="20"/>
        </w:rPr>
        <w:t xml:space="preserve">Detection timing: Mean Time to Detect (MTTD) — seconds from ground-truth incident start to first anomalous window</w:t>
      </w:r>
    </w:p>
    <w:p>
      <w:pPr>
        <w:pStyle w:val="ListParagraph"/>
        <w:numPr>
          <w:ilvl w:val="0"/>
          <w:numId w:val="2"/>
        </w:numPr>
        <w:spacing w:before="40" w:after="40"/>
      </w:pPr>
      <w:r>
        <w:rPr>
          <w:rFonts w:ascii="Arial" w:cs="Arial" w:eastAsia="Arial" w:hAnsi="Arial"/>
          <w:sz w:val="20"/>
          <w:szCs w:val="20"/>
        </w:rPr>
        <w:t xml:space="preserve">False Positive Rate at 90% and 95% TPR operating points</w:t>
      </w:r>
    </w:p>
    <w:p>
      <w:pPr>
        <w:pStyle w:val="ListParagraph"/>
        <w:numPr>
          <w:ilvl w:val="0"/>
          <w:numId w:val="2"/>
        </w:numPr>
        <w:spacing w:before="40" w:after="40"/>
      </w:pPr>
      <w:r>
        <w:rPr>
          <w:rFonts w:ascii="Arial" w:cs="Arial" w:eastAsia="Arial" w:hAnsi="Arial"/>
          <w:sz w:val="20"/>
          <w:szCs w:val="20"/>
        </w:rPr>
        <w:t xml:space="preserve">Throughput (k events/sec) for scalability</w:t>
      </w:r>
    </w:p>
    <w:p>
      <w:pPr>
        <w:pStyle w:val="Heading2"/>
        <w:spacing w:before="240" w:after="80"/>
      </w:pPr>
      <w:r>
        <w:rPr>
          <w:rFonts w:ascii="Arial" w:cs="Arial" w:eastAsia="Arial" w:hAnsi="Arial"/>
          <w:b/>
          <w:bCs/>
          <w:color w:val="4A7FA5"/>
          <w:sz w:val="22"/>
          <w:szCs w:val="22"/>
        </w:rPr>
        <w:t xml:space="preserve">5.4  Results</w:t>
      </w:r>
    </w:p>
    <w:p>
      <w:pPr>
        <w:pStyle w:val="Heading3"/>
        <w:spacing w:before="160" w:after="60"/>
      </w:pPr>
      <w:r>
        <w:rPr>
          <w:rFonts w:ascii="Arial" w:cs="Arial" w:eastAsia="Arial" w:hAnsi="Arial"/>
          <w:b/>
          <w:bCs/>
          <w:color w:val="333333"/>
          <w:sz w:val="20"/>
          <w:szCs w:val="20"/>
        </w:rPr>
        <w:t xml:space="preserve">E1: Per-Attack Detection Performance</w:t>
      </w:r>
    </w:p>
    <w:p>
      <w:pPr>
        <w:spacing w:before="80" w:after="80" w:line="276"/>
      </w:pPr>
      <w:r>
        <w:rPr>
          <w:rFonts w:ascii="Arial" w:cs="Arial" w:eastAsia="Arial" w:hAnsi="Arial"/>
          <w:sz w:val="20"/>
          <w:szCs w:val="20"/>
        </w:rPr>
        <w:t xml:space="preserve">Table 1 shows per-attack-type detection results. Our system achieves the highest performance on DoS/AMF (F1=0.87, AUC=0.91) and Data Exfiltration (F1=0.88, AUC=0.90), which produce the strongest multi-source signal (simultaneous NF warnings and anomalous NetFlow). Lateral Movement is the hardest case (F1=0.81) because the attack unfolds slowly, spanning multiple windows before all cross-source correlations fire.</w:t>
      </w:r>
    </w:p>
    <w:p>
      <w:pPr>
        <w:spacing w:before="80" w:after="80" w:line="276"/>
      </w:pPr>
      <w:r>
        <w:rPr>
          <w:rFonts w:ascii="Arial" w:cs="Arial" w:eastAsia="Arial" w:hAnsi="Arial"/>
          <w:sz w:val="20"/>
          <w:szCs w:val="20"/>
        </w:rPr>
        <w:t xml:space="preserve">The MTTD is lowest for Signaling Storm (28s), which produces an immediate high-rate event burst, and highest for Lateral Movement (65s), which requires multiple cross-source hops to appear.</w:t>
      </w:r>
    </w:p>
    <w:p>
      <w:pPr>
        <w:spacing w:before="80" w:after="80" w:line="276"/>
      </w:pPr>
      <w:r>
        <w:rPr>
          <w:rFonts w:ascii="Arial" w:cs="Arial" w:eastAsia="Arial" w:hAnsi="Arial"/>
          <w:sz w:val="20"/>
          <w:szCs w:val="20"/>
        </w:rPr>
        <w:t xml:space="preserve"/>
      </w:r>
    </w:p>
    <w:p>
      <w:pPr>
        <w:spacing w:before="80" w:after="20"/>
        <w:jc w:val="center"/>
      </w:pPr>
      <w:r>
        <w:rPr>
          <w:rFonts w:ascii="Arial" w:cs="Arial" w:eastAsia="Arial" w:hAnsi="Arial"/>
          <w:b/>
          <w:bCs/>
          <w:sz w:val="20"/>
          <w:szCs w:val="20"/>
        </w:rPr>
        <w:t xml:space="preserve">Table 1: Per-Attack Detection Performance (mean ± std, N=5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360"/>
        <w:gridCol w:w="1200"/>
      </w:tblGrid>
      <w:tr>
        <w:tc>
          <w:tcPr>
            <w:tcW w:type="dxa" w:w="22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Attack Type</w:t>
            </w:r>
          </w:p>
        </w:tc>
        <w:tc>
          <w:tcPr>
            <w:tcW w:type="dxa" w:w="12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Precision</w:t>
            </w:r>
          </w:p>
        </w:tc>
        <w:tc>
          <w:tcPr>
            <w:tcW w:type="dxa" w:w="12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Recall</w:t>
            </w:r>
          </w:p>
        </w:tc>
        <w:tc>
          <w:tcPr>
            <w:tcW w:type="dxa" w:w="12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F1</w:t>
            </w:r>
          </w:p>
        </w:tc>
        <w:tc>
          <w:tcPr>
            <w:tcW w:type="dxa" w:w="136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AUC-ROC</w:t>
            </w:r>
          </w:p>
        </w:tc>
        <w:tc>
          <w:tcPr>
            <w:tcW w:type="dxa" w:w="12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MTTD (s)</w:t>
            </w:r>
          </w:p>
        </w:tc>
      </w:tr>
      <w:tr>
        <w:tc>
          <w:tcPr>
            <w:tcW w:type="dxa" w:w="2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DoS / DDoS (AMF)</w:t>
            </w:r>
          </w:p>
        </w:tc>
        <w:tc>
          <w:tcPr>
            <w:tcW w:type="dxa" w:w="1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0.94 ±0.02</w:t>
            </w:r>
          </w:p>
        </w:tc>
        <w:tc>
          <w:tcPr>
            <w:tcW w:type="dxa" w:w="1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0.82 ±0.03</w:t>
            </w:r>
          </w:p>
        </w:tc>
        <w:tc>
          <w:tcPr>
            <w:tcW w:type="dxa" w:w="1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bCs/>
                <w:sz w:val="18"/>
                <w:szCs w:val="18"/>
              </w:rPr>
              <w:t xml:space="preserve">0.87 ±0.02</w:t>
            </w:r>
          </w:p>
        </w:tc>
        <w:tc>
          <w:tcPr>
            <w:tcW w:type="dxa" w:w="136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0.91 ±0.01</w:t>
            </w:r>
          </w:p>
        </w:tc>
        <w:tc>
          <w:tcPr>
            <w:tcW w:type="dxa" w:w="1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35 ±4</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18"/>
                <w:szCs w:val="18"/>
              </w:rPr>
              <w:t xml:space="preserve">Lateral Movement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0.88 ±0.03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0.76 ±0.04</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sz w:val="18"/>
                <w:szCs w:val="18"/>
              </w:rPr>
              <w:t xml:space="preserve">0.81 ±0.03</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0.86 ±0.02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65 ±8</w:t>
            </w:r>
          </w:p>
        </w:tc>
      </w:tr>
      <w:tr>
        <w:tc>
          <w:tcPr>
            <w:tcW w:type="dxa" w:w="2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Privilege Escalation</w:t>
            </w:r>
          </w:p>
        </w:tc>
        <w:tc>
          <w:tcPr>
            <w:tcW w:type="dxa" w:w="1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0.91 ±0.02</w:t>
            </w:r>
          </w:p>
        </w:tc>
        <w:tc>
          <w:tcPr>
            <w:tcW w:type="dxa" w:w="1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0.80 ±0.03</w:t>
            </w:r>
          </w:p>
        </w:tc>
        <w:tc>
          <w:tcPr>
            <w:tcW w:type="dxa" w:w="1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bCs/>
                <w:sz w:val="18"/>
                <w:szCs w:val="18"/>
              </w:rPr>
              <w:t xml:space="preserve">0.85 ±0.02</w:t>
            </w:r>
          </w:p>
        </w:tc>
        <w:tc>
          <w:tcPr>
            <w:tcW w:type="dxa" w:w="136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0.89 ±0.02</w:t>
            </w:r>
          </w:p>
        </w:tc>
        <w:tc>
          <w:tcPr>
            <w:tcW w:type="dxa" w:w="1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52 ±6</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18"/>
                <w:szCs w:val="18"/>
              </w:rPr>
              <w:t xml:space="preserve">Signaling Storm (NRF)</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0.85 ±0.03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0.79 ±0.03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sz w:val="18"/>
                <w:szCs w:val="18"/>
              </w:rPr>
              <w:t xml:space="preserve">0.82 ±0.02</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0.87 ±0.02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28 ±5</w:t>
            </w:r>
          </w:p>
        </w:tc>
      </w:tr>
      <w:tr>
        <w:tc>
          <w:tcPr>
            <w:tcW w:type="dxa" w:w="2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Data Exfiltration (UPF)</w:t>
            </w:r>
          </w:p>
        </w:tc>
        <w:tc>
          <w:tcPr>
            <w:tcW w:type="dxa" w:w="1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0.93 ±0.02</w:t>
            </w:r>
          </w:p>
        </w:tc>
        <w:tc>
          <w:tcPr>
            <w:tcW w:type="dxa" w:w="1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0.83 ±0.03</w:t>
            </w:r>
          </w:p>
        </w:tc>
        <w:tc>
          <w:tcPr>
            <w:tcW w:type="dxa" w:w="1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bCs/>
                <w:sz w:val="18"/>
                <w:szCs w:val="18"/>
              </w:rPr>
              <w:t xml:space="preserve">0.88 ±0.02</w:t>
            </w:r>
          </w:p>
        </w:tc>
        <w:tc>
          <w:tcPr>
            <w:tcW w:type="dxa" w:w="136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0.90 ±0.01</w:t>
            </w:r>
          </w:p>
        </w:tc>
        <w:tc>
          <w:tcPr>
            <w:tcW w:type="dxa" w:w="1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43 ±5</w:t>
            </w:r>
          </w:p>
        </w:tc>
      </w:tr>
    </w:tbl>
    <w:p>
      <w:pPr>
        <w:spacing w:before="80" w:after="160"/>
        <w:jc w:val="center"/>
      </w:pPr>
      <w:r>
        <w:rPr>
          <w:rFonts w:ascii="Arial" w:cs="Arial" w:eastAsia="Arial" w:hAnsi="Arial"/>
          <w:color w:val="555555"/>
          <w:sz w:val="18"/>
          <w:szCs w:val="18"/>
        </w:rPr>
        <w:t xml:space="preserve">AUC = AUC-ROC; MTTD = Mean Time to Detect (seconds from incident start to first anomalous window).</w:t>
      </w:r>
    </w:p>
    <w:p>
      <w:pPr>
        <w:spacing w:before="80" w:after="80" w:line="276"/>
      </w:pPr>
      <w:r>
        <w:rPr>
          <w:rFonts w:ascii="Arial" w:cs="Arial" w:eastAsia="Arial" w:hAnsi="Arial"/>
          <w:sz w:val="20"/>
          <w:szCs w:val="20"/>
        </w:rPr>
        <w:t xml:space="preserve"/>
      </w:r>
    </w:p>
    <w:p>
      <w:pPr>
        <w:pStyle w:val="Heading3"/>
        <w:spacing w:before="160" w:after="60"/>
      </w:pPr>
      <w:r>
        <w:rPr>
          <w:rFonts w:ascii="Arial" w:cs="Arial" w:eastAsia="Arial" w:hAnsi="Arial"/>
          <w:b/>
          <w:bCs/>
          <w:color w:val="333333"/>
          <w:sz w:val="20"/>
          <w:szCs w:val="20"/>
        </w:rPr>
        <w:t xml:space="preserve">E2: Ablation Study</w:t>
      </w:r>
    </w:p>
    <w:p>
      <w:pPr>
        <w:spacing w:before="80" w:after="80" w:line="276"/>
      </w:pPr>
      <w:r>
        <w:rPr>
          <w:rFonts w:ascii="Arial" w:cs="Arial" w:eastAsia="Arial" w:hAnsi="Arial"/>
          <w:sz w:val="20"/>
          <w:szCs w:val="20"/>
        </w:rPr>
        <w:t xml:space="preserve">Table 2 shows what happens when each log source is removed. Removing 5G NF logs causes the largest drop (ΔF1=−0.147), since NF logs carry the richest semantic signal about UE registrations and NF behaviours. Removing NetFlow causes the second-largest drop (ΔF1=−0.127), as it is the primary evidence for DoS and data exfiltration. This confirms that all four sources contribute complementarily.</w:t>
      </w:r>
    </w:p>
    <w:p>
      <w:pPr>
        <w:spacing w:before="80" w:after="80" w:line="276"/>
      </w:pPr>
      <w:r>
        <w:rPr>
          <w:rFonts w:ascii="Arial" w:cs="Arial" w:eastAsia="Arial" w:hAnsi="Arial"/>
          <w:sz w:val="20"/>
          <w:szCs w:val="20"/>
        </w:rPr>
        <w:t xml:space="preserve"/>
      </w:r>
    </w:p>
    <w:p>
      <w:pPr>
        <w:spacing w:before="80" w:after="20"/>
        <w:jc w:val="center"/>
      </w:pPr>
      <w:r>
        <w:rPr>
          <w:rFonts w:ascii="Arial" w:cs="Arial" w:eastAsia="Arial" w:hAnsi="Arial"/>
          <w:b/>
          <w:bCs/>
          <w:sz w:val="20"/>
          <w:szCs w:val="20"/>
        </w:rPr>
        <w:t xml:space="preserve">Table 2: Source Ablation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3660"/>
      </w:tblGrid>
      <w:tr>
        <w:tc>
          <w:tcPr>
            <w:tcW w:type="dxa" w:w="24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Configuration</w:t>
            </w:r>
          </w:p>
        </w:tc>
        <w:tc>
          <w:tcPr>
            <w:tcW w:type="dxa" w:w="1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F1</w:t>
            </w:r>
          </w:p>
        </w:tc>
        <w:tc>
          <w:tcPr>
            <w:tcW w:type="dxa" w:w="1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AUC-ROC</w:t>
            </w:r>
          </w:p>
        </w:tc>
        <w:tc>
          <w:tcPr>
            <w:tcW w:type="dxa" w:w="1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ΔF1</w:t>
            </w:r>
          </w:p>
        </w:tc>
        <w:tc>
          <w:tcPr>
            <w:tcW w:type="dxa" w:w="366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Observation</w:t>
            </w:r>
          </w:p>
        </w:tc>
      </w:tr>
      <w:tr>
        <w:tc>
          <w:tcPr>
            <w:tcW w:type="dxa" w:w="240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left"/>
            </w:pPr>
            <w:r>
              <w:rPr>
                <w:rFonts w:ascii="Arial" w:cs="Arial" w:eastAsia="Arial" w:hAnsi="Arial"/>
                <w:b/>
                <w:bCs/>
                <w:sz w:val="18"/>
                <w:szCs w:val="18"/>
              </w:rPr>
              <w:t xml:space="preserve">All Sources (Full System)</w:t>
            </w:r>
          </w:p>
        </w:tc>
        <w:tc>
          <w:tcPr>
            <w:tcW w:type="dxa" w:w="110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center"/>
            </w:pPr>
            <w:r>
              <w:rPr>
                <w:rFonts w:ascii="Arial" w:cs="Arial" w:eastAsia="Arial" w:hAnsi="Arial"/>
                <w:b/>
                <w:bCs/>
                <w:sz w:val="18"/>
                <w:szCs w:val="18"/>
              </w:rPr>
              <w:t xml:space="preserve">0.857</w:t>
            </w:r>
          </w:p>
        </w:tc>
        <w:tc>
          <w:tcPr>
            <w:tcW w:type="dxa" w:w="110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center"/>
            </w:pPr>
            <w:r>
              <w:rPr>
                <w:rFonts w:ascii="Arial" w:cs="Arial" w:eastAsia="Arial" w:hAnsi="Arial"/>
                <w:b/>
                <w:bCs/>
                <w:sz w:val="18"/>
                <w:szCs w:val="18"/>
              </w:rPr>
              <w:t xml:space="preserve">0.891</w:t>
            </w:r>
          </w:p>
        </w:tc>
        <w:tc>
          <w:tcPr>
            <w:tcW w:type="dxa" w:w="110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center"/>
            </w:pPr>
            <w:r>
              <w:rPr>
                <w:rFonts w:ascii="Arial" w:cs="Arial" w:eastAsia="Arial" w:hAnsi="Arial"/>
                <w:b/>
                <w:bCs/>
                <w:sz w:val="18"/>
                <w:szCs w:val="18"/>
              </w:rPr>
              <w:t xml:space="preserve">—</w:t>
            </w:r>
          </w:p>
        </w:tc>
        <w:tc>
          <w:tcPr>
            <w:tcW w:type="dxa" w:w="366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left"/>
            </w:pPr>
            <w:r>
              <w:rPr>
                <w:rFonts w:ascii="Arial" w:cs="Arial" w:eastAsia="Arial" w:hAnsi="Arial"/>
                <w:b/>
                <w:bCs/>
                <w:sz w:val="18"/>
                <w:szCs w:val="18"/>
              </w:rPr>
              <w:t xml:space="preserve">Baseline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18"/>
                <w:szCs w:val="18"/>
              </w:rPr>
              <w:t xml:space="preserve">Without 5G NF Logs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0.710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0.740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-0.147</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18"/>
                <w:szCs w:val="18"/>
              </w:rPr>
              <w:t xml:space="preserve">↓ largest drop</w:t>
            </w:r>
          </w:p>
        </w:tc>
      </w:tr>
      <w:tr>
        <w:tc>
          <w:tcPr>
            <w:tcW w:type="dxa" w:w="24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left"/>
            </w:pPr>
            <w:r>
              <w:rPr>
                <w:rFonts w:ascii="Arial" w:cs="Arial" w:eastAsia="Arial" w:hAnsi="Arial"/>
                <w:b/>
                <w:bCs/>
                <w:sz w:val="18"/>
                <w:szCs w:val="18"/>
              </w:rPr>
              <w:t xml:space="preserve">Without Kubernetes Logs</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0.780</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0.810</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-0.077</w:t>
            </w:r>
          </w:p>
        </w:tc>
        <w:tc>
          <w:tcPr>
            <w:tcW w:type="dxa" w:w="366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 lateral movement missed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18"/>
                <w:szCs w:val="18"/>
              </w:rPr>
              <w:t xml:space="preserve">Without Syslog</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0.800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0.830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-0.057</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18"/>
                <w:szCs w:val="18"/>
              </w:rPr>
              <w:t xml:space="preserve">↓ priv-esc missed</w:t>
            </w:r>
          </w:p>
        </w:tc>
      </w:tr>
      <w:tr>
        <w:tc>
          <w:tcPr>
            <w:tcW w:type="dxa" w:w="24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left"/>
            </w:pPr>
            <w:r>
              <w:rPr>
                <w:rFonts w:ascii="Arial" w:cs="Arial" w:eastAsia="Arial" w:hAnsi="Arial"/>
                <w:b/>
                <w:bCs/>
                <w:sz w:val="18"/>
                <w:szCs w:val="18"/>
              </w:rPr>
              <w:t xml:space="preserve">Without NetFlow</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0.730</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0.760</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-0.127</w:t>
            </w:r>
          </w:p>
        </w:tc>
        <w:tc>
          <w:tcPr>
            <w:tcW w:type="dxa" w:w="366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 exfil/DoS missed</w:t>
            </w:r>
          </w:p>
        </w:tc>
      </w:tr>
    </w:tbl>
    <w:p>
      <w:pPr>
        <w:spacing w:before="80" w:after="160"/>
        <w:jc w:val="center"/>
      </w:pPr>
      <w:r>
        <w:rPr>
          <w:rFonts w:ascii="Arial" w:cs="Arial" w:eastAsia="Arial" w:hAnsi="Arial"/>
          <w:color w:val="555555"/>
          <w:sz w:val="18"/>
          <w:szCs w:val="18"/>
        </w:rPr>
        <w:t xml:space="preserve">ΔF1 is relative to the full-source configuration. All differences are statistically significant (p&lt;0.05).</w:t>
      </w:r>
    </w:p>
    <w:p>
      <w:pPr>
        <w:spacing w:before="80" w:after="80" w:line="276"/>
      </w:pPr>
      <w:r>
        <w:rPr>
          <w:rFonts w:ascii="Arial" w:cs="Arial" w:eastAsia="Arial" w:hAnsi="Arial"/>
          <w:sz w:val="20"/>
          <w:szCs w:val="20"/>
        </w:rPr>
        <w:t xml:space="preserve"/>
      </w:r>
    </w:p>
    <w:p>
      <w:pPr>
        <w:pStyle w:val="Heading3"/>
        <w:spacing w:before="160" w:after="60"/>
      </w:pPr>
      <w:r>
        <w:rPr>
          <w:rFonts w:ascii="Arial" w:cs="Arial" w:eastAsia="Arial" w:hAnsi="Arial"/>
          <w:b/>
          <w:bCs/>
          <w:color w:val="333333"/>
          <w:sz w:val="20"/>
          <w:szCs w:val="20"/>
        </w:rPr>
        <w:t xml:space="preserve">E3: Window Size Sensitivity</w:t>
      </w:r>
    </w:p>
    <w:p>
      <w:pPr>
        <w:spacing w:before="80" w:after="80" w:line="276"/>
      </w:pPr>
      <w:r>
        <w:rPr>
          <w:rFonts w:ascii="Arial" w:cs="Arial" w:eastAsia="Arial" w:hAnsi="Arial"/>
          <w:sz w:val="20"/>
          <w:szCs w:val="20"/>
        </w:rPr>
        <w:t xml:space="preserve">Table 3 shows the effect of window size. W=60s achieves the best F1 by balancing context richness (larger windows see more cross-source events) against granularity (smaller windows localise attacks better). At W=300s, the MTTD degrades unacceptably (&gt;4 minutes) and precision increases at the cost of recall as attacks bleed across window boundaries.</w:t>
      </w:r>
    </w:p>
    <w:p>
      <w:pPr>
        <w:spacing w:before="80" w:after="80" w:line="276"/>
      </w:pPr>
      <w:r>
        <w:rPr>
          <w:rFonts w:ascii="Arial" w:cs="Arial" w:eastAsia="Arial" w:hAnsi="Arial"/>
          <w:sz w:val="20"/>
          <w:szCs w:val="20"/>
        </w:rPr>
        <w:t xml:space="preserve"/>
      </w:r>
    </w:p>
    <w:p>
      <w:pPr>
        <w:spacing w:before="80" w:after="20"/>
        <w:jc w:val="center"/>
      </w:pPr>
      <w:r>
        <w:rPr>
          <w:rFonts w:ascii="Arial" w:cs="Arial" w:eastAsia="Arial" w:hAnsi="Arial"/>
          <w:b/>
          <w:bCs/>
          <w:sz w:val="20"/>
          <w:szCs w:val="20"/>
        </w:rPr>
        <w:t xml:space="preserve">Table 3: Window Size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900"/>
        <w:gridCol w:w="3660"/>
      </w:tblGrid>
      <w:tr>
        <w:tc>
          <w:tcPr>
            <w:tcW w:type="dxa" w:w="15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Window</w:t>
            </w:r>
          </w:p>
        </w:tc>
        <w:tc>
          <w:tcPr>
            <w:tcW w:type="dxa" w:w="1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F1</w:t>
            </w:r>
          </w:p>
        </w:tc>
        <w:tc>
          <w:tcPr>
            <w:tcW w:type="dxa" w:w="1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Precision</w:t>
            </w:r>
          </w:p>
        </w:tc>
        <w:tc>
          <w:tcPr>
            <w:tcW w:type="dxa" w:w="1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AUC</w:t>
            </w:r>
          </w:p>
        </w:tc>
        <w:tc>
          <w:tcPr>
            <w:tcW w:type="dxa" w:w="9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Windows</w:t>
            </w:r>
          </w:p>
        </w:tc>
        <w:tc>
          <w:tcPr>
            <w:tcW w:type="dxa" w:w="366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15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30s</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0.832</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0.801</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0.860</w:t>
            </w:r>
          </w:p>
        </w:tc>
        <w:tc>
          <w:tcPr>
            <w:tcW w:type="dxa" w:w="9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120</w:t>
            </w:r>
          </w:p>
        </w:tc>
        <w:tc>
          <w:tcPr>
            <w:tcW w:type="dxa" w:w="366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High FP due to sparse context</w:t>
            </w:r>
          </w:p>
        </w:tc>
      </w:tr>
      <w:tr>
        <w:tc>
          <w:tcPr>
            <w:tcW w:type="dxa" w:w="150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left"/>
            </w:pPr>
            <w:r>
              <w:rPr>
                <w:rFonts w:ascii="Arial" w:cs="Arial" w:eastAsia="Arial" w:hAnsi="Arial"/>
                <w:b/>
                <w:bCs/>
                <w:sz w:val="18"/>
                <w:szCs w:val="18"/>
              </w:rPr>
              <w:t xml:space="preserve">60s (selected)</w:t>
            </w:r>
          </w:p>
        </w:tc>
        <w:tc>
          <w:tcPr>
            <w:tcW w:type="dxa" w:w="110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center"/>
            </w:pPr>
            <w:r>
              <w:rPr>
                <w:rFonts w:ascii="Arial" w:cs="Arial" w:eastAsia="Arial" w:hAnsi="Arial"/>
                <w:b/>
                <w:bCs/>
                <w:sz w:val="18"/>
                <w:szCs w:val="18"/>
              </w:rPr>
              <w:t xml:space="preserve">0.857</w:t>
            </w:r>
          </w:p>
        </w:tc>
        <w:tc>
          <w:tcPr>
            <w:tcW w:type="dxa" w:w="110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center"/>
            </w:pPr>
            <w:r>
              <w:rPr>
                <w:rFonts w:ascii="Arial" w:cs="Arial" w:eastAsia="Arial" w:hAnsi="Arial"/>
                <w:b/>
                <w:bCs/>
                <w:sz w:val="18"/>
                <w:szCs w:val="18"/>
              </w:rPr>
              <w:t xml:space="preserve">0.831</w:t>
            </w:r>
          </w:p>
        </w:tc>
        <w:tc>
          <w:tcPr>
            <w:tcW w:type="dxa" w:w="110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center"/>
            </w:pPr>
            <w:r>
              <w:rPr>
                <w:rFonts w:ascii="Arial" w:cs="Arial" w:eastAsia="Arial" w:hAnsi="Arial"/>
                <w:b/>
                <w:bCs/>
                <w:sz w:val="18"/>
                <w:szCs w:val="18"/>
              </w:rPr>
              <w:t xml:space="preserve">0.891</w:t>
            </w:r>
          </w:p>
        </w:tc>
        <w:tc>
          <w:tcPr>
            <w:tcW w:type="dxa" w:w="90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center"/>
            </w:pPr>
            <w:r>
              <w:rPr>
                <w:rFonts w:ascii="Arial" w:cs="Arial" w:eastAsia="Arial" w:hAnsi="Arial"/>
                <w:b/>
                <w:bCs/>
                <w:sz w:val="18"/>
                <w:szCs w:val="18"/>
              </w:rPr>
              <w:t xml:space="preserve">70</w:t>
            </w:r>
          </w:p>
        </w:tc>
        <w:tc>
          <w:tcPr>
            <w:tcW w:type="dxa" w:w="366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left"/>
            </w:pPr>
            <w:r>
              <w:rPr>
                <w:rFonts w:ascii="Arial" w:cs="Arial" w:eastAsia="Arial" w:hAnsi="Arial"/>
                <w:b/>
                <w:bCs/>
                <w:sz w:val="18"/>
                <w:szCs w:val="18"/>
              </w:rPr>
              <w:t xml:space="preserve">Best F1/latency trade-off</w:t>
            </w:r>
          </w:p>
        </w:tc>
      </w:tr>
      <w:tr>
        <w:tc>
          <w:tcPr>
            <w:tcW w:type="dxa" w:w="15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120s</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0.820</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0.852</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0.878</w:t>
            </w:r>
          </w:p>
        </w:tc>
        <w:tc>
          <w:tcPr>
            <w:tcW w:type="dxa" w:w="9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35</w:t>
            </w:r>
          </w:p>
        </w:tc>
        <w:tc>
          <w:tcPr>
            <w:tcW w:type="dxa" w:w="366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Lower recall, attacks span windows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18"/>
                <w:szCs w:val="18"/>
              </w:rPr>
              <w:t xml:space="preserve">300s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0.760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0.880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0.852</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14</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18"/>
                <w:szCs w:val="18"/>
              </w:rPr>
              <w:t xml:space="preserve">Poor MTTD, coarse granularity</w:t>
            </w:r>
          </w:p>
        </w:tc>
      </w:tr>
    </w:tbl>
    <w:p>
      <w:pPr>
        <w:spacing w:before="80" w:after="80" w:line="276"/>
      </w:pPr>
      <w:r>
        <w:rPr>
          <w:rFonts w:ascii="Arial" w:cs="Arial" w:eastAsia="Arial" w:hAnsi="Arial"/>
          <w:sz w:val="20"/>
          <w:szCs w:val="20"/>
        </w:rPr>
        <w:t xml:space="preserve"/>
      </w:r>
    </w:p>
    <w:p>
      <w:pPr>
        <w:pStyle w:val="Heading3"/>
        <w:spacing w:before="160" w:after="60"/>
      </w:pPr>
      <w:r>
        <w:rPr>
          <w:rFonts w:ascii="Arial" w:cs="Arial" w:eastAsia="Arial" w:hAnsi="Arial"/>
          <w:b/>
          <w:bCs/>
          <w:color w:val="333333"/>
          <w:sz w:val="20"/>
          <w:szCs w:val="20"/>
        </w:rPr>
        <w:t xml:space="preserve">E4: Baseline Comparison</w:t>
      </w:r>
    </w:p>
    <w:p>
      <w:pPr>
        <w:spacing w:before="80" w:after="80" w:line="276"/>
      </w:pPr>
      <w:r>
        <w:rPr>
          <w:rFonts w:ascii="Arial" w:cs="Arial" w:eastAsia="Arial" w:hAnsi="Arial"/>
          <w:sz w:val="20"/>
          <w:szCs w:val="20"/>
        </w:rPr>
        <w:t xml:space="preserve">Table 4 compares our approach to four single-source baselines, each using the same Isolation Forest detector on features extracted from a single log source. Our multi-source approach outperforms the best single-source baseline (Single: 5G NF, F1=0.650) by +0.207 F1 (p=0.031). All differences are statistically significant. The Wilcoxon signed-rank test is used because distributions are non-Gaussian (Shapiro-Wilk test rejects normality for all baselines, p&lt;0.05).</w:t>
      </w:r>
    </w:p>
    <w:p>
      <w:pPr>
        <w:spacing w:before="80" w:after="80" w:line="276"/>
      </w:pPr>
      <w:r>
        <w:rPr>
          <w:rFonts w:ascii="Arial" w:cs="Arial" w:eastAsia="Arial" w:hAnsi="Arial"/>
          <w:sz w:val="20"/>
          <w:szCs w:val="20"/>
        </w:rPr>
        <w:t xml:space="preserve"/>
      </w:r>
    </w:p>
    <w:p>
      <w:pPr>
        <w:spacing w:before="80" w:after="20"/>
        <w:jc w:val="center"/>
      </w:pPr>
      <w:r>
        <w:rPr>
          <w:rFonts w:ascii="Arial" w:cs="Arial" w:eastAsia="Arial" w:hAnsi="Arial"/>
          <w:b/>
          <w:bCs/>
          <w:sz w:val="20"/>
          <w:szCs w:val="20"/>
        </w:rPr>
        <w:t xml:space="preserve">Table 4: Baseline Comparison with Statistical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1200"/>
        <w:gridCol w:w="900"/>
        <w:gridCol w:w="860"/>
      </w:tblGrid>
      <w:tr>
        <w:tc>
          <w:tcPr>
            <w:tcW w:type="dxa" w:w="20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1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F1</w:t>
            </w:r>
          </w:p>
        </w:tc>
        <w:tc>
          <w:tcPr>
            <w:tcW w:type="dxa" w:w="1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AUC-ROC</w:t>
            </w:r>
          </w:p>
        </w:tc>
        <w:tc>
          <w:tcPr>
            <w:tcW w:type="dxa" w:w="1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w:t>
            </w:r>
          </w:p>
        </w:tc>
        <w:tc>
          <w:tcPr>
            <w:tcW w:type="dxa" w:w="12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ΔF1</w:t>
            </w:r>
          </w:p>
        </w:tc>
        <w:tc>
          <w:tcPr>
            <w:tcW w:type="dxa" w:w="9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p-val</w:t>
            </w:r>
          </w:p>
        </w:tc>
        <w:tc>
          <w:tcPr>
            <w:tcW w:type="dxa" w:w="86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Sig.</w:t>
            </w:r>
          </w:p>
        </w:tc>
      </w:tr>
      <w:tr>
        <w:tc>
          <w:tcPr>
            <w:tcW w:type="dxa" w:w="200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left"/>
            </w:pPr>
            <w:r>
              <w:rPr>
                <w:rFonts w:ascii="Arial" w:cs="Arial" w:eastAsia="Arial" w:hAnsi="Arial"/>
                <w:b/>
                <w:bCs/>
                <w:sz w:val="18"/>
                <w:szCs w:val="18"/>
              </w:rPr>
              <w:t xml:space="preserve">MultiSource (Ours)</w:t>
            </w:r>
          </w:p>
        </w:tc>
        <w:tc>
          <w:tcPr>
            <w:tcW w:type="dxa" w:w="110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center"/>
            </w:pPr>
            <w:r>
              <w:rPr>
                <w:rFonts w:ascii="Arial" w:cs="Arial" w:eastAsia="Arial" w:hAnsi="Arial"/>
                <w:b/>
                <w:bCs/>
                <w:sz w:val="18"/>
                <w:szCs w:val="18"/>
              </w:rPr>
              <w:t xml:space="preserve">0.857</w:t>
            </w:r>
          </w:p>
        </w:tc>
        <w:tc>
          <w:tcPr>
            <w:tcW w:type="dxa" w:w="110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center"/>
            </w:pPr>
            <w:r>
              <w:rPr>
                <w:rFonts w:ascii="Arial" w:cs="Arial" w:eastAsia="Arial" w:hAnsi="Arial"/>
                <w:b/>
                <w:bCs/>
                <w:sz w:val="18"/>
                <w:szCs w:val="18"/>
              </w:rPr>
              <w:t xml:space="preserve">0.891</w:t>
            </w:r>
          </w:p>
        </w:tc>
        <w:tc>
          <w:tcPr>
            <w:tcW w:type="dxa" w:w="110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center"/>
            </w:pPr>
            <w:r>
              <w:rPr>
                <w:rFonts w:ascii="Arial" w:cs="Arial" w:eastAsia="Arial" w:hAnsi="Arial"/>
                <w:b/>
                <w:bCs/>
                <w:sz w:val="18"/>
                <w:szCs w:val="18"/>
              </w:rPr>
              <w:t xml:space="preserve">0.868</w:t>
            </w:r>
          </w:p>
        </w:tc>
        <w:tc>
          <w:tcPr>
            <w:tcW w:type="dxa" w:w="120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center"/>
            </w:pPr>
            <w:r>
              <w:rPr>
                <w:rFonts w:ascii="Arial" w:cs="Arial" w:eastAsia="Arial" w:hAnsi="Arial"/>
                <w:b/>
                <w:bCs/>
                <w:sz w:val="18"/>
                <w:szCs w:val="18"/>
              </w:rPr>
              <w:t xml:space="preserve">—</w:t>
            </w:r>
          </w:p>
        </w:tc>
        <w:tc>
          <w:tcPr>
            <w:tcW w:type="dxa" w:w="90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center"/>
            </w:pPr>
            <w:r>
              <w:rPr>
                <w:rFonts w:ascii="Arial" w:cs="Arial" w:eastAsia="Arial" w:hAnsi="Arial"/>
                <w:b/>
                <w:bCs/>
                <w:sz w:val="18"/>
                <w:szCs w:val="18"/>
              </w:rPr>
              <w:t xml:space="preserve">—</w:t>
            </w:r>
          </w:p>
        </w:tc>
        <w:tc>
          <w:tcPr>
            <w:tcW w:type="dxa" w:w="860"/>
            <w:tcBorders>
              <w:top w:val="single" w:color="CCCCCC" w:sz="1"/>
              <w:left w:val="single" w:color="CCCCCC" w:sz="1"/>
              <w:bottom w:val="single" w:color="CCCCCC" w:sz="1"/>
              <w:right w:val="single" w:color="CCCCCC" w:sz="1"/>
            </w:tcBorders>
            <w:shd w:fill="EBF5FF" w:val="clear"/>
            <w:tcMar>
              <w:top w:type="dxa" w:w="60"/>
              <w:left w:type="dxa" w:w="120"/>
              <w:bottom w:type="dxa" w:w="60"/>
              <w:right w:type="dxa" w:w="120"/>
            </w:tcMar>
          </w:tcPr>
          <w:p>
            <w:pPr>
              <w:jc w:val="center"/>
            </w:pPr>
            <w:r>
              <w:rPr>
                <w:rFonts w:ascii="Arial" w:cs="Arial" w:eastAsia="Arial" w:hAnsi="Arial"/>
                <w:b/>
                <w:bCs/>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18"/>
                <w:szCs w:val="18"/>
              </w:rPr>
              <w:t xml:space="preserve">Single: 5G NF only</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0.650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0.710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0.680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+0.205</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0.031</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Single: K8s only</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0.580</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0.640</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0.601</w:t>
            </w:r>
          </w:p>
        </w:tc>
        <w:tc>
          <w:tcPr>
            <w:tcW w:type="dxa" w:w="1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+0.287</w:t>
            </w:r>
          </w:p>
        </w:tc>
        <w:tc>
          <w:tcPr>
            <w:tcW w:type="dxa" w:w="9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0.031</w:t>
            </w:r>
          </w:p>
        </w:tc>
        <w:tc>
          <w:tcPr>
            <w:tcW w:type="dxa" w:w="86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18"/>
                <w:szCs w:val="18"/>
              </w:rPr>
              <w:t xml:space="preserve">Single: Syslog only</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0.520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0.590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0.551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+0.324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0.031</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Single: NetFlow only</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0.610</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0.680</w:t>
            </w:r>
          </w:p>
        </w:tc>
        <w:tc>
          <w:tcPr>
            <w:tcW w:type="dxa" w:w="11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0.645</w:t>
            </w:r>
          </w:p>
        </w:tc>
        <w:tc>
          <w:tcPr>
            <w:tcW w:type="dxa" w:w="12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+0.243</w:t>
            </w:r>
          </w:p>
        </w:tc>
        <w:tc>
          <w:tcPr>
            <w:tcW w:type="dxa" w:w="90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0.031</w:t>
            </w:r>
          </w:p>
        </w:tc>
        <w:tc>
          <w:tcPr>
            <w:tcW w:type="dxa" w:w="860"/>
            <w:tcBorders>
              <w:top w:val="single" w:color="CCCCCC" w:sz="1"/>
              <w:left w:val="single" w:color="CCCCCC" w:sz="1"/>
              <w:bottom w:val="single" w:color="CCCCCC" w:sz="1"/>
              <w:right w:val="single" w:color="CCCCCC" w:sz="1"/>
            </w:tcBorders>
            <w:shd w:fill="F4F8FC"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w:t>
            </w:r>
          </w:p>
        </w:tc>
      </w:tr>
    </w:tbl>
    <w:p>
      <w:pPr>
        <w:spacing w:before="80" w:after="160"/>
        <w:jc w:val="center"/>
      </w:pPr>
      <w:r>
        <w:rPr>
          <w:rFonts w:ascii="Arial" w:cs="Arial" w:eastAsia="Arial" w:hAnsi="Arial"/>
          <w:color w:val="555555"/>
          <w:sz w:val="18"/>
          <w:szCs w:val="18"/>
        </w:rPr>
        <w:t xml:space="preserve">★=our method; ✓=statistically significant (p&lt;0.05, Wilcoxon signed-rank, one-tailed). ΔF1 = our F1 − baseline F1. 95% CI via bootstrap (B=1000).</w:t>
      </w:r>
    </w:p>
    <w:p>
      <w:pPr>
        <w:spacing w:before="80" w:after="80" w:line="276"/>
      </w:pPr>
      <w:r>
        <w:rPr>
          <w:rFonts w:ascii="Arial" w:cs="Arial" w:eastAsia="Arial" w:hAnsi="Arial"/>
          <w:sz w:val="20"/>
          <w:szCs w:val="20"/>
        </w:rPr>
        <w:t xml:space="preserve"/>
      </w:r>
    </w:p>
    <w:p>
      <w:pPr>
        <w:pStyle w:val="Heading3"/>
        <w:spacing w:before="160" w:after="60"/>
      </w:pPr>
      <w:r>
        <w:rPr>
          <w:rFonts w:ascii="Arial" w:cs="Arial" w:eastAsia="Arial" w:hAnsi="Arial"/>
          <w:b/>
          <w:bCs/>
          <w:color w:val="333333"/>
          <w:sz w:val="20"/>
          <w:szCs w:val="20"/>
        </w:rPr>
        <w:t xml:space="preserve">E5: Scalability</w:t>
      </w:r>
    </w:p>
    <w:p>
      <w:pPr>
        <w:spacing w:before="80" w:after="80" w:line="276"/>
      </w:pPr>
      <w:r>
        <w:rPr>
          <w:rFonts w:ascii="Arial" w:cs="Arial" w:eastAsia="Arial" w:hAnsi="Arial"/>
          <w:sz w:val="20"/>
          <w:szCs w:val="20"/>
        </w:rPr>
        <w:t xml:space="preserve">The normalisation stage processes 82k events/sec at low volume and sustains 65k events/sec at 50k events, well above the 15 events/sec generation rate (4,300× headroom). The full pipeline (including graph construction and Isolation Forest inference) processes 8–12k events/sec, a 500× headroom. Memory usage is O(W·λ) per window and bounded by the sliding window buffer. The system can comfortably handle production 5G deployments in real time.</w:t>
      </w:r>
    </w:p>
    <w:p>
      <w:pPr>
        <w:pageBreakBefore/>
      </w:pPr>
      <w:r>
        <w:t xml:space="preserve"/>
      </w:r>
    </w:p>
    <w:p>
      <w:pPr>
        <w:pStyle w:val="Heading1"/>
        <w:spacing w:before="320" w:after="120"/>
      </w:pPr>
      <w:r>
        <w:rPr>
          <w:rFonts w:ascii="Arial" w:cs="Arial" w:eastAsia="Arial" w:hAnsi="Arial"/>
          <w:b/>
          <w:bCs/>
          <w:color w:val="2E4057"/>
          <w:sz w:val="28"/>
          <w:szCs w:val="28"/>
        </w:rPr>
        <w:t xml:space="preserve">6  Discussion</w:t>
      </w:r>
    </w:p>
    <w:p>
      <w:pPr>
        <w:pStyle w:val="Heading2"/>
        <w:spacing w:before="240" w:after="80"/>
      </w:pPr>
      <w:r>
        <w:rPr>
          <w:rFonts w:ascii="Arial" w:cs="Arial" w:eastAsia="Arial" w:hAnsi="Arial"/>
          <w:b/>
          <w:bCs/>
          <w:color w:val="4A7FA5"/>
          <w:sz w:val="22"/>
          <w:szCs w:val="22"/>
        </w:rPr>
        <w:t xml:space="preserve">6.1  Limitations</w:t>
      </w:r>
    </w:p>
    <w:p>
      <w:pPr>
        <w:spacing w:before="80" w:after="80" w:line="276"/>
      </w:pPr>
      <w:r>
        <w:rPr>
          <w:rFonts w:ascii="Arial" w:cs="Arial" w:eastAsia="Arial" w:hAnsi="Arial"/>
          <w:sz w:val="20"/>
          <w:szCs w:val="20"/>
        </w:rPr>
        <w:t xml:space="preserve">Our evaluation is based on synthetic logs. While the generator carefully models realistic NF interaction patterns and known attack TTPs, it may not capture all the noise, clock skew, log truncation, or vendor-specific log format variations seen in production deployments. We plan to validate on real operator logs in future work (under NDA).</w:t>
      </w:r>
    </w:p>
    <w:p>
      <w:pPr>
        <w:spacing w:before="80" w:after="80" w:line="276"/>
      </w:pPr>
      <w:r>
        <w:rPr>
          <w:rFonts w:ascii="Arial" w:cs="Arial" w:eastAsia="Arial" w:hAnsi="Arial"/>
          <w:sz w:val="20"/>
          <w:szCs w:val="20"/>
        </w:rPr>
        <w:t xml:space="preserve">The rule-based attack classifier in Stage 6 requires manual engineering of feature signatures. A learnable classifier (e.g., a GNN on the incident's provenance graph) would generalise better to novel attack variants. This is left as future work.</w:t>
      </w:r>
    </w:p>
    <w:p>
      <w:pPr>
        <w:pStyle w:val="Heading2"/>
        <w:spacing w:before="240" w:after="80"/>
      </w:pPr>
      <w:r>
        <w:rPr>
          <w:rFonts w:ascii="Arial" w:cs="Arial" w:eastAsia="Arial" w:hAnsi="Arial"/>
          <w:b/>
          <w:bCs/>
          <w:color w:val="4A7FA5"/>
          <w:sz w:val="22"/>
          <w:szCs w:val="22"/>
        </w:rPr>
        <w:t xml:space="preserve">6.2  Threat to Validity</w:t>
      </w:r>
    </w:p>
    <w:p>
      <w:pPr>
        <w:spacing w:before="80" w:after="80" w:line="276"/>
      </w:pPr>
      <w:r>
        <w:rPr>
          <w:rFonts w:ascii="Arial" w:cs="Arial" w:eastAsia="Arial" w:hAnsi="Arial"/>
          <w:sz w:val="20"/>
          <w:szCs w:val="20"/>
        </w:rPr>
        <w:t xml:space="preserve">Internal validity: the Isolation Forest contamination parameter (0.05) was set before any test runs and not tuned per attack. External validity: results may differ on real 5G deployments with different NF vendors (Ericsson, Nokia, Huawei) or proprietary log formats. We encourage the community to extend our open-source generator with real log samples.</w:t>
      </w:r>
    </w:p>
    <w:p>
      <w:pPr>
        <w:pStyle w:val="Heading2"/>
        <w:spacing w:before="240" w:after="80"/>
      </w:pPr>
      <w:r>
        <w:rPr>
          <w:rFonts w:ascii="Arial" w:cs="Arial" w:eastAsia="Arial" w:hAnsi="Arial"/>
          <w:b/>
          <w:bCs/>
          <w:color w:val="4A7FA5"/>
          <w:sz w:val="22"/>
          <w:szCs w:val="22"/>
        </w:rPr>
        <w:t xml:space="preserve">6.3  Ethics and Data Privacy</w:t>
      </w:r>
    </w:p>
    <w:p>
      <w:pPr>
        <w:spacing w:before="80" w:after="80" w:line="276"/>
      </w:pPr>
      <w:r>
        <w:rPr>
          <w:rFonts w:ascii="Arial" w:cs="Arial" w:eastAsia="Arial" w:hAnsi="Arial"/>
          <w:sz w:val="20"/>
          <w:szCs w:val="20"/>
        </w:rPr>
        <w:t xml:space="preserve">All experiments use fully synthetic data with no real subscriber identifiers. The SUPI pool is randomly generated. Our framework is designed for operator-internal SOC use; no data leaves the operator's infrastructure.</w:t>
      </w:r>
    </w:p>
    <w:p>
      <w:pPr>
        <w:pageBreakBefore/>
      </w:pPr>
      <w:r>
        <w:t xml:space="preserve"/>
      </w:r>
    </w:p>
    <w:p>
      <w:pPr>
        <w:pStyle w:val="Heading1"/>
        <w:spacing w:before="320" w:after="120"/>
      </w:pPr>
      <w:r>
        <w:rPr>
          <w:rFonts w:ascii="Arial" w:cs="Arial" w:eastAsia="Arial" w:hAnsi="Arial"/>
          <w:b/>
          <w:bCs/>
          <w:color w:val="2E4057"/>
          <w:sz w:val="28"/>
          <w:szCs w:val="28"/>
        </w:rPr>
        <w:t xml:space="preserve">7  Conclusion</w:t>
      </w:r>
    </w:p>
    <w:p>
      <w:pPr>
        <w:spacing w:before="80" w:after="80" w:line="276"/>
      </w:pPr>
      <w:r>
        <w:rPr>
          <w:rFonts w:ascii="Arial" w:cs="Arial" w:eastAsia="Arial" w:hAnsi="Arial"/>
          <w:sz w:val="20"/>
          <w:szCs w:val="20"/>
        </w:rPr>
        <w:t xml:space="preserve">We presented a multi-source log correlation framework for 5G SOC environments, grounded in provenance graph theory and validated through six experiment families with statistical hypothesis testing. Our key findings are: (i) multi-source correlation yields a +0.21 F1 gain over the best single-source baseline; (ii) 5G NF logs and NetFlow are the most informative sources; (iii) a 60-second sliding window with 30-second stride provides the best detection/latency trade-off; (iv) the system scales to 8k+ events/sec with sub-65-second MTTD. Future work will focus on real-operator log validation, learnable incident classification, and extension to O-RAN distributed unit logs.</w:t>
      </w:r>
    </w:p>
    <w:p>
      <w:pPr>
        <w:pageBreakBefore/>
      </w:pPr>
      <w:r>
        <w:t xml:space="preserve"/>
      </w:r>
    </w:p>
    <w:p>
      <w:pPr>
        <w:pStyle w:val="Heading1"/>
        <w:spacing w:before="320" w:after="120"/>
      </w:pPr>
      <w:r>
        <w:rPr>
          <w:rFonts w:ascii="Arial" w:cs="Arial" w:eastAsia="Arial" w:hAnsi="Arial"/>
          <w:b/>
          <w:bCs/>
          <w:color w:val="2E4057"/>
          <w:sz w:val="28"/>
          <w:szCs w:val="28"/>
        </w:rPr>
        <w:t xml:space="preserve">References</w:t>
      </w:r>
    </w:p>
    <w:p>
      <w:pPr>
        <w:spacing w:before="40" w:after="20"/>
      </w:pPr>
      <w:r>
        <w:rPr>
          <w:rFonts w:ascii="Arial" w:cs="Arial" w:eastAsia="Arial" w:hAnsi="Arial"/>
          <w:color w:val="333333"/>
          <w:sz w:val="17"/>
          <w:szCs w:val="17"/>
        </w:rPr>
        <w:t xml:space="preserve">[1] Wen et al. 5G-Spector: O-RAN Compliant Layer-3 Attack Detection. NDSS 2024.</w:t>
      </w:r>
    </w:p>
    <w:p>
      <w:pPr>
        <w:spacing w:before="40" w:after="20"/>
      </w:pPr>
      <w:r>
        <w:rPr>
          <w:rFonts w:ascii="Arial" w:cs="Arial" w:eastAsia="Arial" w:hAnsi="Arial"/>
          <w:color w:val="333333"/>
          <w:sz w:val="17"/>
          <w:szCs w:val="17"/>
        </w:rPr>
        <w:t xml:space="preserve">[2] Milajerdi et al. HOLMES: Real-Time APT Detection through Provenance Graph Analysis. S&amp;P 2019.</w:t>
      </w:r>
    </w:p>
    <w:p>
      <w:pPr>
        <w:spacing w:before="40" w:after="20"/>
      </w:pPr>
      <w:r>
        <w:rPr>
          <w:rFonts w:ascii="Arial" w:cs="Arial" w:eastAsia="Arial" w:hAnsi="Arial"/>
          <w:color w:val="333333"/>
          <w:sz w:val="17"/>
          <w:szCs w:val="17"/>
        </w:rPr>
        <w:t xml:space="preserve">[3] Han et al. UNICORN: Runtime Provenance-Based Detector for Advanced Persistent Threats. NDSS 2020.</w:t>
      </w:r>
    </w:p>
    <w:p>
      <w:pPr>
        <w:spacing w:before="40" w:after="20"/>
      </w:pPr>
      <w:r>
        <w:rPr>
          <w:rFonts w:ascii="Arial" w:cs="Arial" w:eastAsia="Arial" w:hAnsi="Arial"/>
          <w:color w:val="333333"/>
          <w:sz w:val="17"/>
          <w:szCs w:val="17"/>
        </w:rPr>
        <w:t xml:space="preserve">[4] Du et al. DeepLog: Anomaly Detection and Diagnosis from System Logs. CCS 2017.</w:t>
      </w:r>
    </w:p>
    <w:p>
      <w:pPr>
        <w:spacing w:before="40" w:after="20"/>
      </w:pPr>
      <w:r>
        <w:rPr>
          <w:rFonts w:ascii="Arial" w:cs="Arial" w:eastAsia="Arial" w:hAnsi="Arial"/>
          <w:color w:val="333333"/>
          <w:sz w:val="17"/>
          <w:szCs w:val="17"/>
        </w:rPr>
        <w:t xml:space="preserve">[5] Li et al. GLAD: Content-Aware Dynamic Graphs for Log Anomaly Detection. ICKG 2023.</w:t>
      </w:r>
    </w:p>
    <w:p>
      <w:pPr>
        <w:spacing w:before="40" w:after="20"/>
      </w:pPr>
      <w:r>
        <w:rPr>
          <w:rFonts w:ascii="Arial" w:cs="Arial" w:eastAsia="Arial" w:hAnsi="Arial"/>
          <w:color w:val="333333"/>
          <w:sz w:val="17"/>
          <w:szCs w:val="17"/>
        </w:rPr>
        <w:t xml:space="preserve">[6] Zixu et al. ADSeq-5GCN: Anomaly Detection from NF Traffic Sequences. HPSR 2023.</w:t>
      </w:r>
    </w:p>
    <w:p>
      <w:pPr>
        <w:spacing w:before="40" w:after="20"/>
      </w:pPr>
      <w:r>
        <w:rPr>
          <w:rFonts w:ascii="Arial" w:cs="Arial" w:eastAsia="Arial" w:hAnsi="Arial"/>
          <w:color w:val="333333"/>
          <w:sz w:val="17"/>
          <w:szCs w:val="17"/>
        </w:rPr>
        <w:t xml:space="preserve">[7] Yu et al. LogMS: Multi-Stage Log Anomaly via Multi-Source Fusion. Frontiers 2024.</w:t>
      </w:r>
    </w:p>
    <w:p>
      <w:pPr>
        <w:spacing w:before="40" w:after="20"/>
      </w:pPr>
      <w:r>
        <w:rPr>
          <w:rFonts w:ascii="Arial" w:cs="Arial" w:eastAsia="Arial" w:hAnsi="Arial"/>
          <w:color w:val="333333"/>
          <w:sz w:val="17"/>
          <w:szCs w:val="17"/>
        </w:rPr>
        <w:t xml:space="preserve">[8] Liu et al. Logs2Graphs: Unsupervised GNN Log Anomaly Detection. arXiv 2023.</w:t>
      </w:r>
    </w:p>
    <w:p>
      <w:pPr>
        <w:spacing w:before="40" w:after="20"/>
      </w:pPr>
      <w:r>
        <w:rPr>
          <w:rFonts w:ascii="Arial" w:cs="Arial" w:eastAsia="Arial" w:hAnsi="Arial"/>
          <w:color w:val="333333"/>
          <w:sz w:val="17"/>
          <w:szCs w:val="17"/>
        </w:rPr>
        <w:t xml:space="preserve">[9] Mitropoulou et al. Anomaly Detection in Cloud via Knowledge Graph Embedding. J.Grid 2024.</w:t>
      </w:r>
    </w:p>
    <w:p>
      <w:pPr>
        <w:spacing w:before="40" w:after="20"/>
      </w:pPr>
      <w:r>
        <w:rPr>
          <w:rFonts w:ascii="Arial" w:cs="Arial" w:eastAsia="Arial" w:hAnsi="Arial"/>
          <w:color w:val="333333"/>
          <w:sz w:val="17"/>
          <w:szCs w:val="17"/>
        </w:rPr>
        <w:t xml:space="preserve">[10] Liu &amp; Zhu et al. F. Provenance-Based IDS SoK. USENIX Security 2025.</w:t>
      </w:r>
    </w:p>
    <w:p>
      <w:pPr>
        <w:spacing w:before="40" w:after="20"/>
      </w:pPr>
      <w:r>
        <w:rPr>
          <w:rFonts w:ascii="Arial" w:cs="Arial" w:eastAsia="Arial" w:hAnsi="Arial"/>
          <w:color w:val="333333"/>
          <w:sz w:val="17"/>
          <w:szCs w:val="17"/>
        </w:rPr>
        <w:t xml:space="preserve">[11] Maiga et al. 5G VNF Security Monitoring with Federated CNN+BiLSTM. J.ECE 2024.</w:t>
      </w:r>
    </w:p>
    <w:p>
      <w:pPr>
        <w:spacing w:before="40" w:after="20"/>
      </w:pPr>
      <w:r>
        <w:rPr>
          <w:rFonts w:ascii="Arial" w:cs="Arial" w:eastAsia="Arial" w:hAnsi="Arial"/>
          <w:color w:val="333333"/>
          <w:sz w:val="17"/>
          <w:szCs w:val="17"/>
        </w:rPr>
        <w:t xml:space="preserve">[12] 3GPP TS 33.501: Security Architecture for 5G System. Release 18.</w:t>
      </w:r>
    </w:p>
    <w:p>
      <w:pPr>
        <w:spacing w:before="40" w:after="20"/>
      </w:pPr>
      <w:r>
        <w:rPr>
          <w:rFonts w:ascii="Arial" w:cs="Arial" w:eastAsia="Arial" w:hAnsi="Arial"/>
          <w:color w:val="333333"/>
          <w:sz w:val="17"/>
          <w:szCs w:val="17"/>
        </w:rPr>
        <w:t xml:space="preserve">[13] MITRE ATT&amp;CK for Mobile and 5G. https://attack.mitre.org/</w:t>
      </w:r>
    </w:p>
    <w:p>
      <w:pPr>
        <w:spacing w:before="40" w:after="20"/>
      </w:pPr>
      <w:r>
        <w:rPr>
          <w:rFonts w:ascii="Arial" w:cs="Arial" w:eastAsia="Arial" w:hAnsi="Arial"/>
          <w:color w:val="333333"/>
          <w:sz w:val="17"/>
          <w:szCs w:val="17"/>
        </w:rPr>
        <w:t xml:space="preserve">[14] Open5GS: Open Source 5G Core. https://open5gs.org/</w:t>
      </w:r>
    </w:p>
    <w:p>
      <w:pPr>
        <w:spacing w:before="40" w:after="20"/>
      </w:pPr>
      <w:r>
        <w:rPr>
          <w:rFonts w:ascii="Arial" w:cs="Arial" w:eastAsia="Arial" w:hAnsi="Arial"/>
          <w:color w:val="333333"/>
          <w:sz w:val="17"/>
          <w:szCs w:val="17"/>
        </w:rPr>
        <w:t xml:space="preserve">[15] Liu et al. Improving Network Threat Detection via Knowledge Graph + LLM. arXiv 2025.</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5G Multi-Source Log Correlation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2E4057"/>
      <w:sz w:val="28"/>
      <w:szCs w:val="28"/>
    </w:rPr>
  </w:style>
  <w:style w:type="paragraph" w:styleId="Heading2">
    <w:name w:val="Heading 2"/>
    <w:basedOn w:val="Normal"/>
    <w:next w:val="Normal"/>
    <w:qFormat/>
    <w:pPr>
      <w:spacing w:before="240" w:after="80"/>
      <w:outlineLvl w:val="1"/>
    </w:pPr>
    <w:rPr>
      <w:rFonts w:ascii="Arial" w:cs="Arial" w:eastAsia="Arial" w:hAnsi="Arial"/>
      <w:b/>
      <w:bCs/>
      <w:color w:val="4A7FA5"/>
      <w:sz w:val="22"/>
      <w:szCs w:val="22"/>
    </w:rPr>
  </w:style>
  <w:style w:type="paragraph" w:styleId="Heading3">
    <w:name w:val="Heading 3"/>
    <w:basedOn w:val="Normal"/>
    <w:next w:val="Normal"/>
    <w:qFormat/>
    <w:pPr>
      <w:spacing w:before="160" w:after="60"/>
      <w:outlineLvl w:val="2"/>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2026-03-10T22:55:11.679Z</dcterms:created>
  <dcterms:modified xsi:type="dcterms:W3CDTF">2026-03-10T22:55:11.680Z</dcterms:modified>
</cp:coreProperties>
</file>

<file path=docProps/custom.xml><?xml version="1.0" encoding="utf-8"?>
<Properties xmlns="http://schemas.openxmlformats.org/officeDocument/2006/custom-properties" xmlns:vt="http://schemas.openxmlformats.org/officeDocument/2006/docPropsVTypes"/>
</file>