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02962" w14:textId="77777777" w:rsidR="0050791D" w:rsidRPr="00B93C5D" w:rsidRDefault="009E0D1D">
      <w:pPr>
        <w:spacing w:line="250" w:lineRule="auto"/>
        <w:jc w:val="center"/>
        <w:rPr>
          <w:rFonts w:ascii="Calibri" w:hAnsi="Calibri" w:cs="Calibri"/>
        </w:rPr>
      </w:pPr>
      <w:r w:rsidRPr="00B93C5D">
        <w:rPr>
          <w:rFonts w:ascii="Calibri" w:eastAsia="Aptos Light" w:hAnsi="Calibri" w:cs="Calibri"/>
          <w:b/>
          <w:bCs/>
          <w:color w:val="1F3864"/>
          <w:sz w:val="36"/>
          <w:szCs w:val="36"/>
        </w:rPr>
        <w:t>MEGAN BLECHL, CHIA</w:t>
      </w:r>
    </w:p>
    <w:p w14:paraId="1E1050C5" w14:textId="77777777" w:rsidR="0050791D" w:rsidRPr="00B93C5D" w:rsidRDefault="0050791D">
      <w:pPr>
        <w:jc w:val="center"/>
        <w:rPr>
          <w:rFonts w:ascii="Calibri" w:hAnsi="Calibri" w:cs="Calibri"/>
        </w:rPr>
      </w:pPr>
    </w:p>
    <w:p w14:paraId="18A7FAE6" w14:textId="6C4C1EB0" w:rsidR="0050791D" w:rsidRPr="009B3CC9" w:rsidRDefault="009E0D1D" w:rsidP="00B93C5D">
      <w:pPr>
        <w:spacing w:after="20"/>
        <w:jc w:val="center"/>
        <w:rPr>
          <w:rFonts w:ascii="Calibri" w:hAnsi="Calibri" w:cs="Calibri"/>
          <w:sz w:val="22"/>
          <w:szCs w:val="22"/>
        </w:rPr>
      </w:pPr>
      <w:r w:rsidRPr="009B3CC9">
        <w:rPr>
          <w:rFonts w:ascii="Calibri" w:eastAsia="Aptos Light" w:hAnsi="Calibri" w:cs="Calibri"/>
          <w:color w:val="333333"/>
          <w:sz w:val="22"/>
          <w:szCs w:val="22"/>
        </w:rPr>
        <w:t xml:space="preserve">Brisbane, QLD | 0428 719 647 | </w:t>
      </w:r>
      <w:r w:rsidRPr="009B3CC9">
        <w:rPr>
          <w:rFonts w:ascii="Calibri" w:eastAsia="Aptos Light" w:hAnsi="Calibri" w:cs="Calibri"/>
          <w:color w:val="0563C1"/>
          <w:sz w:val="22"/>
          <w:szCs w:val="22"/>
          <w:u w:val="single"/>
        </w:rPr>
        <w:t>mnblechl@gmail.com</w:t>
      </w:r>
      <w:r w:rsidRPr="009B3CC9">
        <w:rPr>
          <w:rFonts w:ascii="Calibri" w:eastAsia="Aptos Light" w:hAnsi="Calibri" w:cs="Calibri"/>
          <w:color w:val="333333"/>
          <w:sz w:val="22"/>
          <w:szCs w:val="22"/>
        </w:rPr>
        <w:t xml:space="preserve"> | </w:t>
      </w:r>
      <w:hyperlink r:id="rId7" w:history="1">
        <w:r w:rsidR="007D3C10" w:rsidRPr="009B3CC9">
          <w:rPr>
            <w:rFonts w:ascii="Calibri" w:eastAsia="Atopos Light" w:hAnsi="Calibri" w:cs="Calibri"/>
            <w:color w:val="0563C1"/>
            <w:sz w:val="22"/>
            <w:szCs w:val="22"/>
            <w:u w:val="single"/>
          </w:rPr>
          <w:t>LinkedIn</w:t>
        </w:r>
      </w:hyperlink>
      <w:r w:rsidR="007D3C10" w:rsidRPr="009B3CC9">
        <w:rPr>
          <w:rFonts w:ascii="Calibri" w:eastAsia="Atopos Light" w:hAnsi="Calibri" w:cs="Calibri"/>
          <w:color w:val="222222"/>
          <w:sz w:val="22"/>
          <w:szCs w:val="22"/>
        </w:rPr>
        <w:t xml:space="preserve"> |</w:t>
      </w:r>
      <w:r w:rsidR="00B93C5D" w:rsidRPr="009B3CC9">
        <w:rPr>
          <w:rFonts w:ascii="Calibri" w:hAnsi="Calibri" w:cs="Calibri"/>
          <w:sz w:val="22"/>
          <w:szCs w:val="22"/>
        </w:rPr>
        <w:t xml:space="preserve"> </w:t>
      </w:r>
      <w:hyperlink r:id="rId8" w:history="1">
        <w:r w:rsidR="00B93C5D" w:rsidRPr="009B3CC9">
          <w:rPr>
            <w:rStyle w:val="Hyperlink"/>
            <w:rFonts w:ascii="Calibri" w:eastAsia="Aptos Light" w:hAnsi="Calibri" w:cs="Calibri"/>
            <w:sz w:val="22"/>
            <w:szCs w:val="22"/>
          </w:rPr>
          <w:t>Professional Website</w:t>
        </w:r>
      </w:hyperlink>
    </w:p>
    <w:p w14:paraId="7F5113CE" w14:textId="77777777" w:rsidR="0050791D" w:rsidRPr="00B93C5D" w:rsidRDefault="009E0D1D">
      <w:pPr>
        <w:jc w:val="center"/>
        <w:rPr>
          <w:rFonts w:ascii="Calibri" w:hAnsi="Calibri" w:cs="Calibri"/>
        </w:rPr>
      </w:pPr>
      <w:r w:rsidRPr="00B93C5D">
        <w:rPr>
          <w:rFonts w:ascii="Calibri" w:eastAsia="Aptos Light" w:hAnsi="Calibri" w:cs="Calibri"/>
          <w:color w:val="333333"/>
          <w:sz w:val="22"/>
          <w:szCs w:val="22"/>
        </w:rPr>
        <w:t>Australian and United States citizen | Eligible for Australian Government security clearance</w:t>
      </w:r>
    </w:p>
    <w:p w14:paraId="6471C643" w14:textId="77777777" w:rsidR="0050791D" w:rsidRPr="00B93C5D" w:rsidRDefault="009E0D1D">
      <w:pPr>
        <w:shd w:val="clear" w:color="auto" w:fill="1F3864"/>
        <w:jc w:val="center"/>
        <w:rPr>
          <w:rFonts w:ascii="Calibri" w:hAnsi="Calibri" w:cs="Calibri"/>
        </w:rPr>
      </w:pPr>
      <w:r w:rsidRPr="00B93C5D">
        <w:rPr>
          <w:rFonts w:ascii="Calibri" w:eastAsia="Aptos Light" w:hAnsi="Calibri" w:cs="Calibri"/>
          <w:b/>
          <w:bCs/>
          <w:color w:val="FFFFFF"/>
          <w:sz w:val="26"/>
          <w:szCs w:val="26"/>
        </w:rPr>
        <w:t>SENIOR TECHNOLOGY, CONSULTING &amp; TRANSFORMATION LEADER</w:t>
      </w:r>
    </w:p>
    <w:p w14:paraId="7BCFDF10" w14:textId="77777777" w:rsidR="0050791D" w:rsidRPr="00B93C5D" w:rsidRDefault="009E0D1D">
      <w:pPr>
        <w:shd w:val="clear" w:color="auto" w:fill="1F3864"/>
        <w:spacing w:after="40"/>
        <w:jc w:val="center"/>
        <w:rPr>
          <w:rFonts w:ascii="Calibri" w:hAnsi="Calibri" w:cs="Calibri"/>
        </w:rPr>
      </w:pPr>
      <w:r w:rsidRPr="00B93C5D">
        <w:rPr>
          <w:rFonts w:ascii="Calibri" w:eastAsia="Aptos Light" w:hAnsi="Calibri" w:cs="Calibri"/>
          <w:b/>
          <w:bCs/>
          <w:i/>
          <w:iCs/>
          <w:color w:val="FFFFFF"/>
          <w:sz w:val="24"/>
          <w:szCs w:val="24"/>
        </w:rPr>
        <w:t>Enterprise Transformation | Consulting Leadership | Complex Delivery | Solution Development</w:t>
      </w:r>
    </w:p>
    <w:p w14:paraId="70AD6A23" w14:textId="77777777" w:rsidR="0050791D" w:rsidRPr="00B93C5D" w:rsidRDefault="009E0D1D">
      <w:pPr>
        <w:pBdr>
          <w:bottom w:val="single" w:sz="6" w:space="2" w:color="1F3864"/>
        </w:pBdr>
        <w:spacing w:before="140" w:after="70"/>
        <w:rPr>
          <w:rFonts w:ascii="Calibri" w:hAnsi="Calibri" w:cs="Calibri"/>
        </w:rPr>
      </w:pPr>
      <w:r w:rsidRPr="00B93C5D">
        <w:rPr>
          <w:rFonts w:ascii="Calibri" w:eastAsia="Aptos Light" w:hAnsi="Calibri" w:cs="Calibri"/>
          <w:b/>
          <w:bCs/>
          <w:color w:val="1F3864"/>
          <w:sz w:val="21"/>
          <w:szCs w:val="21"/>
        </w:rPr>
        <w:t>PROFESSIONAL PROFILE</w:t>
      </w:r>
    </w:p>
    <w:p w14:paraId="47CDAE56"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Senior technology, consulting and transformation leader with 15+ years of experience turning complex operational, customer and technology challenges into practical strategies, scalable solutions and measurable outcomes. Delivered more than 40 enterprise technology and transformation engagements across Australia and international markets, including complex multi-site programs lasting up to three years.</w:t>
      </w:r>
    </w:p>
    <w:p w14:paraId="38A5E931"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Experienced leading initiatives from discovery and problem definition through solution design, governance, implementation, integration and transition to operational delivery. Trusted by executive, operational, product and technology stakeholders to bring structure to complex environments, align competing priorities and translate business needs into achievable delivery approaches.</w:t>
      </w:r>
    </w:p>
    <w:p w14:paraId="4FEFCF5F"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Combines strategic advisory and commercial awareness with hands-on delivery leadership, enterprise integration knowledge and significant people and capability leadership experience, including management of up to 10 direct reports and multidisciplinary teams of 30+.</w:t>
      </w:r>
    </w:p>
    <w:p w14:paraId="3DF34FCC"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CORE CAPABILITIES</w:t>
      </w:r>
    </w:p>
    <w:p w14:paraId="3A49083F"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Transformation &amp; Delivery</w:t>
      </w:r>
    </w:p>
    <w:p w14:paraId="1ECE2923"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Strategic Discovery | Current-State &amp; Future-State Design | Program and Workstream Leadership | Multi-Site Delivery | Governance | Risk &amp; Dependency Management | Testing, Cutover &amp; Go-Live</w:t>
      </w:r>
    </w:p>
    <w:p w14:paraId="660CEBCB"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Consulting, Solution &amp; Commercial Leadership</w:t>
      </w:r>
    </w:p>
    <w:p w14:paraId="18BEC0E9"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Executive Advisory | Problem Definition | Requirements &amp; Solution Design | Customer Engagement | Opportunity Assessment | Commercial Scoping | Proposals &amp; Statements of Work</w:t>
      </w:r>
    </w:p>
    <w:p w14:paraId="68FB6F47"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People &amp; Capability Leadership</w:t>
      </w:r>
    </w:p>
    <w:p w14:paraId="10E8DF52"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Up to 10 Direct Reports | Multidisciplinary Teams of 30+ | Coaching &amp; Development | Performance Management | Global Knowledge Leadership | Methodology &amp; Capability Development</w:t>
      </w:r>
    </w:p>
    <w:p w14:paraId="50CC0F2D"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Enterprise Technology &amp; Integration</w:t>
      </w:r>
    </w:p>
    <w:p w14:paraId="3F6F08A4"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Enterprise Applications | EMR–ERP &amp; Patient Administration Integration | HL7 | XML | Rhapsody | EDI | Data Mapping &amp; Validation | Microsoft 365 | Jira | Azure DevOps</w:t>
      </w:r>
    </w:p>
    <w:p w14:paraId="21AB4682"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SELECTED CAREER IMPACT</w:t>
      </w:r>
    </w:p>
    <w:p w14:paraId="42BCB547"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$200K proof of concept → $1M+ opportunity</w:t>
      </w:r>
    </w:p>
    <w:p w14:paraId="5C834CA4"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Secured and led an executive-sponsored proof of concept by expanding a regulatory requirement into a broader transformation opportunity, positioning potential expansion across 16 Hospital and Health Services.</w:t>
      </w:r>
    </w:p>
    <w:p w14:paraId="34202657"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3,000+ contracted consulting hours</w:t>
      </w:r>
    </w:p>
    <w:p w14:paraId="506BAD9F"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strategy, stakeholder alignment and delivery for Australia’s first Oracle Health and SAP-integrated surgical inventory implementation, establishing a strategic reference client for future regional opportunities.</w:t>
      </w:r>
    </w:p>
    <w:p w14:paraId="4DF09AAE"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12–24 months → approximately four months</w:t>
      </w:r>
    </w:p>
    <w:p w14:paraId="226AF0F6"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Directed a multidisciplinary deployment team of 30+ and introduced a repeatable regulatory implementation model that significantly accelerated delivery while maintaining quality and compliance.</w:t>
      </w:r>
    </w:p>
    <w:p w14:paraId="7BAAC87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16-week zero-defect go-live</w:t>
      </w:r>
    </w:p>
    <w:p w14:paraId="61DA22F3"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Delivered an accelerated perioperative and surgical scheduling implementation within 16 weeks, coordinating workflow analysis, requirements validation, testing and stakeholder readiness to achieve a zero-defect go-live.</w:t>
      </w:r>
    </w:p>
    <w:p w14:paraId="087B9F52"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16+ hours saved per implementation site</w:t>
      </w:r>
    </w:p>
    <w:p w14:paraId="099BB481" w14:textId="77777777" w:rsidR="0050791D" w:rsidRDefault="009E0D1D">
      <w:pPr>
        <w:spacing w:after="120"/>
        <w:rPr>
          <w:rFonts w:ascii="Calibri" w:eastAsia="Aptos Light" w:hAnsi="Calibri" w:cs="Calibri"/>
          <w:color w:val="333333"/>
          <w:sz w:val="22"/>
          <w:szCs w:val="22"/>
        </w:rPr>
      </w:pPr>
      <w:r w:rsidRPr="00B93C5D">
        <w:rPr>
          <w:rFonts w:ascii="Calibri" w:eastAsia="Aptos Light" w:hAnsi="Calibri" w:cs="Calibri"/>
          <w:color w:val="333333"/>
          <w:sz w:val="22"/>
          <w:szCs w:val="22"/>
        </w:rPr>
        <w:t>Identified a repeatable delivery inefficiency and championed an automation initiative that reduced manual configuration effort while improving consistency and delivery quality.</w:t>
      </w:r>
    </w:p>
    <w:p w14:paraId="10315EDA" w14:textId="77777777" w:rsidR="00FA0556" w:rsidRPr="00B93C5D" w:rsidRDefault="00FA0556">
      <w:pPr>
        <w:spacing w:after="120"/>
        <w:rPr>
          <w:rFonts w:ascii="Calibri" w:hAnsi="Calibri" w:cs="Calibri"/>
        </w:rPr>
      </w:pPr>
    </w:p>
    <w:p w14:paraId="356876AE"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lastRenderedPageBreak/>
        <w:t>PROFESSIONAL EXPERIENCE</w:t>
      </w:r>
    </w:p>
    <w:p w14:paraId="039DC56F" w14:textId="77777777" w:rsidR="0050791D" w:rsidRPr="00B93C5D" w:rsidRDefault="009E0D1D">
      <w:pPr>
        <w:spacing w:before="90"/>
        <w:rPr>
          <w:rFonts w:ascii="Calibri" w:hAnsi="Calibri" w:cs="Calibri"/>
        </w:rPr>
      </w:pPr>
      <w:r w:rsidRPr="00B93C5D">
        <w:rPr>
          <w:rFonts w:ascii="Calibri" w:eastAsia="Aptos Light" w:hAnsi="Calibri" w:cs="Calibri"/>
          <w:b/>
          <w:bCs/>
          <w:color w:val="333333"/>
          <w:sz w:val="22"/>
          <w:szCs w:val="22"/>
        </w:rPr>
        <w:t>ORACLE CORPORATION | 2011–2025</w:t>
      </w:r>
    </w:p>
    <w:p w14:paraId="56ABED18"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Formerly Cerner Corporation | Global enterprise healthcare technology organisation delivering digital health, interoperability and transformation solutions.</w:t>
      </w:r>
    </w:p>
    <w:p w14:paraId="1CB38D49"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Senior Consulting Manager / Technical Consulting Manager | 2021–2025</w:t>
      </w:r>
    </w:p>
    <w:p w14:paraId="2F3FDBA6"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Led consulting delivery, enterprise transformation, solution development, people leadership and commercial support across complex technology engagements.</w:t>
      </w:r>
    </w:p>
    <w:p w14:paraId="3FDA36A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enterprise transformation and solution delivery across portfolios of up to seven concurrent engagements, overseeing governance, scope, schedules, risk, dependencies, resourcing, quality and customer outcomes</w:t>
      </w:r>
    </w:p>
    <w:p w14:paraId="316EE20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Managed up to 10 direct reports and led multidisciplinary teams across complex programs, providing coaching, performance support, quality assurance and senior escalation leadership</w:t>
      </w:r>
    </w:p>
    <w:p w14:paraId="05E320E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Advised executive, clinical, operational and technology stakeholders through discovery, problem definition, current-state assessment, future-state planning, implementation strategy and organisational readiness</w:t>
      </w:r>
    </w:p>
    <w:p w14:paraId="75732F3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Secured and delivered a $200K executive-sponsored proof of concept, positioning a potential $1M+ expansion across 16 Hospital and Health Services</w:t>
      </w:r>
    </w:p>
    <w:p w14:paraId="5EE81CC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Partnered with consulting, sales, product and engineering teams on customer discovery, solution development, commercial scoping, demonstrations, proposals and Statements of Work</w:t>
      </w:r>
    </w:p>
    <w:p w14:paraId="09A44A5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Coordinated implementation and integration workstreams spanning enterprise applications, patient administration, ERP platforms and third-party technologies, aligning dependencies and data flows across business and technical teams</w:t>
      </w:r>
    </w:p>
    <w:p w14:paraId="09AD444B" w14:textId="26E886F8" w:rsidR="006136CF" w:rsidRPr="00B93C5D" w:rsidRDefault="006136CF">
      <w:pPr>
        <w:pStyle w:val="ListParagraph"/>
        <w:numPr>
          <w:ilvl w:val="0"/>
          <w:numId w:val="2"/>
        </w:numPr>
        <w:rPr>
          <w:rFonts w:ascii="Calibri" w:hAnsi="Calibri" w:cs="Calibri"/>
        </w:rPr>
      </w:pPr>
      <w:r w:rsidRPr="00B93C5D">
        <w:rPr>
          <w:rFonts w:ascii="Calibri" w:eastAsia="Aptos Light" w:hAnsi="Calibri" w:cs="Calibri"/>
          <w:color w:val="333333"/>
          <w:sz w:val="22"/>
          <w:szCs w:val="22"/>
        </w:rPr>
        <w:t>Held Global Product and Solution Knowledge Lead roles across Perioperative and Clinical Inventory Management streams and coordinated a consultant community spanning 10+ countries, strengthening implementation standards, strategic engagements and global capability</w:t>
      </w:r>
    </w:p>
    <w:p w14:paraId="06CAC070" w14:textId="210CF8B0"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Identified a repeatable deployment inefficiency and championed an automation initiative that reduced manual configuration effort by 16+ hours per implementation site</w:t>
      </w:r>
    </w:p>
    <w:p w14:paraId="2B4544B5"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Consulting Manager / Senior Consultant | 2016–2021</w:t>
      </w:r>
    </w:p>
    <w:p w14:paraId="1B699A30"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Led solution strategy, transformation and technology delivery across complex international healthcare environments in Australia, Canada, Europe and the United States.</w:t>
      </w:r>
    </w:p>
    <w:p w14:paraId="3D4CF36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strategy, stakeholder alignment, planning and delivery for Australia’s first Oracle Health and SAP-integrated surgical inventory implementation, generating more than 3,000 contracted consulting hours and establishing a strategic reference client</w:t>
      </w:r>
    </w:p>
    <w:p w14:paraId="4C21EF89"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Delivered multi-million-dollar transformation spanning clinical applications, ERP, inventory, procurement, finance, EDI and automation platforms</w:t>
      </w:r>
    </w:p>
    <w:p w14:paraId="4CEF3B0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Directed a multidisciplinary deployment team of 30+ and introduced a repeatable delivery methodology that reduced typical implementation timelines from 12–24 months to approximately four months while maintaining quality and regulatory compliance</w:t>
      </w:r>
    </w:p>
    <w:p w14:paraId="10B94B3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Facilitated customer discovery, current-state assessment, workflow analysis and future-state design, translating operational, regulatory and technical requirements into practical solution and implementation approaches</w:t>
      </w:r>
    </w:p>
    <w:p w14:paraId="2F8799F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Partnered with product, engineering and customer stakeholders to develop and validate new implant traceability capabilities supporting clinical documentation, inventory and product identification workflows</w:t>
      </w:r>
    </w:p>
    <w:p w14:paraId="002A1417"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solution design with engineering and third-party stakeholders for a custom barcode-enabled workflow integrating external product data with clinical documentation and recall processes, reducing recall investigation from up to 72 hours to near real time</w:t>
      </w:r>
    </w:p>
    <w:p w14:paraId="69515FC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Supported business development through discovery, competitive dialogue, commercial scoping, proposal development, delivery estimates and implementation planning</w:t>
      </w:r>
    </w:p>
    <w:p w14:paraId="71D4B361"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Team Lead / Solution Architect / Senior Delivery Consultant / Delivery Consultant | 2011–2016</w:t>
      </w:r>
    </w:p>
    <w:p w14:paraId="07F28727"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Progressed through increasingly senior consulting, solution architecture and delivery leadership roles across enterprise implementations in North America, Europe and the Caribbean.</w:t>
      </w:r>
    </w:p>
    <w:p w14:paraId="7E37A0D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Delivered and later led end-to-end implementation workstreams spanning discovery, workflow design, configuration, integration, testing, training, deployment and post-go-live optimisation</w:t>
      </w:r>
    </w:p>
    <w:p w14:paraId="3721F807"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Translated complex clinical, operational and technical requirements into practical solution designs, interface requirements, testing approaches and implementation plans</w:t>
      </w:r>
    </w:p>
    <w:p w14:paraId="2D34E6B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lastRenderedPageBreak/>
        <w:t>Developed consulting methodologies, implementation resources and training materials adopted across the global consulting practice, supporting consultant capability development and earning recognition through an internal innovation award</w:t>
      </w:r>
    </w:p>
    <w:p w14:paraId="61837023" w14:textId="77777777" w:rsidR="0050791D" w:rsidRPr="00B93C5D" w:rsidRDefault="009E0D1D">
      <w:pPr>
        <w:spacing w:before="90"/>
        <w:rPr>
          <w:rFonts w:ascii="Calibri" w:hAnsi="Calibri" w:cs="Calibri"/>
        </w:rPr>
      </w:pPr>
      <w:r w:rsidRPr="00B93C5D">
        <w:rPr>
          <w:rFonts w:ascii="Calibri" w:eastAsia="Aptos Light" w:hAnsi="Calibri" w:cs="Calibri"/>
          <w:b/>
          <w:bCs/>
          <w:color w:val="333333"/>
          <w:sz w:val="22"/>
          <w:szCs w:val="22"/>
        </w:rPr>
        <w:t>LESAFFRE YEAST CORPORATION | 2006–2011</w:t>
      </w:r>
    </w:p>
    <w:p w14:paraId="0A71EC60"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International biotechnology and food ingredient manufacturer.</w:t>
      </w:r>
    </w:p>
    <w:p w14:paraId="4F85C370"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Account Manager / Administrative Assistant | 2006–2011</w:t>
      </w:r>
    </w:p>
    <w:p w14:paraId="59A7921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Progressed from administrative support into customer account management, working across sales, operations and finance in a commercial environment</w:t>
      </w:r>
    </w:p>
    <w:p w14:paraId="0C9CD74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Managed customer relationships and operational processes while working extensively with Oracle PeopleSoft ERP, supporting enterprise CRM implementation and developing process and training materials</w:t>
      </w:r>
    </w:p>
    <w:p w14:paraId="77FC4F01"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REPRESENTATIVE TRANSFORMATION EXPERIENCE</w:t>
      </w:r>
    </w:p>
    <w:p w14:paraId="256FD5BF"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Australia | Multi-Site Public Health Transformation</w:t>
      </w:r>
    </w:p>
    <w:p w14:paraId="4E67C7F1"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perioperative, surgical scheduling, patient administration, integration and clinical inventory initiatives across major public healthcare environments, including current-state analysis, future-state design, data mapping and interface requirements.</w:t>
      </w:r>
    </w:p>
    <w:p w14:paraId="7E6E544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Australia | First-in-Country Enterprise Integration</w:t>
      </w:r>
    </w:p>
    <w:p w14:paraId="69A4C917"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strategy and delivery for a first-in-country clinical platform and SAP integration, generating 3,000+ contracted consulting hours and establishing a strategic reference implementation.</w:t>
      </w:r>
    </w:p>
    <w:p w14:paraId="71C35D55"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Canada | Province-Wide Digital Health Transformation</w:t>
      </w:r>
    </w:p>
    <w:p w14:paraId="6EE067E2"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Delivered complex transformation spanning clinical applications, Oracle PeopleSoft, inventory, finance, EDI and automated-dispensing platforms across a provincial healthcare environment.</w:t>
      </w:r>
    </w:p>
    <w:p w14:paraId="31FE396C"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United States | Enterprise Standardisation</w:t>
      </w:r>
    </w:p>
    <w:p w14:paraId="00EDA281"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Supported perioperative and clinical systems standardisation across approximately 30 hospitals, balancing enterprise consistency with local operational requirements.</w:t>
      </w:r>
    </w:p>
    <w:p w14:paraId="377FE02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Europe | Custom Traceability Integration</w:t>
      </w:r>
    </w:p>
    <w:p w14:paraId="3FC79907" w14:textId="1867255B"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 xml:space="preserve">Designed </w:t>
      </w:r>
      <w:r w:rsidR="006136CF" w:rsidRPr="00B93C5D">
        <w:rPr>
          <w:rFonts w:ascii="Calibri" w:eastAsia="Aptos Light" w:hAnsi="Calibri" w:cs="Calibri"/>
          <w:color w:val="333333"/>
          <w:sz w:val="22"/>
          <w:szCs w:val="22"/>
        </w:rPr>
        <w:t xml:space="preserve">a </w:t>
      </w:r>
      <w:r w:rsidRPr="00B93C5D">
        <w:rPr>
          <w:rFonts w:ascii="Calibri" w:eastAsia="Aptos Light" w:hAnsi="Calibri" w:cs="Calibri"/>
          <w:color w:val="333333"/>
          <w:sz w:val="22"/>
          <w:szCs w:val="22"/>
        </w:rPr>
        <w:t>barcode-enabled implant traceability integration that reduced recall investigation from up to 72 hours to near real time.</w:t>
      </w:r>
    </w:p>
    <w:p w14:paraId="67468AD1"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TECHNOLOGY &amp; DOMAIN KNOWLEDGE</w:t>
      </w:r>
    </w:p>
    <w:p w14:paraId="184855A3"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Enterprise Platforms:</w:t>
      </w:r>
    </w:p>
    <w:p w14:paraId="2A09FC4C"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Oracle Health Millennium | SAP S/4HANA | Oracle PeopleSoft | Infor/Lawson | McKesson | Patient Administration Systems, including iPM and HBCIS</w:t>
      </w:r>
    </w:p>
    <w:p w14:paraId="5C20BE48"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Integration &amp; Data:</w:t>
      </w:r>
    </w:p>
    <w:p w14:paraId="6F30C5B7"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HL7 | XML | Rhapsody | EDI | Interface Requirements | Data Mapping &amp; Validation | Ad Hoc SQL for Extraction, Validation &amp; Audits</w:t>
      </w:r>
    </w:p>
    <w:p w14:paraId="3D1DFD75"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Healthcare:</w:t>
      </w:r>
    </w:p>
    <w:p w14:paraId="429154A2"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Perioperative &amp; Procedural Services | Anaesthesia | Surgical Scheduling &amp; Waitlists | Patient Administration | Clinical Inventory | Implant Traceability | GS1 UDI</w:t>
      </w:r>
    </w:p>
    <w:p w14:paraId="5C68B09A"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Delivery Tools:</w:t>
      </w:r>
    </w:p>
    <w:p w14:paraId="374BF769"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Microsoft 365 | Jira | Azure DevOps | Confluence</w:t>
      </w:r>
    </w:p>
    <w:p w14:paraId="785F4D75"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EDUCATION, CERTIFICATION &amp; LEADERSHIP DEVELOPMENT</w:t>
      </w:r>
    </w:p>
    <w:p w14:paraId="7B2B8B4B"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Certified Health Informatician Australasia (CHIA) | </w:t>
      </w:r>
      <w:r w:rsidRPr="00B93C5D">
        <w:rPr>
          <w:rFonts w:ascii="Calibri" w:eastAsia="Aptos Light" w:hAnsi="Calibri" w:cs="Calibri"/>
          <w:color w:val="333333"/>
          <w:sz w:val="22"/>
          <w:szCs w:val="22"/>
        </w:rPr>
        <w:t>Australasian Institute of Digital Health</w:t>
      </w:r>
    </w:p>
    <w:p w14:paraId="508BBDF2"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Women in Digital Health Leadership Program | 2026 | </w:t>
      </w:r>
      <w:r w:rsidRPr="00B93C5D">
        <w:rPr>
          <w:rFonts w:ascii="Calibri" w:eastAsia="Aptos Light" w:hAnsi="Calibri" w:cs="Calibri"/>
          <w:color w:val="333333"/>
          <w:sz w:val="22"/>
          <w:szCs w:val="22"/>
        </w:rPr>
        <w:t>Australasian Institute of Digital Health</w:t>
      </w:r>
    </w:p>
    <w:p w14:paraId="1C02D6F1"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Master of Science, Management Information Systems | </w:t>
      </w:r>
      <w:r w:rsidRPr="00B93C5D">
        <w:rPr>
          <w:rFonts w:ascii="Calibri" w:eastAsia="Aptos Light" w:hAnsi="Calibri" w:cs="Calibri"/>
          <w:color w:val="333333"/>
          <w:sz w:val="22"/>
          <w:szCs w:val="22"/>
        </w:rPr>
        <w:t>University of Wisconsin–Milwaukee</w:t>
      </w:r>
    </w:p>
    <w:p w14:paraId="33FC8FDA"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Bachelor of Business Administration, Marketing &amp; International Business | </w:t>
      </w:r>
      <w:r w:rsidRPr="00B93C5D">
        <w:rPr>
          <w:rFonts w:ascii="Calibri" w:eastAsia="Aptos Light" w:hAnsi="Calibri" w:cs="Calibri"/>
          <w:color w:val="333333"/>
          <w:sz w:val="22"/>
          <w:szCs w:val="22"/>
        </w:rPr>
        <w:t>University of Wisconsin–Milwaukee</w:t>
      </w:r>
    </w:p>
    <w:sectPr w:rsidR="0050791D" w:rsidRPr="00B93C5D">
      <w:headerReference w:type="default" r:id="rId9"/>
      <w:pgSz w:w="11906" w:h="16838"/>
      <w:pgMar w:top="720" w:right="567" w:bottom="567" w:left="567" w:header="340"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1E7A1" w14:textId="77777777" w:rsidR="00072E42" w:rsidRDefault="00072E42">
      <w:r>
        <w:separator/>
      </w:r>
    </w:p>
  </w:endnote>
  <w:endnote w:type="continuationSeparator" w:id="0">
    <w:p w14:paraId="02920928" w14:textId="77777777" w:rsidR="00072E42" w:rsidRDefault="00072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Light">
    <w:charset w:val="00"/>
    <w:family w:val="swiss"/>
    <w:pitch w:val="variable"/>
    <w:sig w:usb0="20000287" w:usb1="00000003" w:usb2="00000000" w:usb3="00000000" w:csb0="0000019F" w:csb1="00000000"/>
  </w:font>
  <w:font w:name="Atopos Light">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4140E" w14:textId="77777777" w:rsidR="00072E42" w:rsidRDefault="00072E42">
      <w:r>
        <w:separator/>
      </w:r>
    </w:p>
  </w:footnote>
  <w:footnote w:type="continuationSeparator" w:id="0">
    <w:p w14:paraId="54B2FD14" w14:textId="77777777" w:rsidR="00072E42" w:rsidRDefault="00072E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D6C0" w14:textId="718CF6CE" w:rsidR="0050791D" w:rsidRDefault="009E0D1D">
    <w:pPr>
      <w:pBdr>
        <w:bottom w:val="single" w:sz="4" w:space="4" w:color="1F3864"/>
      </w:pBdr>
      <w:tabs>
        <w:tab w:val="right" w:pos="9026"/>
      </w:tabs>
    </w:pPr>
    <w:r>
      <w:rPr>
        <w:rFonts w:ascii="Aptos Light" w:eastAsia="Aptos Light" w:hAnsi="Aptos Light" w:cs="Aptos Light"/>
        <w:b/>
        <w:bCs/>
        <w:color w:val="1F3864"/>
        <w:sz w:val="18"/>
        <w:szCs w:val="18"/>
      </w:rPr>
      <w:t xml:space="preserve">MEGAN BLECHL, </w:t>
    </w:r>
    <w:r w:rsidR="00EF74FB">
      <w:rPr>
        <w:rFonts w:ascii="Aptos Light" w:eastAsia="Aptos Light" w:hAnsi="Aptos Light" w:cs="Aptos Light"/>
        <w:b/>
        <w:bCs/>
        <w:color w:val="1F3864"/>
        <w:sz w:val="18"/>
        <w:szCs w:val="18"/>
      </w:rPr>
      <w:t>CHIA</w:t>
    </w:r>
    <w:r w:rsidR="00EF74FB">
      <w:rPr>
        <w:rFonts w:ascii="Aptos Light" w:eastAsia="Aptos Light" w:hAnsi="Aptos Light" w:cs="Aptos Light"/>
        <w:color w:val="333333"/>
        <w:sz w:val="18"/>
        <w:szCs w:val="18"/>
      </w:rPr>
      <w:t xml:space="preserve"> | Senior</w:t>
    </w:r>
    <w:r>
      <w:rPr>
        <w:rFonts w:ascii="Aptos Light" w:eastAsia="Aptos Light" w:hAnsi="Aptos Light" w:cs="Aptos Light"/>
        <w:color w:val="333333"/>
        <w:sz w:val="18"/>
        <w:szCs w:val="18"/>
      </w:rPr>
      <w:t xml:space="preserve"> Technology, Consulting &amp; Transformation Leader</w:t>
    </w:r>
    <w:r>
      <w:rPr>
        <w:rFonts w:ascii="Aptos Light" w:eastAsia="Aptos Light" w:hAnsi="Aptos Light" w:cs="Aptos Light"/>
        <w:sz w:val="18"/>
        <w:szCs w:val="18"/>
      </w:rPr>
      <w:tab/>
    </w:r>
    <w:r w:rsidR="00EF74FB" w:rsidRPr="00EF74FB">
      <w:rPr>
        <w:rFonts w:ascii="Aptos Light" w:eastAsia="Aptos Light" w:hAnsi="Aptos Light" w:cs="Aptos Light"/>
        <w:sz w:val="18"/>
        <w:szCs w:val="18"/>
      </w:rPr>
      <w:t xml:space="preserve">Page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PAGE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1</w:t>
    </w:r>
    <w:r w:rsidR="00EF74FB" w:rsidRPr="00EF74FB">
      <w:rPr>
        <w:rFonts w:ascii="Aptos Light" w:eastAsia="Aptos Light" w:hAnsi="Aptos Light" w:cs="Aptos Light"/>
        <w:b/>
        <w:bCs/>
        <w:sz w:val="18"/>
        <w:szCs w:val="18"/>
      </w:rPr>
      <w:fldChar w:fldCharType="end"/>
    </w:r>
    <w:r w:rsidR="00EF74FB" w:rsidRPr="00EF74FB">
      <w:rPr>
        <w:rFonts w:ascii="Aptos Light" w:eastAsia="Aptos Light" w:hAnsi="Aptos Light" w:cs="Aptos Light"/>
        <w:sz w:val="18"/>
        <w:szCs w:val="18"/>
      </w:rPr>
      <w:t xml:space="preserve"> of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NUMPAGES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2</w:t>
    </w:r>
    <w:r w:rsidR="00EF74FB" w:rsidRPr="00EF74FB">
      <w:rPr>
        <w:rFonts w:ascii="Aptos Light" w:eastAsia="Aptos Light" w:hAnsi="Aptos Light" w:cs="Aptos Light"/>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05286"/>
    <w:multiLevelType w:val="hybridMultilevel"/>
    <w:tmpl w:val="6296B1AC"/>
    <w:lvl w:ilvl="0" w:tplc="8BB04294">
      <w:start w:val="1"/>
      <w:numFmt w:val="bullet"/>
      <w:lvlText w:val="•"/>
      <w:lvlJc w:val="left"/>
      <w:pPr>
        <w:ind w:left="259" w:hanging="259"/>
      </w:pPr>
    </w:lvl>
    <w:lvl w:ilvl="1" w:tplc="9C8AF9CE">
      <w:numFmt w:val="decimal"/>
      <w:lvlText w:val=""/>
      <w:lvlJc w:val="left"/>
    </w:lvl>
    <w:lvl w:ilvl="2" w:tplc="1DE2CFD4">
      <w:numFmt w:val="decimal"/>
      <w:lvlText w:val=""/>
      <w:lvlJc w:val="left"/>
    </w:lvl>
    <w:lvl w:ilvl="3" w:tplc="AEAA210A">
      <w:numFmt w:val="decimal"/>
      <w:lvlText w:val=""/>
      <w:lvlJc w:val="left"/>
    </w:lvl>
    <w:lvl w:ilvl="4" w:tplc="F634F316">
      <w:numFmt w:val="decimal"/>
      <w:lvlText w:val=""/>
      <w:lvlJc w:val="left"/>
    </w:lvl>
    <w:lvl w:ilvl="5" w:tplc="39283FF0">
      <w:numFmt w:val="decimal"/>
      <w:lvlText w:val=""/>
      <w:lvlJc w:val="left"/>
    </w:lvl>
    <w:lvl w:ilvl="6" w:tplc="3640A02C">
      <w:numFmt w:val="decimal"/>
      <w:lvlText w:val=""/>
      <w:lvlJc w:val="left"/>
    </w:lvl>
    <w:lvl w:ilvl="7" w:tplc="5C6E3EC4">
      <w:numFmt w:val="decimal"/>
      <w:lvlText w:val=""/>
      <w:lvlJc w:val="left"/>
    </w:lvl>
    <w:lvl w:ilvl="8" w:tplc="31E20E5A">
      <w:numFmt w:val="decimal"/>
      <w:lvlText w:val=""/>
      <w:lvlJc w:val="left"/>
    </w:lvl>
  </w:abstractNum>
  <w:abstractNum w:abstractNumId="1" w15:restartNumberingAfterBreak="0">
    <w:nsid w:val="2B202C94"/>
    <w:multiLevelType w:val="hybridMultilevel"/>
    <w:tmpl w:val="E15C0F26"/>
    <w:lvl w:ilvl="0" w:tplc="7220D272">
      <w:start w:val="1"/>
      <w:numFmt w:val="bullet"/>
      <w:lvlText w:val="●"/>
      <w:lvlJc w:val="left"/>
      <w:pPr>
        <w:ind w:left="720" w:hanging="360"/>
      </w:pPr>
    </w:lvl>
    <w:lvl w:ilvl="1" w:tplc="ED463630">
      <w:start w:val="1"/>
      <w:numFmt w:val="bullet"/>
      <w:lvlText w:val="○"/>
      <w:lvlJc w:val="left"/>
      <w:pPr>
        <w:ind w:left="1440" w:hanging="360"/>
      </w:pPr>
    </w:lvl>
    <w:lvl w:ilvl="2" w:tplc="22BE2D32">
      <w:start w:val="1"/>
      <w:numFmt w:val="bullet"/>
      <w:lvlText w:val="■"/>
      <w:lvlJc w:val="left"/>
      <w:pPr>
        <w:ind w:left="2160" w:hanging="360"/>
      </w:pPr>
    </w:lvl>
    <w:lvl w:ilvl="3" w:tplc="5C5A4818">
      <w:start w:val="1"/>
      <w:numFmt w:val="bullet"/>
      <w:lvlText w:val="●"/>
      <w:lvlJc w:val="left"/>
      <w:pPr>
        <w:ind w:left="2880" w:hanging="360"/>
      </w:pPr>
    </w:lvl>
    <w:lvl w:ilvl="4" w:tplc="519883FC">
      <w:start w:val="1"/>
      <w:numFmt w:val="bullet"/>
      <w:lvlText w:val="○"/>
      <w:lvlJc w:val="left"/>
      <w:pPr>
        <w:ind w:left="3600" w:hanging="360"/>
      </w:pPr>
    </w:lvl>
    <w:lvl w:ilvl="5" w:tplc="EC622A38">
      <w:start w:val="1"/>
      <w:numFmt w:val="bullet"/>
      <w:lvlText w:val="■"/>
      <w:lvlJc w:val="left"/>
      <w:pPr>
        <w:ind w:left="4320" w:hanging="360"/>
      </w:pPr>
    </w:lvl>
    <w:lvl w:ilvl="6" w:tplc="350A1976">
      <w:start w:val="1"/>
      <w:numFmt w:val="bullet"/>
      <w:lvlText w:val="●"/>
      <w:lvlJc w:val="left"/>
      <w:pPr>
        <w:ind w:left="5040" w:hanging="360"/>
      </w:pPr>
    </w:lvl>
    <w:lvl w:ilvl="7" w:tplc="4A1EB496">
      <w:start w:val="1"/>
      <w:numFmt w:val="bullet"/>
      <w:lvlText w:val="●"/>
      <w:lvlJc w:val="left"/>
      <w:pPr>
        <w:ind w:left="5760" w:hanging="360"/>
      </w:pPr>
    </w:lvl>
    <w:lvl w:ilvl="8" w:tplc="4B2AE044">
      <w:start w:val="1"/>
      <w:numFmt w:val="bullet"/>
      <w:lvlText w:val="●"/>
      <w:lvlJc w:val="left"/>
      <w:pPr>
        <w:ind w:left="6480" w:hanging="360"/>
      </w:pPr>
    </w:lvl>
  </w:abstractNum>
  <w:num w:numId="1" w16cid:durableId="1640302834">
    <w:abstractNumId w:val="1"/>
    <w:lvlOverride w:ilvl="0">
      <w:startOverride w:val="1"/>
    </w:lvlOverride>
  </w:num>
  <w:num w:numId="2" w16cid:durableId="2133084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91D"/>
    <w:rsid w:val="00072E42"/>
    <w:rsid w:val="000D1DF2"/>
    <w:rsid w:val="003546C2"/>
    <w:rsid w:val="0050791D"/>
    <w:rsid w:val="006136CF"/>
    <w:rsid w:val="007D3C10"/>
    <w:rsid w:val="009B3CC9"/>
    <w:rsid w:val="009E0D1D"/>
    <w:rsid w:val="00B93C5D"/>
    <w:rsid w:val="00EF74FB"/>
    <w:rsid w:val="00FA055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8F709"/>
  <w15:docId w15:val="{942909AF-2607-4F07-87A7-E31CC28F4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F74FB"/>
    <w:pPr>
      <w:tabs>
        <w:tab w:val="center" w:pos="4513"/>
        <w:tab w:val="right" w:pos="9026"/>
      </w:tabs>
    </w:pPr>
  </w:style>
  <w:style w:type="character" w:customStyle="1" w:styleId="HeaderChar">
    <w:name w:val="Header Char"/>
    <w:basedOn w:val="DefaultParagraphFont"/>
    <w:link w:val="Header"/>
    <w:uiPriority w:val="99"/>
    <w:rsid w:val="00EF74FB"/>
  </w:style>
  <w:style w:type="paragraph" w:styleId="Footer">
    <w:name w:val="footer"/>
    <w:basedOn w:val="Normal"/>
    <w:link w:val="FooterChar"/>
    <w:uiPriority w:val="99"/>
    <w:unhideWhenUsed/>
    <w:rsid w:val="00EF74FB"/>
    <w:pPr>
      <w:tabs>
        <w:tab w:val="center" w:pos="4513"/>
        <w:tab w:val="right" w:pos="9026"/>
      </w:tabs>
    </w:pPr>
  </w:style>
  <w:style w:type="character" w:customStyle="1" w:styleId="FooterChar">
    <w:name w:val="Footer Char"/>
    <w:basedOn w:val="DefaultParagraphFont"/>
    <w:link w:val="Footer"/>
    <w:uiPriority w:val="99"/>
    <w:rsid w:val="00EF74FB"/>
  </w:style>
  <w:style w:type="character" w:styleId="UnresolvedMention">
    <w:name w:val="Unresolved Mention"/>
    <w:basedOn w:val="DefaultParagraphFont"/>
    <w:uiPriority w:val="99"/>
    <w:semiHidden/>
    <w:unhideWhenUsed/>
    <w:rsid w:val="00B93C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ttps:/mnblechl-hub.github.io/ProjectResume/" TargetMode="External"/><Relationship Id="rId3" Type="http://schemas.openxmlformats.org/officeDocument/2006/relationships/settings" Target="settings.xml"/><Relationship Id="rId7" Type="http://schemas.openxmlformats.org/officeDocument/2006/relationships/hyperlink" Target="https://www.linkedin.com/in/meganblech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1633</Words>
  <Characters>9309</Characters>
  <Application>Microsoft Office Word</Application>
  <DocSecurity>0</DocSecurity>
  <Lines>77</Lines>
  <Paragraphs>21</Paragraphs>
  <ScaleCrop>false</ScaleCrop>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Megan Blechl</cp:lastModifiedBy>
  <cp:revision>7</cp:revision>
  <cp:lastPrinted>2026-08-21T06:32:00Z</cp:lastPrinted>
  <dcterms:created xsi:type="dcterms:W3CDTF">2026-08-07T03:14:00Z</dcterms:created>
  <dcterms:modified xsi:type="dcterms:W3CDTF">2026-08-21T06:38:00Z</dcterms:modified>
</cp:coreProperties>
</file>