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2962" w14:textId="77777777" w:rsidR="0050791D" w:rsidRPr="00B93C5D" w:rsidRDefault="009E0D1D">
      <w:pPr>
        <w:spacing w:line="250" w:lineRule="auto"/>
        <w:jc w:val="center"/>
        <w:rPr>
          <w:rFonts w:ascii="Calibri" w:hAnsi="Calibri" w:cs="Calibri"/>
        </w:rPr>
      </w:pPr>
      <w:r w:rsidRPr="00B93C5D">
        <w:rPr>
          <w:rFonts w:ascii="Calibri" w:eastAsia="Aptos Light" w:hAnsi="Calibri" w:cs="Calibri"/>
          <w:b/>
          <w:bCs/>
          <w:color w:val="1F3864"/>
          <w:sz w:val="36"/>
          <w:szCs w:val="36"/>
        </w:rPr>
        <w:t>MEGAN BLECHL, CHIA</w:t>
      </w:r>
    </w:p>
    <w:p w14:paraId="1E1050C5" w14:textId="77777777" w:rsidR="0050791D" w:rsidRPr="00B93C5D" w:rsidRDefault="0050791D">
      <w:pPr>
        <w:jc w:val="center"/>
        <w:rPr>
          <w:rFonts w:ascii="Calibri" w:hAnsi="Calibri" w:cs="Calibri"/>
        </w:rPr>
      </w:pPr>
    </w:p>
    <w:p w14:paraId="18A7FAE6" w14:textId="6C4C1EB0" w:rsidR="0050791D" w:rsidRPr="00B93C5D" w:rsidRDefault="009E0D1D" w:rsidP="00B93C5D">
      <w:pPr>
        <w:spacing w:after="20"/>
        <w:jc w:val="center"/>
        <w:rPr>
          <w:rFonts w:ascii="Calibri" w:hAnsi="Calibri" w:cs="Calibri"/>
        </w:rPr>
      </w:pPr>
      <w:r w:rsidRPr="00B93C5D">
        <w:rPr>
          <w:rFonts w:ascii="Calibri" w:eastAsia="Aptos Light" w:hAnsi="Calibri" w:cs="Calibri"/>
          <w:color w:val="333333"/>
          <w:sz w:val="22"/>
          <w:szCs w:val="22"/>
        </w:rPr>
        <w:t xml:space="preserve">Brisbane, QLD | 0428 719 647 | </w:t>
      </w:r>
      <w:r w:rsidRPr="00B93C5D">
        <w:rPr>
          <w:rFonts w:ascii="Calibri" w:eastAsia="Aptos Light" w:hAnsi="Calibri" w:cs="Calibri"/>
          <w:color w:val="0563C1"/>
          <w:sz w:val="22"/>
          <w:szCs w:val="22"/>
          <w:u w:val="single"/>
        </w:rPr>
        <w:t>mnblechl@gmail.com</w:t>
      </w:r>
      <w:r w:rsidRPr="00B93C5D">
        <w:rPr>
          <w:rFonts w:ascii="Calibri" w:eastAsia="Aptos Light" w:hAnsi="Calibri" w:cs="Calibri"/>
          <w:color w:val="333333"/>
          <w:sz w:val="22"/>
          <w:szCs w:val="22"/>
        </w:rPr>
        <w:t xml:space="preserve"> | </w:t>
      </w:r>
      <w:hyperlink r:id="rId7" w:history="1">
        <w:r w:rsidR="007D3C10" w:rsidRPr="00B93C5D">
          <w:rPr>
            <w:rFonts w:ascii="Calibri" w:eastAsia="Atopos Light" w:hAnsi="Calibri" w:cs="Calibri"/>
            <w:color w:val="0563C1"/>
            <w:sz w:val="19"/>
            <w:szCs w:val="19"/>
            <w:u w:val="single"/>
          </w:rPr>
          <w:t>LinkedIn</w:t>
        </w:r>
      </w:hyperlink>
      <w:r w:rsidR="007D3C10" w:rsidRPr="00B93C5D">
        <w:rPr>
          <w:rFonts w:ascii="Calibri" w:eastAsia="Atopos Light" w:hAnsi="Calibri" w:cs="Calibri"/>
          <w:color w:val="222222"/>
          <w:sz w:val="19"/>
          <w:szCs w:val="19"/>
        </w:rPr>
        <w:t xml:space="preserve"> |</w:t>
      </w:r>
      <w:r w:rsidR="00B93C5D" w:rsidRPr="00B93C5D">
        <w:rPr>
          <w:rFonts w:ascii="Calibri" w:hAnsi="Calibri" w:cs="Calibri"/>
        </w:rPr>
        <w:t xml:space="preserve"> </w:t>
      </w:r>
      <w:hyperlink r:id="rId8" w:history="1">
        <w:r w:rsidR="00B93C5D" w:rsidRPr="00B93C5D">
          <w:rPr>
            <w:rStyle w:val="Hyperlink"/>
            <w:rFonts w:ascii="Calibri" w:eastAsia="Aptos Light" w:hAnsi="Calibri" w:cs="Calibri"/>
            <w:sz w:val="22"/>
            <w:szCs w:val="22"/>
          </w:rPr>
          <w:t>Professional Website</w:t>
        </w:r>
      </w:hyperlink>
    </w:p>
    <w:p w14:paraId="7F5113CE" w14:textId="77777777" w:rsidR="0050791D" w:rsidRPr="00B93C5D" w:rsidRDefault="009E0D1D">
      <w:pPr>
        <w:jc w:val="center"/>
        <w:rPr>
          <w:rFonts w:ascii="Calibri" w:hAnsi="Calibri" w:cs="Calibri"/>
        </w:rPr>
      </w:pPr>
      <w:r w:rsidRPr="00B93C5D">
        <w:rPr>
          <w:rFonts w:ascii="Calibri" w:eastAsia="Aptos Light" w:hAnsi="Calibri" w:cs="Calibri"/>
          <w:color w:val="333333"/>
          <w:sz w:val="22"/>
          <w:szCs w:val="22"/>
        </w:rPr>
        <w:t>Australian and United States citizen | Eligible for Australian Government security clearance</w:t>
      </w:r>
    </w:p>
    <w:p w14:paraId="6471C643" w14:textId="77777777" w:rsidR="0050791D" w:rsidRPr="00B93C5D" w:rsidRDefault="009E0D1D">
      <w:pPr>
        <w:shd w:val="clear" w:color="auto" w:fill="1F3864"/>
        <w:jc w:val="center"/>
        <w:rPr>
          <w:rFonts w:ascii="Calibri" w:hAnsi="Calibri" w:cs="Calibri"/>
        </w:rPr>
      </w:pPr>
      <w:r w:rsidRPr="00B93C5D">
        <w:rPr>
          <w:rFonts w:ascii="Calibri" w:eastAsia="Aptos Light" w:hAnsi="Calibri" w:cs="Calibri"/>
          <w:b/>
          <w:bCs/>
          <w:color w:val="FFFFFF"/>
          <w:sz w:val="26"/>
          <w:szCs w:val="26"/>
        </w:rPr>
        <w:t>SENIOR TECHNOLOGY, CONSULTING &amp; TRANSFORMATION LEADER</w:t>
      </w:r>
    </w:p>
    <w:p w14:paraId="7BCFDF10" w14:textId="77777777" w:rsidR="0050791D" w:rsidRPr="00B93C5D" w:rsidRDefault="009E0D1D">
      <w:pPr>
        <w:shd w:val="clear" w:color="auto" w:fill="1F3864"/>
        <w:spacing w:after="40"/>
        <w:jc w:val="center"/>
        <w:rPr>
          <w:rFonts w:ascii="Calibri" w:hAnsi="Calibri" w:cs="Calibri"/>
        </w:rPr>
      </w:pPr>
      <w:r w:rsidRPr="00B93C5D">
        <w:rPr>
          <w:rFonts w:ascii="Calibri" w:eastAsia="Aptos Light" w:hAnsi="Calibri" w:cs="Calibri"/>
          <w:b/>
          <w:bCs/>
          <w:i/>
          <w:iCs/>
          <w:color w:val="FFFFFF"/>
          <w:sz w:val="24"/>
          <w:szCs w:val="24"/>
        </w:rPr>
        <w:t>Enterprise Transformation | Consulting Leadership | Complex Delivery | Solution Development</w:t>
      </w:r>
    </w:p>
    <w:p w14:paraId="70AD6A23" w14:textId="77777777" w:rsidR="0050791D" w:rsidRPr="00B93C5D" w:rsidRDefault="009E0D1D">
      <w:pPr>
        <w:pBdr>
          <w:bottom w:val="single" w:sz="6" w:space="2" w:color="1F3864"/>
        </w:pBdr>
        <w:spacing w:before="140" w:after="70"/>
        <w:rPr>
          <w:rFonts w:ascii="Calibri" w:hAnsi="Calibri" w:cs="Calibri"/>
        </w:rPr>
      </w:pPr>
      <w:r w:rsidRPr="00B93C5D">
        <w:rPr>
          <w:rFonts w:ascii="Calibri" w:eastAsia="Aptos Light" w:hAnsi="Calibri" w:cs="Calibri"/>
          <w:b/>
          <w:bCs/>
          <w:color w:val="1F3864"/>
          <w:sz w:val="21"/>
          <w:szCs w:val="21"/>
        </w:rPr>
        <w:t>PROFESSIONAL PROFILE</w:t>
      </w:r>
    </w:p>
    <w:p w14:paraId="47CDAE56" w14:textId="77777777" w:rsidR="0050791D" w:rsidRPr="00B93C5D" w:rsidRDefault="009E0D1D">
      <w:pPr>
        <w:spacing w:after="90"/>
        <w:rPr>
          <w:rFonts w:ascii="Calibri" w:hAnsi="Calibri" w:cs="Calibri"/>
        </w:rPr>
      </w:pPr>
      <w:r w:rsidRPr="00B93C5D">
        <w:rPr>
          <w:rFonts w:ascii="Calibri" w:eastAsia="Aptos Light" w:hAnsi="Calibri" w:cs="Calibri"/>
          <w:color w:val="333333"/>
          <w:sz w:val="22"/>
          <w:szCs w:val="22"/>
        </w:rPr>
        <w:t>Senior technology, consulting and transformation leader with 15+ years of experience turning complex operational, customer and technology challenges into practical strategies, scalable solutions and measurable outcomes. Delivered more than 40 enterprise technology and transformation engagements across Australia and international markets, including complex multi-site programs lasting up to three years.</w:t>
      </w:r>
    </w:p>
    <w:p w14:paraId="38A5E931" w14:textId="77777777" w:rsidR="0050791D" w:rsidRPr="00B93C5D" w:rsidRDefault="009E0D1D">
      <w:pPr>
        <w:spacing w:after="90"/>
        <w:rPr>
          <w:rFonts w:ascii="Calibri" w:hAnsi="Calibri" w:cs="Calibri"/>
        </w:rPr>
      </w:pPr>
      <w:r w:rsidRPr="00B93C5D">
        <w:rPr>
          <w:rFonts w:ascii="Calibri" w:eastAsia="Aptos Light" w:hAnsi="Calibri" w:cs="Calibri"/>
          <w:color w:val="333333"/>
          <w:sz w:val="22"/>
          <w:szCs w:val="22"/>
        </w:rPr>
        <w:t>Experienced leading initiatives from discovery and problem definition through solution design, governance, implementation, integration and transition to operational delivery. Trusted by executive, operational, product and technology stakeholders to bring structure to complex environments, align competing priorities and translate business needs into achievable delivery approaches.</w:t>
      </w:r>
    </w:p>
    <w:p w14:paraId="4FEFCF5F" w14:textId="77777777" w:rsidR="0050791D" w:rsidRPr="00B93C5D" w:rsidRDefault="009E0D1D">
      <w:pPr>
        <w:spacing w:after="90"/>
        <w:rPr>
          <w:rFonts w:ascii="Calibri" w:hAnsi="Calibri" w:cs="Calibri"/>
        </w:rPr>
      </w:pPr>
      <w:r w:rsidRPr="00B93C5D">
        <w:rPr>
          <w:rFonts w:ascii="Calibri" w:eastAsia="Aptos Light" w:hAnsi="Calibri" w:cs="Calibri"/>
          <w:color w:val="333333"/>
          <w:sz w:val="22"/>
          <w:szCs w:val="22"/>
        </w:rPr>
        <w:t>Combines strategic advisory and commercial awareness with hands-on delivery leadership, enterprise integration knowledge and significant people and capability leadership experience, including management of up to 10 direct reports and multidisciplinary teams of 30+.</w:t>
      </w:r>
    </w:p>
    <w:p w14:paraId="3DF34FCC" w14:textId="77777777" w:rsidR="0050791D" w:rsidRPr="00B93C5D" w:rsidRDefault="009E0D1D">
      <w:pPr>
        <w:pBdr>
          <w:bottom w:val="single" w:sz="6" w:space="2" w:color="1F3864"/>
        </w:pBdr>
        <w:spacing w:before="240" w:after="70"/>
        <w:rPr>
          <w:rFonts w:ascii="Calibri" w:hAnsi="Calibri" w:cs="Calibri"/>
        </w:rPr>
      </w:pPr>
      <w:r w:rsidRPr="00B93C5D">
        <w:rPr>
          <w:rFonts w:ascii="Calibri" w:eastAsia="Aptos Light" w:hAnsi="Calibri" w:cs="Calibri"/>
          <w:b/>
          <w:bCs/>
          <w:color w:val="1F3864"/>
          <w:sz w:val="21"/>
          <w:szCs w:val="21"/>
        </w:rPr>
        <w:t>CORE CAPABILITIES</w:t>
      </w:r>
    </w:p>
    <w:p w14:paraId="3A49083F"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Transformation &amp; Delivery</w:t>
      </w:r>
    </w:p>
    <w:p w14:paraId="1ECE2923"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Strategic Discovery | Current-State &amp; Future-State Design | Program and Workstream Leadership | Multi-Site Delivery | Governance | Risk &amp; Dependency Management | Testing, Cutover &amp; Go-Live</w:t>
      </w:r>
    </w:p>
    <w:p w14:paraId="660CEBCB"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Consulting, Solution &amp; Commercial Leadership</w:t>
      </w:r>
    </w:p>
    <w:p w14:paraId="18BEC0E9"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Executive Advisory | Problem Definition | Requirements &amp; Solution Design | Customer Engagement | Opportunity Assessment | Commercial Scoping | Proposals &amp; Statements of Work</w:t>
      </w:r>
    </w:p>
    <w:p w14:paraId="68FB6F47"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People &amp; Capability Leadership</w:t>
      </w:r>
    </w:p>
    <w:p w14:paraId="10E8DF52"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Up to 10 Direct Reports | Multidisciplinary Teams of 30+ | Coaching &amp; Development | Performance Management | Global Knowledge Leadership | Methodology &amp; Capability Development</w:t>
      </w:r>
    </w:p>
    <w:p w14:paraId="50CC0F2D"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Enterprise Technology &amp; Integration</w:t>
      </w:r>
    </w:p>
    <w:p w14:paraId="3F6F08A4"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Enterprise Applications | EMR–ERP &amp; Patient Administration Integration | HL7 | XML | Rhapsody | EDI | Data Mapping &amp; Validation | Microsoft 365 | Jira | Azure DevOps</w:t>
      </w:r>
    </w:p>
    <w:p w14:paraId="21AB4682" w14:textId="77777777" w:rsidR="0050791D" w:rsidRPr="00B93C5D" w:rsidRDefault="009E0D1D">
      <w:pPr>
        <w:pBdr>
          <w:bottom w:val="single" w:sz="6" w:space="2" w:color="1F3864"/>
        </w:pBdr>
        <w:spacing w:before="240" w:after="70"/>
        <w:rPr>
          <w:rFonts w:ascii="Calibri" w:hAnsi="Calibri" w:cs="Calibri"/>
        </w:rPr>
      </w:pPr>
      <w:r w:rsidRPr="00B93C5D">
        <w:rPr>
          <w:rFonts w:ascii="Calibri" w:eastAsia="Aptos Light" w:hAnsi="Calibri" w:cs="Calibri"/>
          <w:b/>
          <w:bCs/>
          <w:color w:val="1F3864"/>
          <w:sz w:val="21"/>
          <w:szCs w:val="21"/>
        </w:rPr>
        <w:t>SELECTED CAREER IMPACT</w:t>
      </w:r>
    </w:p>
    <w:p w14:paraId="42BCB547"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$200K proof of concept → $1M+ opportunity</w:t>
      </w:r>
    </w:p>
    <w:p w14:paraId="5C834CA4"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Secured and led an executive-sponsored proof of concept by expanding a regulatory requirement into a broader transformation opportunity, positioning potential expansion across 16 Hospital and Health Services.</w:t>
      </w:r>
    </w:p>
    <w:p w14:paraId="34202657"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3,000+ contracted consulting hours</w:t>
      </w:r>
    </w:p>
    <w:p w14:paraId="506BAD9F"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Led strategy, stakeholder alignment and delivery for Australia’s first Oracle Health and SAP-integrated surgical inventory implementation, establishing a strategic reference client for future regional opportunities.</w:t>
      </w:r>
    </w:p>
    <w:p w14:paraId="4DF09AAE"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12–24 months → approximately four months</w:t>
      </w:r>
    </w:p>
    <w:p w14:paraId="226AF0F6"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Directed a multidisciplinary deployment team of 30+ and introduced a repeatable regulatory implementation model that significantly accelerated delivery while maintaining quality and compliance.</w:t>
      </w:r>
    </w:p>
    <w:p w14:paraId="7BAAC87B"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16-week zero-defect go-live</w:t>
      </w:r>
    </w:p>
    <w:p w14:paraId="61DA22F3"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Delivered an accelerated perioperative and surgical scheduling implementation within 16 weeks, coordinating workflow analysis, requirements validation, testing and stakeholder readiness to achieve a zero-defect go-live.</w:t>
      </w:r>
    </w:p>
    <w:p w14:paraId="087B9F52"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16+ hours saved per implementation site</w:t>
      </w:r>
    </w:p>
    <w:p w14:paraId="099BB481" w14:textId="77777777" w:rsidR="0050791D" w:rsidRDefault="009E0D1D">
      <w:pPr>
        <w:spacing w:after="120"/>
        <w:rPr>
          <w:rFonts w:ascii="Calibri" w:eastAsia="Aptos Light" w:hAnsi="Calibri" w:cs="Calibri"/>
          <w:color w:val="333333"/>
          <w:sz w:val="22"/>
          <w:szCs w:val="22"/>
        </w:rPr>
      </w:pPr>
      <w:r w:rsidRPr="00B93C5D">
        <w:rPr>
          <w:rFonts w:ascii="Calibri" w:eastAsia="Aptos Light" w:hAnsi="Calibri" w:cs="Calibri"/>
          <w:color w:val="333333"/>
          <w:sz w:val="22"/>
          <w:szCs w:val="22"/>
        </w:rPr>
        <w:t>Identified a repeatable delivery inefficiency and championed an automation initiative that reduced manual configuration effort while improving consistency and delivery quality.</w:t>
      </w:r>
    </w:p>
    <w:p w14:paraId="10315EDA" w14:textId="77777777" w:rsidR="00FA0556" w:rsidRPr="00B93C5D" w:rsidRDefault="00FA0556">
      <w:pPr>
        <w:spacing w:after="120"/>
        <w:rPr>
          <w:rFonts w:ascii="Calibri" w:hAnsi="Calibri" w:cs="Calibri"/>
        </w:rPr>
      </w:pPr>
    </w:p>
    <w:p w14:paraId="356876AE" w14:textId="77777777" w:rsidR="0050791D" w:rsidRPr="00B93C5D" w:rsidRDefault="009E0D1D">
      <w:pPr>
        <w:pBdr>
          <w:bottom w:val="single" w:sz="6" w:space="2" w:color="1F3864"/>
        </w:pBdr>
        <w:spacing w:before="240" w:after="70"/>
        <w:rPr>
          <w:rFonts w:ascii="Calibri" w:hAnsi="Calibri" w:cs="Calibri"/>
        </w:rPr>
      </w:pPr>
      <w:r w:rsidRPr="00B93C5D">
        <w:rPr>
          <w:rFonts w:ascii="Calibri" w:eastAsia="Aptos Light" w:hAnsi="Calibri" w:cs="Calibri"/>
          <w:b/>
          <w:bCs/>
          <w:color w:val="1F3864"/>
          <w:sz w:val="21"/>
          <w:szCs w:val="21"/>
        </w:rPr>
        <w:lastRenderedPageBreak/>
        <w:t>PROFESSIONAL EXPERIENCE</w:t>
      </w:r>
    </w:p>
    <w:p w14:paraId="039DC56F" w14:textId="77777777" w:rsidR="0050791D" w:rsidRPr="00B93C5D" w:rsidRDefault="009E0D1D">
      <w:pPr>
        <w:spacing w:before="90"/>
        <w:rPr>
          <w:rFonts w:ascii="Calibri" w:hAnsi="Calibri" w:cs="Calibri"/>
        </w:rPr>
      </w:pPr>
      <w:r w:rsidRPr="00B93C5D">
        <w:rPr>
          <w:rFonts w:ascii="Calibri" w:eastAsia="Aptos Light" w:hAnsi="Calibri" w:cs="Calibri"/>
          <w:b/>
          <w:bCs/>
          <w:color w:val="333333"/>
          <w:sz w:val="22"/>
          <w:szCs w:val="22"/>
        </w:rPr>
        <w:t>ORACLE CORPORATION | 2011–2025</w:t>
      </w:r>
    </w:p>
    <w:p w14:paraId="56ABED18" w14:textId="77777777" w:rsidR="0050791D" w:rsidRPr="00B93C5D" w:rsidRDefault="009E0D1D">
      <w:pPr>
        <w:spacing w:before="120" w:after="120"/>
        <w:rPr>
          <w:rFonts w:ascii="Calibri" w:hAnsi="Calibri" w:cs="Calibri"/>
        </w:rPr>
      </w:pPr>
      <w:r w:rsidRPr="00B93C5D">
        <w:rPr>
          <w:rFonts w:ascii="Calibri" w:eastAsia="Aptos Light" w:hAnsi="Calibri" w:cs="Calibri"/>
          <w:i/>
          <w:iCs/>
          <w:color w:val="333333"/>
          <w:sz w:val="22"/>
          <w:szCs w:val="22"/>
        </w:rPr>
        <w:t>Formerly Cerner Corporation | Global enterprise healthcare technology organisation delivering digital health, interoperability and transformation solutions.</w:t>
      </w:r>
    </w:p>
    <w:p w14:paraId="1CB38D49" w14:textId="77777777" w:rsidR="0050791D" w:rsidRPr="00B93C5D" w:rsidRDefault="009E0D1D">
      <w:pPr>
        <w:spacing w:before="144" w:after="120"/>
        <w:rPr>
          <w:rFonts w:ascii="Calibri" w:hAnsi="Calibri" w:cs="Calibri"/>
        </w:rPr>
      </w:pPr>
      <w:r w:rsidRPr="00B93C5D">
        <w:rPr>
          <w:rFonts w:ascii="Calibri" w:eastAsia="Aptos Light" w:hAnsi="Calibri" w:cs="Calibri"/>
          <w:b/>
          <w:bCs/>
          <w:color w:val="1F3864"/>
          <w:sz w:val="22"/>
          <w:szCs w:val="22"/>
        </w:rPr>
        <w:t>Senior Consulting Manager / Technical Consulting Manager | 2021–2025</w:t>
      </w:r>
    </w:p>
    <w:p w14:paraId="2F3FDBA6" w14:textId="77777777" w:rsidR="0050791D" w:rsidRPr="00B93C5D" w:rsidRDefault="009E0D1D">
      <w:pPr>
        <w:spacing w:before="120" w:after="120"/>
        <w:rPr>
          <w:rFonts w:ascii="Calibri" w:hAnsi="Calibri" w:cs="Calibri"/>
        </w:rPr>
      </w:pPr>
      <w:r w:rsidRPr="00B93C5D">
        <w:rPr>
          <w:rFonts w:ascii="Calibri" w:eastAsia="Aptos Light" w:hAnsi="Calibri" w:cs="Calibri"/>
          <w:i/>
          <w:iCs/>
          <w:color w:val="333333"/>
          <w:sz w:val="22"/>
          <w:szCs w:val="22"/>
        </w:rPr>
        <w:t>Led consulting delivery, enterprise transformation, solution development, people leadership and commercial support across complex technology engagements.</w:t>
      </w:r>
    </w:p>
    <w:p w14:paraId="3FDA36A3"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Led enterprise transformation and solution delivery across portfolios of up to seven concurrent engagements, overseeing governance, scope, schedules, risk, dependencies, resourcing, quality and customer outcomes</w:t>
      </w:r>
    </w:p>
    <w:p w14:paraId="316EE20F"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Managed up to 10 direct reports and led multidisciplinary teams across complex programs, providing coaching, performance support, quality assurance and senior escalation leadership</w:t>
      </w:r>
    </w:p>
    <w:p w14:paraId="05E320EF"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Advised executive, clinical, operational and technology stakeholders through discovery, problem definition, current-state assessment, future-state planning, implementation strategy and organisational readiness</w:t>
      </w:r>
    </w:p>
    <w:p w14:paraId="75732F3D"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Secured and delivered a $200K executive-sponsored proof of concept, positioning a potential $1M+ expansion across 16 Hospital and Health Services</w:t>
      </w:r>
    </w:p>
    <w:p w14:paraId="5EE81CC3"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Partnered with consulting, sales, product and engineering teams on customer discovery, solution development, commercial scoping, demonstrations, proposals and Statements of Work</w:t>
      </w:r>
    </w:p>
    <w:p w14:paraId="09A44A5F"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Coordinated implementation and integration workstreams spanning enterprise applications, patient administration, ERP platforms and third-party technologies, aligning dependencies and data flows across business and technical teams</w:t>
      </w:r>
    </w:p>
    <w:p w14:paraId="09AD444B" w14:textId="26E886F8" w:rsidR="006136CF" w:rsidRPr="00B93C5D" w:rsidRDefault="006136CF">
      <w:pPr>
        <w:pStyle w:val="ListParagraph"/>
        <w:numPr>
          <w:ilvl w:val="0"/>
          <w:numId w:val="2"/>
        </w:numPr>
        <w:rPr>
          <w:rFonts w:ascii="Calibri" w:hAnsi="Calibri" w:cs="Calibri"/>
        </w:rPr>
      </w:pPr>
      <w:r w:rsidRPr="00B93C5D">
        <w:rPr>
          <w:rFonts w:ascii="Calibri" w:eastAsia="Aptos Light" w:hAnsi="Calibri" w:cs="Calibri"/>
          <w:color w:val="333333"/>
          <w:sz w:val="22"/>
          <w:szCs w:val="22"/>
        </w:rPr>
        <w:t>Held Global Product and Solution Knowledge Lead roles across Perioperative and Clinical Inventory Management streams and coordinated a consultant community spanning 10+ countries, strengthening implementation standards, strategic engagements and global capability</w:t>
      </w:r>
    </w:p>
    <w:p w14:paraId="06CAC070" w14:textId="210CF8B0"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Identified a repeatable deployment inefficiency and championed an automation initiative that reduced manual configuration effort by 16+ hours per implementation site</w:t>
      </w:r>
    </w:p>
    <w:p w14:paraId="2B4544B5" w14:textId="77777777" w:rsidR="0050791D" w:rsidRPr="00B93C5D" w:rsidRDefault="009E0D1D">
      <w:pPr>
        <w:spacing w:before="144" w:after="120"/>
        <w:rPr>
          <w:rFonts w:ascii="Calibri" w:hAnsi="Calibri" w:cs="Calibri"/>
        </w:rPr>
      </w:pPr>
      <w:r w:rsidRPr="00B93C5D">
        <w:rPr>
          <w:rFonts w:ascii="Calibri" w:eastAsia="Aptos Light" w:hAnsi="Calibri" w:cs="Calibri"/>
          <w:b/>
          <w:bCs/>
          <w:color w:val="1F3864"/>
          <w:sz w:val="22"/>
          <w:szCs w:val="22"/>
        </w:rPr>
        <w:t>Consulting Manager / Senior Consultant | 2016–2021</w:t>
      </w:r>
    </w:p>
    <w:p w14:paraId="1B699A30" w14:textId="77777777" w:rsidR="0050791D" w:rsidRPr="00B93C5D" w:rsidRDefault="009E0D1D">
      <w:pPr>
        <w:spacing w:before="120" w:after="120"/>
        <w:rPr>
          <w:rFonts w:ascii="Calibri" w:hAnsi="Calibri" w:cs="Calibri"/>
        </w:rPr>
      </w:pPr>
      <w:r w:rsidRPr="00B93C5D">
        <w:rPr>
          <w:rFonts w:ascii="Calibri" w:eastAsia="Aptos Light" w:hAnsi="Calibri" w:cs="Calibri"/>
          <w:i/>
          <w:iCs/>
          <w:color w:val="333333"/>
          <w:sz w:val="22"/>
          <w:szCs w:val="22"/>
        </w:rPr>
        <w:t>Led solution strategy, transformation and technology delivery across complex international healthcare environments in Australia, Canada, Europe and the United States.</w:t>
      </w:r>
    </w:p>
    <w:p w14:paraId="3D4CF363"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Led strategy, stakeholder alignment, planning and delivery for Australia’s first Oracle Health and SAP-integrated surgical inventory implementation, generating more than 3,000 contracted consulting hours and establishing a strategic reference client</w:t>
      </w:r>
    </w:p>
    <w:p w14:paraId="4C21EF89"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Delivered multi-million-dollar transformation spanning clinical applications, ERP, inventory, procurement, finance, EDI and automation platforms</w:t>
      </w:r>
    </w:p>
    <w:p w14:paraId="4CEF3B0D"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Directed a multidisciplinary deployment team of 30+ and introduced a repeatable delivery methodology that reduced typical implementation timelines from 12–24 months to approximately four months while maintaining quality and regulatory compliance</w:t>
      </w:r>
    </w:p>
    <w:p w14:paraId="10B94B3A"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Facilitated customer discovery, current-state assessment, workflow analysis and future-state design, translating operational, regulatory and technical requirements into practical solution and implementation approaches</w:t>
      </w:r>
    </w:p>
    <w:p w14:paraId="2F8799F5"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Partnered with product, engineering and customer stakeholders to develop and validate new implant traceability capabilities supporting clinical documentation, inventory and product identification workflows</w:t>
      </w:r>
    </w:p>
    <w:p w14:paraId="002A1417"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Led solution design with engineering and third-party stakeholders for a custom barcode-enabled workflow integrating external product data with clinical documentation and recall processes, reducing recall investigation from up to 72 hours to near real time</w:t>
      </w:r>
    </w:p>
    <w:p w14:paraId="69515FCA"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Supported business development through discovery, competitive dialogue, commercial scoping, proposal development, delivery estimates and implementation planning</w:t>
      </w:r>
    </w:p>
    <w:p w14:paraId="71D4B361" w14:textId="77777777" w:rsidR="0050791D" w:rsidRPr="00B93C5D" w:rsidRDefault="009E0D1D">
      <w:pPr>
        <w:spacing w:before="144" w:after="120"/>
        <w:rPr>
          <w:rFonts w:ascii="Calibri" w:hAnsi="Calibri" w:cs="Calibri"/>
        </w:rPr>
      </w:pPr>
      <w:r w:rsidRPr="00B93C5D">
        <w:rPr>
          <w:rFonts w:ascii="Calibri" w:eastAsia="Aptos Light" w:hAnsi="Calibri" w:cs="Calibri"/>
          <w:b/>
          <w:bCs/>
          <w:color w:val="1F3864"/>
          <w:sz w:val="22"/>
          <w:szCs w:val="22"/>
        </w:rPr>
        <w:t>Team Lead / Solution Architect / Senior Delivery Consultant / Delivery Consultant | 2011–2016</w:t>
      </w:r>
    </w:p>
    <w:p w14:paraId="07F28727" w14:textId="77777777" w:rsidR="0050791D" w:rsidRPr="00B93C5D" w:rsidRDefault="009E0D1D">
      <w:pPr>
        <w:spacing w:before="120" w:after="120"/>
        <w:rPr>
          <w:rFonts w:ascii="Calibri" w:hAnsi="Calibri" w:cs="Calibri"/>
        </w:rPr>
      </w:pPr>
      <w:r w:rsidRPr="00B93C5D">
        <w:rPr>
          <w:rFonts w:ascii="Calibri" w:eastAsia="Aptos Light" w:hAnsi="Calibri" w:cs="Calibri"/>
          <w:i/>
          <w:iCs/>
          <w:color w:val="333333"/>
          <w:sz w:val="22"/>
          <w:szCs w:val="22"/>
        </w:rPr>
        <w:t>Progressed through increasingly senior consulting, solution architecture and delivery leadership roles across enterprise implementations in North America, Europe and the Caribbean.</w:t>
      </w:r>
    </w:p>
    <w:p w14:paraId="7E37A0D5"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Delivered and later led end-to-end implementation workstreams spanning discovery, workflow design, configuration, integration, testing, training, deployment and post-go-live optimisation</w:t>
      </w:r>
    </w:p>
    <w:p w14:paraId="3721F807"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Translated complex clinical, operational and technical requirements into practical solution designs, interface requirements, testing approaches and implementation plans</w:t>
      </w:r>
    </w:p>
    <w:p w14:paraId="2D34E6B5"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lastRenderedPageBreak/>
        <w:t>Developed consulting methodologies, implementation resources and training materials adopted across the global consulting practice, supporting consultant capability development and earning recognition through an internal innovation award</w:t>
      </w:r>
    </w:p>
    <w:p w14:paraId="61837023" w14:textId="77777777" w:rsidR="0050791D" w:rsidRPr="00B93C5D" w:rsidRDefault="009E0D1D">
      <w:pPr>
        <w:spacing w:before="90"/>
        <w:rPr>
          <w:rFonts w:ascii="Calibri" w:hAnsi="Calibri" w:cs="Calibri"/>
        </w:rPr>
      </w:pPr>
      <w:r w:rsidRPr="00B93C5D">
        <w:rPr>
          <w:rFonts w:ascii="Calibri" w:eastAsia="Aptos Light" w:hAnsi="Calibri" w:cs="Calibri"/>
          <w:b/>
          <w:bCs/>
          <w:color w:val="333333"/>
          <w:sz w:val="22"/>
          <w:szCs w:val="22"/>
        </w:rPr>
        <w:t>LESAFFRE YEAST CORPORATION | 2006–2011</w:t>
      </w:r>
    </w:p>
    <w:p w14:paraId="0A71EC60" w14:textId="77777777" w:rsidR="0050791D" w:rsidRPr="00B93C5D" w:rsidRDefault="009E0D1D">
      <w:pPr>
        <w:spacing w:before="120" w:after="120"/>
        <w:rPr>
          <w:rFonts w:ascii="Calibri" w:hAnsi="Calibri" w:cs="Calibri"/>
        </w:rPr>
      </w:pPr>
      <w:r w:rsidRPr="00B93C5D">
        <w:rPr>
          <w:rFonts w:ascii="Calibri" w:eastAsia="Aptos Light" w:hAnsi="Calibri" w:cs="Calibri"/>
          <w:i/>
          <w:iCs/>
          <w:color w:val="333333"/>
          <w:sz w:val="22"/>
          <w:szCs w:val="22"/>
        </w:rPr>
        <w:t>International biotechnology and food ingredient manufacturer.</w:t>
      </w:r>
    </w:p>
    <w:p w14:paraId="4F85C370" w14:textId="77777777" w:rsidR="0050791D" w:rsidRPr="00B93C5D" w:rsidRDefault="009E0D1D">
      <w:pPr>
        <w:spacing w:before="144" w:after="120"/>
        <w:rPr>
          <w:rFonts w:ascii="Calibri" w:hAnsi="Calibri" w:cs="Calibri"/>
        </w:rPr>
      </w:pPr>
      <w:r w:rsidRPr="00B93C5D">
        <w:rPr>
          <w:rFonts w:ascii="Calibri" w:eastAsia="Aptos Light" w:hAnsi="Calibri" w:cs="Calibri"/>
          <w:b/>
          <w:bCs/>
          <w:color w:val="1F3864"/>
          <w:sz w:val="22"/>
          <w:szCs w:val="22"/>
        </w:rPr>
        <w:t>Account Manager / Administrative Assistant | 2006–2011</w:t>
      </w:r>
    </w:p>
    <w:p w14:paraId="59A7921A"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Progressed from administrative support into customer account management, working across sales, operations and finance in a commercial environment</w:t>
      </w:r>
    </w:p>
    <w:p w14:paraId="0C9CD74D" w14:textId="77777777" w:rsidR="0050791D" w:rsidRPr="00B93C5D" w:rsidRDefault="009E0D1D">
      <w:pPr>
        <w:pStyle w:val="ListParagraph"/>
        <w:numPr>
          <w:ilvl w:val="0"/>
          <w:numId w:val="2"/>
        </w:numPr>
        <w:rPr>
          <w:rFonts w:ascii="Calibri" w:hAnsi="Calibri" w:cs="Calibri"/>
        </w:rPr>
      </w:pPr>
      <w:r w:rsidRPr="00B93C5D">
        <w:rPr>
          <w:rFonts w:ascii="Calibri" w:eastAsia="Aptos Light" w:hAnsi="Calibri" w:cs="Calibri"/>
          <w:color w:val="333333"/>
          <w:sz w:val="22"/>
          <w:szCs w:val="22"/>
        </w:rPr>
        <w:t>Managed customer relationships and operational processes while working extensively with Oracle PeopleSoft ERP, supporting enterprise CRM implementation and developing process and training materials</w:t>
      </w:r>
    </w:p>
    <w:p w14:paraId="77FC4F01" w14:textId="77777777" w:rsidR="0050791D" w:rsidRPr="00B93C5D" w:rsidRDefault="009E0D1D">
      <w:pPr>
        <w:pBdr>
          <w:bottom w:val="single" w:sz="6" w:space="2" w:color="1F3864"/>
        </w:pBdr>
        <w:spacing w:before="240" w:after="70"/>
        <w:rPr>
          <w:rFonts w:ascii="Calibri" w:hAnsi="Calibri" w:cs="Calibri"/>
        </w:rPr>
      </w:pPr>
      <w:r w:rsidRPr="00B93C5D">
        <w:rPr>
          <w:rFonts w:ascii="Calibri" w:eastAsia="Aptos Light" w:hAnsi="Calibri" w:cs="Calibri"/>
          <w:b/>
          <w:bCs/>
          <w:color w:val="1F3864"/>
          <w:sz w:val="21"/>
          <w:szCs w:val="21"/>
        </w:rPr>
        <w:t>REPRESENTATIVE TRANSFORMATION EXPERIENCE</w:t>
      </w:r>
    </w:p>
    <w:p w14:paraId="256FD5BF"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Australia | Multi-Site Public Health Transformation</w:t>
      </w:r>
    </w:p>
    <w:p w14:paraId="4E67C7F1"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Led perioperative, surgical scheduling, patient administration, integration and clinical inventory initiatives across major public healthcare environments, including current-state analysis, future-state design, data mapping and interface requirements.</w:t>
      </w:r>
    </w:p>
    <w:p w14:paraId="7E6E544B"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Australia | First-in-Country Enterprise Integration</w:t>
      </w:r>
    </w:p>
    <w:p w14:paraId="69A4C917"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Led strategy and delivery for a first-in-country clinical platform and SAP integration, generating 3,000+ contracted consulting hours and establishing a strategic reference implementation.</w:t>
      </w:r>
    </w:p>
    <w:p w14:paraId="71C35D55"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Canada | Province-Wide Digital Health Transformation</w:t>
      </w:r>
    </w:p>
    <w:p w14:paraId="6EE067E2"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Delivered complex transformation spanning clinical applications, Oracle PeopleSoft, inventory, finance, EDI and automated-dispensing platforms across a provincial healthcare environment.</w:t>
      </w:r>
    </w:p>
    <w:p w14:paraId="31FE396C"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United States | Enterprise Standardisation</w:t>
      </w:r>
    </w:p>
    <w:p w14:paraId="00EDA281" w14:textId="77777777"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Supported perioperative and clinical systems standardisation across approximately 30 hospitals, balancing enterprise consistency with local operational requirements.</w:t>
      </w:r>
    </w:p>
    <w:p w14:paraId="377FE02B" w14:textId="77777777" w:rsidR="0050791D" w:rsidRPr="00B93C5D" w:rsidRDefault="009E0D1D">
      <w:pPr>
        <w:spacing w:before="100" w:after="20"/>
        <w:rPr>
          <w:rFonts w:ascii="Calibri" w:hAnsi="Calibri" w:cs="Calibri"/>
        </w:rPr>
      </w:pPr>
      <w:r w:rsidRPr="00B93C5D">
        <w:rPr>
          <w:rFonts w:ascii="Calibri" w:eastAsia="Aptos Light" w:hAnsi="Calibri" w:cs="Calibri"/>
          <w:b/>
          <w:bCs/>
          <w:color w:val="1F3864"/>
          <w:sz w:val="22"/>
          <w:szCs w:val="22"/>
        </w:rPr>
        <w:t>Europe | Custom Traceability Integration</w:t>
      </w:r>
    </w:p>
    <w:p w14:paraId="3FC79907" w14:textId="1867255B" w:rsidR="0050791D" w:rsidRPr="00B93C5D" w:rsidRDefault="009E0D1D">
      <w:pPr>
        <w:spacing w:after="120"/>
        <w:rPr>
          <w:rFonts w:ascii="Calibri" w:hAnsi="Calibri" w:cs="Calibri"/>
        </w:rPr>
      </w:pPr>
      <w:r w:rsidRPr="00B93C5D">
        <w:rPr>
          <w:rFonts w:ascii="Calibri" w:eastAsia="Aptos Light" w:hAnsi="Calibri" w:cs="Calibri"/>
          <w:color w:val="333333"/>
          <w:sz w:val="22"/>
          <w:szCs w:val="22"/>
        </w:rPr>
        <w:t xml:space="preserve">Designed </w:t>
      </w:r>
      <w:r w:rsidR="006136CF" w:rsidRPr="00B93C5D">
        <w:rPr>
          <w:rFonts w:ascii="Calibri" w:eastAsia="Aptos Light" w:hAnsi="Calibri" w:cs="Calibri"/>
          <w:color w:val="333333"/>
          <w:sz w:val="22"/>
          <w:szCs w:val="22"/>
        </w:rPr>
        <w:t xml:space="preserve">a </w:t>
      </w:r>
      <w:r w:rsidRPr="00B93C5D">
        <w:rPr>
          <w:rFonts w:ascii="Calibri" w:eastAsia="Aptos Light" w:hAnsi="Calibri" w:cs="Calibri"/>
          <w:color w:val="333333"/>
          <w:sz w:val="22"/>
          <w:szCs w:val="22"/>
        </w:rPr>
        <w:t>barcode-enabled implant traceability integration that reduced recall investigation from up to 72 hours to near real time.</w:t>
      </w:r>
    </w:p>
    <w:p w14:paraId="67468AD1" w14:textId="77777777" w:rsidR="0050791D" w:rsidRPr="00B93C5D" w:rsidRDefault="009E0D1D">
      <w:pPr>
        <w:pBdr>
          <w:bottom w:val="single" w:sz="6" w:space="2" w:color="1F3864"/>
        </w:pBdr>
        <w:spacing w:before="240" w:after="70"/>
        <w:rPr>
          <w:rFonts w:ascii="Calibri" w:hAnsi="Calibri" w:cs="Calibri"/>
        </w:rPr>
      </w:pPr>
      <w:r w:rsidRPr="00B93C5D">
        <w:rPr>
          <w:rFonts w:ascii="Calibri" w:eastAsia="Aptos Light" w:hAnsi="Calibri" w:cs="Calibri"/>
          <w:b/>
          <w:bCs/>
          <w:color w:val="1F3864"/>
          <w:sz w:val="21"/>
          <w:szCs w:val="21"/>
        </w:rPr>
        <w:t>TECHNOLOGY &amp; DOMAIN KNOWLEDGE</w:t>
      </w:r>
    </w:p>
    <w:p w14:paraId="184855A3"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Enterprise Platforms:</w:t>
      </w:r>
    </w:p>
    <w:p w14:paraId="2A09FC4C"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Oracle Health Millennium | SAP S/4HANA | Oracle PeopleSoft | Infor/Lawson | McKesson | Patient Administration Systems, including iPM and HBCIS</w:t>
      </w:r>
    </w:p>
    <w:p w14:paraId="5C20BE48"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Integration &amp; Data:</w:t>
      </w:r>
    </w:p>
    <w:p w14:paraId="6F30C5B7"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HL7 | XML | Rhapsody | EDI | Interface Requirements | Data Mapping &amp; Validation | Ad Hoc SQL for Extraction, Validation &amp; Audits</w:t>
      </w:r>
    </w:p>
    <w:p w14:paraId="3D1DFD75"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Healthcare:</w:t>
      </w:r>
    </w:p>
    <w:p w14:paraId="429154A2"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Perioperative &amp; Procedural Services | Anaesthesia | Surgical Scheduling &amp; Waitlists | Patient Administration | Clinical Inventory | Implant Traceability | GS1 UDI</w:t>
      </w:r>
    </w:p>
    <w:p w14:paraId="5C68B09A" w14:textId="77777777" w:rsidR="0050791D" w:rsidRPr="00B93C5D" w:rsidRDefault="009E0D1D">
      <w:pPr>
        <w:spacing w:before="90" w:after="20"/>
        <w:rPr>
          <w:rFonts w:ascii="Calibri" w:hAnsi="Calibri" w:cs="Calibri"/>
        </w:rPr>
      </w:pPr>
      <w:r w:rsidRPr="00B93C5D">
        <w:rPr>
          <w:rFonts w:ascii="Calibri" w:eastAsia="Aptos Light" w:hAnsi="Calibri" w:cs="Calibri"/>
          <w:b/>
          <w:bCs/>
          <w:color w:val="1F3864"/>
          <w:sz w:val="22"/>
          <w:szCs w:val="22"/>
        </w:rPr>
        <w:t>Delivery Tools:</w:t>
      </w:r>
    </w:p>
    <w:p w14:paraId="374BF769" w14:textId="77777777" w:rsidR="0050791D" w:rsidRPr="00B93C5D" w:rsidRDefault="009E0D1D">
      <w:pPr>
        <w:spacing w:after="20"/>
        <w:rPr>
          <w:rFonts w:ascii="Calibri" w:hAnsi="Calibri" w:cs="Calibri"/>
        </w:rPr>
      </w:pPr>
      <w:r w:rsidRPr="00B93C5D">
        <w:rPr>
          <w:rFonts w:ascii="Calibri" w:eastAsia="Aptos Light" w:hAnsi="Calibri" w:cs="Calibri"/>
          <w:color w:val="333333"/>
          <w:sz w:val="22"/>
          <w:szCs w:val="22"/>
        </w:rPr>
        <w:t>Microsoft 365 | Jira | Azure DevOps | Confluence</w:t>
      </w:r>
    </w:p>
    <w:p w14:paraId="785F4D75" w14:textId="77777777" w:rsidR="0050791D" w:rsidRPr="00B93C5D" w:rsidRDefault="009E0D1D">
      <w:pPr>
        <w:pBdr>
          <w:bottom w:val="single" w:sz="6" w:space="2" w:color="1F3864"/>
        </w:pBdr>
        <w:spacing w:before="240" w:after="70"/>
        <w:rPr>
          <w:rFonts w:ascii="Calibri" w:hAnsi="Calibri" w:cs="Calibri"/>
        </w:rPr>
      </w:pPr>
      <w:r w:rsidRPr="00B93C5D">
        <w:rPr>
          <w:rFonts w:ascii="Calibri" w:eastAsia="Aptos Light" w:hAnsi="Calibri" w:cs="Calibri"/>
          <w:b/>
          <w:bCs/>
          <w:color w:val="1F3864"/>
          <w:sz w:val="21"/>
          <w:szCs w:val="21"/>
        </w:rPr>
        <w:t>EDUCATION, CERTIFICATION &amp; LEADERSHIP DEVELOPMENT</w:t>
      </w:r>
    </w:p>
    <w:p w14:paraId="7B2B8B4B" w14:textId="77777777" w:rsidR="0050791D" w:rsidRPr="00B93C5D" w:rsidRDefault="009E0D1D" w:rsidP="00EF74FB">
      <w:pPr>
        <w:rPr>
          <w:rFonts w:ascii="Calibri" w:hAnsi="Calibri" w:cs="Calibri"/>
        </w:rPr>
      </w:pPr>
      <w:r w:rsidRPr="00B93C5D">
        <w:rPr>
          <w:rFonts w:ascii="Calibri" w:eastAsia="Aptos Light" w:hAnsi="Calibri" w:cs="Calibri"/>
          <w:b/>
          <w:bCs/>
          <w:color w:val="333333"/>
          <w:sz w:val="22"/>
          <w:szCs w:val="22"/>
        </w:rPr>
        <w:t xml:space="preserve">Certified Health Informatician Australasia (CHIA) | </w:t>
      </w:r>
      <w:r w:rsidRPr="00B93C5D">
        <w:rPr>
          <w:rFonts w:ascii="Calibri" w:eastAsia="Aptos Light" w:hAnsi="Calibri" w:cs="Calibri"/>
          <w:color w:val="333333"/>
          <w:sz w:val="22"/>
          <w:szCs w:val="22"/>
        </w:rPr>
        <w:t>Australasian Institute of Digital Health</w:t>
      </w:r>
    </w:p>
    <w:p w14:paraId="508BBDF2" w14:textId="77777777" w:rsidR="0050791D" w:rsidRPr="00B93C5D" w:rsidRDefault="009E0D1D" w:rsidP="00EF74FB">
      <w:pPr>
        <w:rPr>
          <w:rFonts w:ascii="Calibri" w:hAnsi="Calibri" w:cs="Calibri"/>
        </w:rPr>
      </w:pPr>
      <w:r w:rsidRPr="00B93C5D">
        <w:rPr>
          <w:rFonts w:ascii="Calibri" w:eastAsia="Aptos Light" w:hAnsi="Calibri" w:cs="Calibri"/>
          <w:b/>
          <w:bCs/>
          <w:color w:val="333333"/>
          <w:sz w:val="22"/>
          <w:szCs w:val="22"/>
        </w:rPr>
        <w:t xml:space="preserve">Women in Digital Health Leadership Program | 2026 | </w:t>
      </w:r>
      <w:r w:rsidRPr="00B93C5D">
        <w:rPr>
          <w:rFonts w:ascii="Calibri" w:eastAsia="Aptos Light" w:hAnsi="Calibri" w:cs="Calibri"/>
          <w:color w:val="333333"/>
          <w:sz w:val="22"/>
          <w:szCs w:val="22"/>
        </w:rPr>
        <w:t>Australasian Institute of Digital Health</w:t>
      </w:r>
    </w:p>
    <w:p w14:paraId="1C02D6F1" w14:textId="77777777" w:rsidR="0050791D" w:rsidRPr="00B93C5D" w:rsidRDefault="009E0D1D" w:rsidP="00EF74FB">
      <w:pPr>
        <w:rPr>
          <w:rFonts w:ascii="Calibri" w:hAnsi="Calibri" w:cs="Calibri"/>
        </w:rPr>
      </w:pPr>
      <w:r w:rsidRPr="00B93C5D">
        <w:rPr>
          <w:rFonts w:ascii="Calibri" w:eastAsia="Aptos Light" w:hAnsi="Calibri" w:cs="Calibri"/>
          <w:b/>
          <w:bCs/>
          <w:color w:val="333333"/>
          <w:sz w:val="22"/>
          <w:szCs w:val="22"/>
        </w:rPr>
        <w:t xml:space="preserve">Master of Science, Management Information Systems | </w:t>
      </w:r>
      <w:r w:rsidRPr="00B93C5D">
        <w:rPr>
          <w:rFonts w:ascii="Calibri" w:eastAsia="Aptos Light" w:hAnsi="Calibri" w:cs="Calibri"/>
          <w:color w:val="333333"/>
          <w:sz w:val="22"/>
          <w:szCs w:val="22"/>
        </w:rPr>
        <w:t>University of Wisconsin–Milwaukee</w:t>
      </w:r>
    </w:p>
    <w:p w14:paraId="33FC8FDA" w14:textId="77777777" w:rsidR="0050791D" w:rsidRPr="00B93C5D" w:rsidRDefault="009E0D1D" w:rsidP="00EF74FB">
      <w:pPr>
        <w:rPr>
          <w:rFonts w:ascii="Calibri" w:hAnsi="Calibri" w:cs="Calibri"/>
        </w:rPr>
      </w:pPr>
      <w:r w:rsidRPr="00B93C5D">
        <w:rPr>
          <w:rFonts w:ascii="Calibri" w:eastAsia="Aptos Light" w:hAnsi="Calibri" w:cs="Calibri"/>
          <w:b/>
          <w:bCs/>
          <w:color w:val="333333"/>
          <w:sz w:val="22"/>
          <w:szCs w:val="22"/>
        </w:rPr>
        <w:t xml:space="preserve">Bachelor of Business Administration, Marketing &amp; International Business | </w:t>
      </w:r>
      <w:r w:rsidRPr="00B93C5D">
        <w:rPr>
          <w:rFonts w:ascii="Calibri" w:eastAsia="Aptos Light" w:hAnsi="Calibri" w:cs="Calibri"/>
          <w:color w:val="333333"/>
          <w:sz w:val="22"/>
          <w:szCs w:val="22"/>
        </w:rPr>
        <w:t>University of Wisconsin–Milwaukee</w:t>
      </w:r>
    </w:p>
    <w:sectPr w:rsidR="0050791D" w:rsidRPr="00B93C5D">
      <w:headerReference w:type="default" r:id="rId9"/>
      <w:pgSz w:w="11906" w:h="16838"/>
      <w:pgMar w:top="720" w:right="567" w:bottom="567" w:left="567" w:header="34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A183F" w14:textId="77777777" w:rsidR="002233CE" w:rsidRDefault="002233CE">
      <w:r>
        <w:separator/>
      </w:r>
    </w:p>
  </w:endnote>
  <w:endnote w:type="continuationSeparator" w:id="0">
    <w:p w14:paraId="0C7860E6" w14:textId="77777777" w:rsidR="002233CE" w:rsidRDefault="00223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Light">
    <w:charset w:val="00"/>
    <w:family w:val="swiss"/>
    <w:pitch w:val="variable"/>
    <w:sig w:usb0="20000287" w:usb1="00000003" w:usb2="00000000" w:usb3="00000000" w:csb0="0000019F" w:csb1="00000000"/>
  </w:font>
  <w:font w:name="Atopos Ligh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789DC" w14:textId="77777777" w:rsidR="002233CE" w:rsidRDefault="002233CE">
      <w:r>
        <w:separator/>
      </w:r>
    </w:p>
  </w:footnote>
  <w:footnote w:type="continuationSeparator" w:id="0">
    <w:p w14:paraId="0B834F71" w14:textId="77777777" w:rsidR="002233CE" w:rsidRDefault="00223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D6C0" w14:textId="718CF6CE" w:rsidR="0050791D" w:rsidRDefault="009E0D1D">
    <w:pPr>
      <w:pBdr>
        <w:bottom w:val="single" w:sz="4" w:space="4" w:color="1F3864"/>
      </w:pBdr>
      <w:tabs>
        <w:tab w:val="right" w:pos="9026"/>
      </w:tabs>
    </w:pPr>
    <w:r>
      <w:rPr>
        <w:rFonts w:ascii="Aptos Light" w:eastAsia="Aptos Light" w:hAnsi="Aptos Light" w:cs="Aptos Light"/>
        <w:b/>
        <w:bCs/>
        <w:color w:val="1F3864"/>
        <w:sz w:val="18"/>
        <w:szCs w:val="18"/>
      </w:rPr>
      <w:t xml:space="preserve">MEGAN BLECHL, </w:t>
    </w:r>
    <w:r w:rsidR="00EF74FB">
      <w:rPr>
        <w:rFonts w:ascii="Aptos Light" w:eastAsia="Aptos Light" w:hAnsi="Aptos Light" w:cs="Aptos Light"/>
        <w:b/>
        <w:bCs/>
        <w:color w:val="1F3864"/>
        <w:sz w:val="18"/>
        <w:szCs w:val="18"/>
      </w:rPr>
      <w:t>CHIA</w:t>
    </w:r>
    <w:r w:rsidR="00EF74FB">
      <w:rPr>
        <w:rFonts w:ascii="Aptos Light" w:eastAsia="Aptos Light" w:hAnsi="Aptos Light" w:cs="Aptos Light"/>
        <w:color w:val="333333"/>
        <w:sz w:val="18"/>
        <w:szCs w:val="18"/>
      </w:rPr>
      <w:t xml:space="preserve"> | Senior</w:t>
    </w:r>
    <w:r>
      <w:rPr>
        <w:rFonts w:ascii="Aptos Light" w:eastAsia="Aptos Light" w:hAnsi="Aptos Light" w:cs="Aptos Light"/>
        <w:color w:val="333333"/>
        <w:sz w:val="18"/>
        <w:szCs w:val="18"/>
      </w:rPr>
      <w:t xml:space="preserve"> Technology, Consulting &amp; Transformation Leader</w:t>
    </w:r>
    <w:r>
      <w:rPr>
        <w:rFonts w:ascii="Aptos Light" w:eastAsia="Aptos Light" w:hAnsi="Aptos Light" w:cs="Aptos Light"/>
        <w:sz w:val="18"/>
        <w:szCs w:val="18"/>
      </w:rPr>
      <w:tab/>
    </w:r>
    <w:r w:rsidR="00EF74FB" w:rsidRPr="00EF74FB">
      <w:rPr>
        <w:rFonts w:ascii="Aptos Light" w:eastAsia="Aptos Light" w:hAnsi="Aptos Light" w:cs="Aptos Light"/>
        <w:sz w:val="18"/>
        <w:szCs w:val="18"/>
      </w:rPr>
      <w:t xml:space="preserve">Page </w:t>
    </w:r>
    <w:r w:rsidR="00EF74FB" w:rsidRPr="00EF74FB">
      <w:rPr>
        <w:rFonts w:ascii="Aptos Light" w:eastAsia="Aptos Light" w:hAnsi="Aptos Light" w:cs="Aptos Light"/>
        <w:b/>
        <w:bCs/>
        <w:sz w:val="18"/>
        <w:szCs w:val="18"/>
      </w:rPr>
      <w:fldChar w:fldCharType="begin"/>
    </w:r>
    <w:r w:rsidR="00EF74FB" w:rsidRPr="00EF74FB">
      <w:rPr>
        <w:rFonts w:ascii="Aptos Light" w:eastAsia="Aptos Light" w:hAnsi="Aptos Light" w:cs="Aptos Light"/>
        <w:b/>
        <w:bCs/>
        <w:sz w:val="18"/>
        <w:szCs w:val="18"/>
      </w:rPr>
      <w:instrText xml:space="preserve"> PAGE  \* Arabic  \* MERGEFORMAT </w:instrText>
    </w:r>
    <w:r w:rsidR="00EF74FB" w:rsidRPr="00EF74FB">
      <w:rPr>
        <w:rFonts w:ascii="Aptos Light" w:eastAsia="Aptos Light" w:hAnsi="Aptos Light" w:cs="Aptos Light"/>
        <w:b/>
        <w:bCs/>
        <w:sz w:val="18"/>
        <w:szCs w:val="18"/>
      </w:rPr>
      <w:fldChar w:fldCharType="separate"/>
    </w:r>
    <w:r w:rsidR="00EF74FB" w:rsidRPr="00EF74FB">
      <w:rPr>
        <w:rFonts w:ascii="Aptos Light" w:eastAsia="Aptos Light" w:hAnsi="Aptos Light" w:cs="Aptos Light"/>
        <w:b/>
        <w:bCs/>
        <w:noProof/>
        <w:sz w:val="18"/>
        <w:szCs w:val="18"/>
      </w:rPr>
      <w:t>1</w:t>
    </w:r>
    <w:r w:rsidR="00EF74FB" w:rsidRPr="00EF74FB">
      <w:rPr>
        <w:rFonts w:ascii="Aptos Light" w:eastAsia="Aptos Light" w:hAnsi="Aptos Light" w:cs="Aptos Light"/>
        <w:b/>
        <w:bCs/>
        <w:sz w:val="18"/>
        <w:szCs w:val="18"/>
      </w:rPr>
      <w:fldChar w:fldCharType="end"/>
    </w:r>
    <w:r w:rsidR="00EF74FB" w:rsidRPr="00EF74FB">
      <w:rPr>
        <w:rFonts w:ascii="Aptos Light" w:eastAsia="Aptos Light" w:hAnsi="Aptos Light" w:cs="Aptos Light"/>
        <w:sz w:val="18"/>
        <w:szCs w:val="18"/>
      </w:rPr>
      <w:t xml:space="preserve"> of </w:t>
    </w:r>
    <w:r w:rsidR="00EF74FB" w:rsidRPr="00EF74FB">
      <w:rPr>
        <w:rFonts w:ascii="Aptos Light" w:eastAsia="Aptos Light" w:hAnsi="Aptos Light" w:cs="Aptos Light"/>
        <w:b/>
        <w:bCs/>
        <w:sz w:val="18"/>
        <w:szCs w:val="18"/>
      </w:rPr>
      <w:fldChar w:fldCharType="begin"/>
    </w:r>
    <w:r w:rsidR="00EF74FB" w:rsidRPr="00EF74FB">
      <w:rPr>
        <w:rFonts w:ascii="Aptos Light" w:eastAsia="Aptos Light" w:hAnsi="Aptos Light" w:cs="Aptos Light"/>
        <w:b/>
        <w:bCs/>
        <w:sz w:val="18"/>
        <w:szCs w:val="18"/>
      </w:rPr>
      <w:instrText xml:space="preserve"> NUMPAGES  \* Arabic  \* MERGEFORMAT </w:instrText>
    </w:r>
    <w:r w:rsidR="00EF74FB" w:rsidRPr="00EF74FB">
      <w:rPr>
        <w:rFonts w:ascii="Aptos Light" w:eastAsia="Aptos Light" w:hAnsi="Aptos Light" w:cs="Aptos Light"/>
        <w:b/>
        <w:bCs/>
        <w:sz w:val="18"/>
        <w:szCs w:val="18"/>
      </w:rPr>
      <w:fldChar w:fldCharType="separate"/>
    </w:r>
    <w:r w:rsidR="00EF74FB" w:rsidRPr="00EF74FB">
      <w:rPr>
        <w:rFonts w:ascii="Aptos Light" w:eastAsia="Aptos Light" w:hAnsi="Aptos Light" w:cs="Aptos Light"/>
        <w:b/>
        <w:bCs/>
        <w:noProof/>
        <w:sz w:val="18"/>
        <w:szCs w:val="18"/>
      </w:rPr>
      <w:t>2</w:t>
    </w:r>
    <w:r w:rsidR="00EF74FB" w:rsidRPr="00EF74FB">
      <w:rPr>
        <w:rFonts w:ascii="Aptos Light" w:eastAsia="Aptos Light" w:hAnsi="Aptos Light" w:cs="Aptos Light"/>
        <w:b/>
        <w:bC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05286"/>
    <w:multiLevelType w:val="hybridMultilevel"/>
    <w:tmpl w:val="6296B1AC"/>
    <w:lvl w:ilvl="0" w:tplc="8BB04294">
      <w:start w:val="1"/>
      <w:numFmt w:val="bullet"/>
      <w:lvlText w:val="•"/>
      <w:lvlJc w:val="left"/>
      <w:pPr>
        <w:ind w:left="259" w:hanging="259"/>
      </w:pPr>
    </w:lvl>
    <w:lvl w:ilvl="1" w:tplc="9C8AF9CE">
      <w:numFmt w:val="decimal"/>
      <w:lvlText w:val=""/>
      <w:lvlJc w:val="left"/>
    </w:lvl>
    <w:lvl w:ilvl="2" w:tplc="1DE2CFD4">
      <w:numFmt w:val="decimal"/>
      <w:lvlText w:val=""/>
      <w:lvlJc w:val="left"/>
    </w:lvl>
    <w:lvl w:ilvl="3" w:tplc="AEAA210A">
      <w:numFmt w:val="decimal"/>
      <w:lvlText w:val=""/>
      <w:lvlJc w:val="left"/>
    </w:lvl>
    <w:lvl w:ilvl="4" w:tplc="F634F316">
      <w:numFmt w:val="decimal"/>
      <w:lvlText w:val=""/>
      <w:lvlJc w:val="left"/>
    </w:lvl>
    <w:lvl w:ilvl="5" w:tplc="39283FF0">
      <w:numFmt w:val="decimal"/>
      <w:lvlText w:val=""/>
      <w:lvlJc w:val="left"/>
    </w:lvl>
    <w:lvl w:ilvl="6" w:tplc="3640A02C">
      <w:numFmt w:val="decimal"/>
      <w:lvlText w:val=""/>
      <w:lvlJc w:val="left"/>
    </w:lvl>
    <w:lvl w:ilvl="7" w:tplc="5C6E3EC4">
      <w:numFmt w:val="decimal"/>
      <w:lvlText w:val=""/>
      <w:lvlJc w:val="left"/>
    </w:lvl>
    <w:lvl w:ilvl="8" w:tplc="31E20E5A">
      <w:numFmt w:val="decimal"/>
      <w:lvlText w:val=""/>
      <w:lvlJc w:val="left"/>
    </w:lvl>
  </w:abstractNum>
  <w:abstractNum w:abstractNumId="1" w15:restartNumberingAfterBreak="0">
    <w:nsid w:val="2B202C94"/>
    <w:multiLevelType w:val="hybridMultilevel"/>
    <w:tmpl w:val="E15C0F26"/>
    <w:lvl w:ilvl="0" w:tplc="7220D272">
      <w:start w:val="1"/>
      <w:numFmt w:val="bullet"/>
      <w:lvlText w:val="●"/>
      <w:lvlJc w:val="left"/>
      <w:pPr>
        <w:ind w:left="720" w:hanging="360"/>
      </w:pPr>
    </w:lvl>
    <w:lvl w:ilvl="1" w:tplc="ED463630">
      <w:start w:val="1"/>
      <w:numFmt w:val="bullet"/>
      <w:lvlText w:val="○"/>
      <w:lvlJc w:val="left"/>
      <w:pPr>
        <w:ind w:left="1440" w:hanging="360"/>
      </w:pPr>
    </w:lvl>
    <w:lvl w:ilvl="2" w:tplc="22BE2D32">
      <w:start w:val="1"/>
      <w:numFmt w:val="bullet"/>
      <w:lvlText w:val="■"/>
      <w:lvlJc w:val="left"/>
      <w:pPr>
        <w:ind w:left="2160" w:hanging="360"/>
      </w:pPr>
    </w:lvl>
    <w:lvl w:ilvl="3" w:tplc="5C5A4818">
      <w:start w:val="1"/>
      <w:numFmt w:val="bullet"/>
      <w:lvlText w:val="●"/>
      <w:lvlJc w:val="left"/>
      <w:pPr>
        <w:ind w:left="2880" w:hanging="360"/>
      </w:pPr>
    </w:lvl>
    <w:lvl w:ilvl="4" w:tplc="519883FC">
      <w:start w:val="1"/>
      <w:numFmt w:val="bullet"/>
      <w:lvlText w:val="○"/>
      <w:lvlJc w:val="left"/>
      <w:pPr>
        <w:ind w:left="3600" w:hanging="360"/>
      </w:pPr>
    </w:lvl>
    <w:lvl w:ilvl="5" w:tplc="EC622A38">
      <w:start w:val="1"/>
      <w:numFmt w:val="bullet"/>
      <w:lvlText w:val="■"/>
      <w:lvlJc w:val="left"/>
      <w:pPr>
        <w:ind w:left="4320" w:hanging="360"/>
      </w:pPr>
    </w:lvl>
    <w:lvl w:ilvl="6" w:tplc="350A1976">
      <w:start w:val="1"/>
      <w:numFmt w:val="bullet"/>
      <w:lvlText w:val="●"/>
      <w:lvlJc w:val="left"/>
      <w:pPr>
        <w:ind w:left="5040" w:hanging="360"/>
      </w:pPr>
    </w:lvl>
    <w:lvl w:ilvl="7" w:tplc="4A1EB496">
      <w:start w:val="1"/>
      <w:numFmt w:val="bullet"/>
      <w:lvlText w:val="●"/>
      <w:lvlJc w:val="left"/>
      <w:pPr>
        <w:ind w:left="5760" w:hanging="360"/>
      </w:pPr>
    </w:lvl>
    <w:lvl w:ilvl="8" w:tplc="4B2AE044">
      <w:start w:val="1"/>
      <w:numFmt w:val="bullet"/>
      <w:lvlText w:val="●"/>
      <w:lvlJc w:val="left"/>
      <w:pPr>
        <w:ind w:left="6480" w:hanging="360"/>
      </w:pPr>
    </w:lvl>
  </w:abstractNum>
  <w:num w:numId="1" w16cid:durableId="1640302834">
    <w:abstractNumId w:val="1"/>
    <w:lvlOverride w:ilvl="0">
      <w:startOverride w:val="1"/>
    </w:lvlOverride>
  </w:num>
  <w:num w:numId="2" w16cid:durableId="2133084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91D"/>
    <w:rsid w:val="000D1DF2"/>
    <w:rsid w:val="002233CE"/>
    <w:rsid w:val="003546C2"/>
    <w:rsid w:val="0050791D"/>
    <w:rsid w:val="006136CF"/>
    <w:rsid w:val="007D3C10"/>
    <w:rsid w:val="009E0D1D"/>
    <w:rsid w:val="00B93C5D"/>
    <w:rsid w:val="00EF74FB"/>
    <w:rsid w:val="00FA05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F709"/>
  <w15:docId w15:val="{942909AF-2607-4F07-87A7-E31CC28F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74FB"/>
    <w:pPr>
      <w:tabs>
        <w:tab w:val="center" w:pos="4513"/>
        <w:tab w:val="right" w:pos="9026"/>
      </w:tabs>
    </w:pPr>
  </w:style>
  <w:style w:type="character" w:customStyle="1" w:styleId="HeaderChar">
    <w:name w:val="Header Char"/>
    <w:basedOn w:val="DefaultParagraphFont"/>
    <w:link w:val="Header"/>
    <w:uiPriority w:val="99"/>
    <w:rsid w:val="00EF74FB"/>
  </w:style>
  <w:style w:type="paragraph" w:styleId="Footer">
    <w:name w:val="footer"/>
    <w:basedOn w:val="Normal"/>
    <w:link w:val="FooterChar"/>
    <w:uiPriority w:val="99"/>
    <w:unhideWhenUsed/>
    <w:rsid w:val="00EF74FB"/>
    <w:pPr>
      <w:tabs>
        <w:tab w:val="center" w:pos="4513"/>
        <w:tab w:val="right" w:pos="9026"/>
      </w:tabs>
    </w:pPr>
  </w:style>
  <w:style w:type="character" w:customStyle="1" w:styleId="FooterChar">
    <w:name w:val="Footer Char"/>
    <w:basedOn w:val="DefaultParagraphFont"/>
    <w:link w:val="Footer"/>
    <w:uiPriority w:val="99"/>
    <w:rsid w:val="00EF74FB"/>
  </w:style>
  <w:style w:type="character" w:styleId="UnresolvedMention">
    <w:name w:val="Unresolved Mention"/>
    <w:basedOn w:val="DefaultParagraphFont"/>
    <w:uiPriority w:val="99"/>
    <w:semiHidden/>
    <w:unhideWhenUsed/>
    <w:rsid w:val="00B93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ttps:/mnblechl-hub.github.io/ProjectResume/" TargetMode="External"/><Relationship Id="rId3" Type="http://schemas.openxmlformats.org/officeDocument/2006/relationships/settings" Target="settings.xml"/><Relationship Id="rId7" Type="http://schemas.openxmlformats.org/officeDocument/2006/relationships/hyperlink" Target="https://www.linkedin.com/in/meganblech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Megan Blechl</cp:lastModifiedBy>
  <cp:revision>6</cp:revision>
  <dcterms:created xsi:type="dcterms:W3CDTF">2026-08-07T03:14:00Z</dcterms:created>
  <dcterms:modified xsi:type="dcterms:W3CDTF">2026-08-21T06:32:00Z</dcterms:modified>
</cp:coreProperties>
</file>