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E3A5F"/>
          <w:sz w:val="40"/>
          <w:szCs w:val="40"/>
        </w:rPr>
        <w:t xml:space="preserve">MASHUK ELAHI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Electrical Engineer · Mission-Critical Power Systems &amp; Critical Facilities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334155"/>
          <w:sz w:val="17"/>
          <w:szCs w:val="17"/>
        </w:rPr>
        <w:t xml:space="preserve">Aljunied, Singapore  ·  +65 8788 5453  ·  m_nelahi@yahoo.com  ·  </w:t>
      </w:r>
      <w:hyperlink w:history="1" r:id="rId65vw3pvsegjzmii1mangx">
        <w:r>
          <w:rPr>
            <w:rFonts w:ascii="Calibri" w:cs="Calibri" w:eastAsia="Calibri" w:hAnsi="Calibri"/>
            <w:color w:val="2563EB"/>
            <w:sz w:val="17"/>
            <w:szCs w:val="17"/>
            <w:u w:val="single"/>
          </w:rPr>
          <w:t xml:space="preserve">linkedin.com/in/mashukelahi</w:t>
        </w:r>
      </w:hyperlink>
      <w:r>
        <w:rPr>
          <w:rFonts w:ascii="Calibri" w:cs="Calibri" w:eastAsia="Calibri" w:hAnsi="Calibri"/>
          <w:color w:val="334155"/>
          <w:sz w:val="17"/>
          <w:szCs w:val="17"/>
        </w:rPr>
        <w:t xml:space="preserve">  ·  </w:t>
      </w:r>
      <w:hyperlink w:history="1" r:id="rIdmngrw3jucoygjhi93alsy">
        <w:r>
          <w:rPr>
            <w:rFonts w:ascii="Calibri" w:cs="Calibri" w:eastAsia="Calibri" w:hAnsi="Calibri"/>
            <w:color w:val="2563EB"/>
            <w:sz w:val="17"/>
            <w:szCs w:val="17"/>
            <w:u w:val="single"/>
          </w:rPr>
          <w:t xml:space="preserve">mnelahi-ai.github.io/portfolio</w:t>
        </w:r>
      </w:hyperlink>
    </w:p>
    <w:p>
      <w:pPr>
        <w:pBdr>
          <w:bottom w:val="single" w:color="1E3A5F" w:sz="6" w:space="1"/>
        </w:pBdr>
        <w:spacing w:after="80" w:before="10"/>
      </w:pPr>
    </w:p>
    <w:p>
      <w:pPr>
        <w:pBdr>
          <w:bottom w:val="single" w:color="CBD5E1" w:sz="4" w:space="2"/>
        </w:pBdr>
        <w:spacing w:after="40" w:before="140"/>
      </w:pPr>
      <w:r>
        <w:rPr>
          <w:rFonts w:ascii="Calibri" w:cs="Calibri" w:eastAsia="Calibri" w:hAnsi="Calibri"/>
          <w:b/>
          <w:bCs/>
          <w:caps/>
          <w:color w:val="1E3A5F"/>
          <w:sz w:val="21"/>
          <w:szCs w:val="21"/>
        </w:rPr>
        <w:t xml:space="preserve">Professional Summary</w:t>
      </w:r>
    </w:p>
    <w:p>
      <w:pPr>
        <w:spacing w:after="60"/>
        <w:jc w:val="both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Electrical engineer with 16+ years commissioning mission-critical LV/MV/HV power systems — FPSO topsides, offshore-wind substations, hybrid Li-ion BESS architectures and 300 mm semiconductor cleanrooms — applying a structured Level 1–6 commissioning framework (FAT review through performance/turnover) that maps directly onto Tier III/IV data-center and critical-facility delivery. Signature differentiators: IEC 61850 protection-relay/SCADA depth (ABB 800xA) and Python-automated EPMS load-list &amp; cable-schedule generation at scale. Consistent pattern across every engagement — N+1/2N+1 redundancy, zero-tolerance commissioning, first-pass certification with zero rework.</w:t>
      </w:r>
    </w:p>
    <w:p>
      <w:pPr>
        <w:pBdr>
          <w:bottom w:val="single" w:color="CBD5E1" w:sz="4" w:space="2"/>
        </w:pBdr>
        <w:spacing w:after="40" w:before="140"/>
      </w:pPr>
      <w:r>
        <w:rPr>
          <w:rFonts w:ascii="Calibri" w:cs="Calibri" w:eastAsia="Calibri" w:hAnsi="Calibri"/>
          <w:b/>
          <w:bCs/>
          <w:caps/>
          <w:color w:val="1E3A5F"/>
          <w:sz w:val="21"/>
          <w:szCs w:val="21"/>
        </w:rPr>
        <w:t xml:space="preserve">Critical-Facility Commissioning Framework (L1–L6)</w:t>
      </w:r>
    </w:p>
    <w:p>
      <w:pPr>
        <w:spacing w:after="120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L1 FAT Review   →   L2 Installation Oversight   →   L3 Energisation   →   L4 Functional Performance Testing (FPT)   →   L5 Integrated Systems Testing (IST)   →   L6 Performance / Turnover</w:t>
      </w:r>
    </w:p>
    <w:p>
      <w:pPr>
        <w:pBdr>
          <w:bottom w:val="single" w:color="CBD5E1" w:sz="4" w:space="2"/>
        </w:pBdr>
        <w:spacing w:after="40" w:before="140"/>
      </w:pPr>
      <w:r>
        <w:rPr>
          <w:rFonts w:ascii="Calibri" w:cs="Calibri" w:eastAsia="Calibri" w:hAnsi="Calibri"/>
          <w:b/>
          <w:bCs/>
          <w:caps/>
          <w:color w:val="1E3A5F"/>
          <w:sz w:val="21"/>
          <w:szCs w:val="21"/>
        </w:rPr>
        <w:t xml:space="preserve">Selected Mission-Critical Case Studies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B45309"/>
          <w:sz w:val="19"/>
          <w:szCs w:val="19"/>
        </w:rPr>
        <w:t xml:space="preserve">★ </w:t>
      </w: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MV 11kV Switchgear &amp; ABB 800xA SCADA Fire &amp; Gas Protection </w:t>
      </w:r>
      <w:r>
        <w:rPr>
          <w:rFonts w:ascii="Calibri" w:cs="Calibri" w:eastAsia="Calibri" w:hAnsi="Calibri"/>
          <w:color w:val="111111"/>
          <w:sz w:val="19"/>
          <w:szCs w:val="19"/>
        </w:rPr>
        <w:t xml:space="preserve">(L1–L5) — </w:t>
      </w:r>
      <w:r>
        <w:rPr>
          <w:rFonts w:ascii="Calibri" w:cs="Calibri" w:eastAsia="Calibri" w:hAnsi="Calibri"/>
          <w:color w:val="111111"/>
          <w:sz w:val="19"/>
          <w:szCs w:val="19"/>
        </w:rPr>
        <w:t xml:space="preserve">Energised a heavy-industry MV/LV power system and SCADA-based fire &amp; gas protection system with 100% MV/LV uptime through turnover and zero outstanding punch-list items, coordinating crews of 100+.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B45309"/>
          <w:sz w:val="19"/>
          <w:szCs w:val="19"/>
        </w:rPr>
        <w:t xml:space="preserve">★ </w:t>
      </w: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IEC 61850 Protection-Relay Commissioning — Wind-Power Substation </w:t>
      </w:r>
      <w:r>
        <w:rPr>
          <w:rFonts w:ascii="Calibri" w:cs="Calibri" w:eastAsia="Calibri" w:hAnsi="Calibri"/>
          <w:color w:val="111111"/>
          <w:sz w:val="19"/>
          <w:szCs w:val="19"/>
        </w:rPr>
        <w:t xml:space="preserve">(L3–L5) — </w:t>
      </w:r>
      <w:r>
        <w:rPr>
          <w:rFonts w:ascii="Calibri" w:cs="Calibri" w:eastAsia="Calibri" w:hAnsi="Calibri"/>
          <w:color w:val="111111"/>
          <w:sz w:val="19"/>
          <w:szCs w:val="19"/>
        </w:rPr>
        <w:t xml:space="preserve">Brought a wind-power substation to 100% IEC 61850 protection-relay conformity ahead of the energisation deadline; zero punch-list items at handover.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300 mm Semiconductor Cleanroom Critical-Power Hook-Up &amp; FPT </w:t>
      </w:r>
      <w:r>
        <w:rPr>
          <w:rFonts w:ascii="Calibri" w:cs="Calibri" w:eastAsia="Calibri" w:hAnsi="Calibri"/>
          <w:color w:val="111111"/>
          <w:sz w:val="19"/>
          <w:szCs w:val="19"/>
        </w:rPr>
        <w:t xml:space="preserve">(L3–L4) — </w:t>
      </w:r>
      <w:r>
        <w:rPr>
          <w:rFonts w:ascii="Calibri" w:cs="Calibri" w:eastAsia="Calibri" w:hAnsi="Calibri"/>
          <w:color w:val="111111"/>
          <w:sz w:val="19"/>
          <w:szCs w:val="19"/>
        </w:rPr>
        <w:t xml:space="preserve">Energised critical power to IEC 60204/61511/ISO 14644 with zero audit rework and 100% tool-uptime/N+1 availability targets met; ~50% on-site installation labour cut via prefabricated power skids — directly transferable to critical-facility white-space fit-out.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72 kWh BESS &amp; EPMS Integration for a Hybrid Power Architecture </w:t>
      </w:r>
      <w:r>
        <w:rPr>
          <w:rFonts w:ascii="Calibri" w:cs="Calibri" w:eastAsia="Calibri" w:hAnsi="Calibri"/>
          <w:color w:val="111111"/>
          <w:sz w:val="19"/>
          <w:szCs w:val="19"/>
        </w:rPr>
        <w:t xml:space="preserve">(L2–L4) — </w:t>
      </w:r>
      <w:r>
        <w:rPr>
          <w:rFonts w:ascii="Calibri" w:cs="Calibri" w:eastAsia="Calibri" w:hAnsi="Calibri"/>
          <w:color w:val="111111"/>
          <w:sz w:val="19"/>
          <w:szCs w:val="19"/>
        </w:rPr>
        <w:t xml:space="preserve">Integrated a Li-ion Battery Energy Storage System into an existing power architecture, cutting peak/low-load grid and fuel energy draw by up to 50% with zero rework at FAT.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B45309"/>
          <w:sz w:val="19"/>
          <w:szCs w:val="19"/>
        </w:rPr>
        <w:t xml:space="preserve">★ </w:t>
      </w: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Python-Automated EPMS Load-List &amp; Cable-Schedule Generation at Scale </w:t>
      </w:r>
      <w:r>
        <w:rPr>
          <w:rFonts w:ascii="Calibri" w:cs="Calibri" w:eastAsia="Calibri" w:hAnsi="Calibri"/>
          <w:color w:val="111111"/>
          <w:sz w:val="19"/>
          <w:szCs w:val="19"/>
        </w:rPr>
        <w:t xml:space="preserve">(automation) — </w:t>
      </w:r>
      <w:r>
        <w:rPr>
          <w:rFonts w:ascii="Calibri" w:cs="Calibri" w:eastAsia="Calibri" w:hAnsi="Calibri"/>
          <w:color w:val="111111"/>
          <w:sz w:val="19"/>
          <w:szCs w:val="19"/>
        </w:rPr>
        <w:t xml:space="preserve">Designed and deployed Python scripts to auto-generate and cross-verify load lists and cable schedules against EPMS/point-to-point data, flagging discrepancies automatically — first-pass approval across four independent certification bodies with zero rework cycles; scales directly to large critical-facility EPMS point counts.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Autonomous Remote Power Installation — Solar-Wind Hybrid Commissioning </w:t>
      </w:r>
      <w:r>
        <w:rPr>
          <w:rFonts w:ascii="Calibri" w:cs="Calibri" w:eastAsia="Calibri" w:hAnsi="Calibri"/>
          <w:color w:val="111111"/>
          <w:sz w:val="19"/>
          <w:szCs w:val="19"/>
        </w:rPr>
        <w:t xml:space="preserve">(L3–L5) — </w:t>
      </w:r>
      <w:r>
        <w:rPr>
          <w:rFonts w:ascii="Calibri" w:cs="Calibri" w:eastAsia="Calibri" w:hAnsi="Calibri"/>
          <w:color w:val="111111"/>
          <w:sz w:val="19"/>
          <w:szCs w:val="19"/>
        </w:rPr>
        <w:t xml:space="preserve">Commissioned Malaysia’s first autonomous, unmanned solar-wind remote power installation (24V DC solar/battery bus) with zero on-site operator presence — eliminated routine diesel use with zero unplanned shutdowns.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B45309"/>
          <w:sz w:val="17"/>
          <w:szCs w:val="17"/>
        </w:rPr>
        <w:t xml:space="preserve">★ </w:t>
      </w:r>
      <w:r>
        <w:rPr>
          <w:rFonts w:ascii="Calibri" w:cs="Calibri" w:eastAsia="Calibri" w:hAnsi="Calibri"/>
          <w:i/>
          <w:iCs/>
          <w:color w:val="334155"/>
          <w:sz w:val="17"/>
          <w:szCs w:val="17"/>
        </w:rPr>
        <w:t xml:space="preserve">Strongest differentiators — full case-study portfolio: </w:t>
      </w:r>
      <w:hyperlink w:history="1" r:id="rId9vrhdpmxzf6q7b1pmi9e8">
        <w:r>
          <w:rPr>
            <w:rFonts w:ascii="Calibri" w:cs="Calibri" w:eastAsia="Calibri" w:hAnsi="Calibri"/>
            <w:color w:val="2563EB"/>
            <w:sz w:val="17"/>
            <w:szCs w:val="17"/>
            <w:u w:val="single"/>
          </w:rPr>
          <w:t xml:space="preserve">mnelahi-ai.github.io/portfolio/critical-facilities.html</w:t>
        </w:r>
      </w:hyperlink>
    </w:p>
    <w:p>
      <w:pPr>
        <w:pBdr>
          <w:bottom w:val="single" w:color="CBD5E1" w:sz="4" w:space="2"/>
        </w:pBdr>
        <w:spacing w:after="40" w:before="140"/>
      </w:pPr>
      <w:r>
        <w:rPr>
          <w:rFonts w:ascii="Calibri" w:cs="Calibri" w:eastAsia="Calibri" w:hAnsi="Calibri"/>
          <w:b/>
          <w:bCs/>
          <w:caps/>
          <w:color w:val="1E3A5F"/>
          <w:sz w:val="21"/>
          <w:szCs w:val="21"/>
        </w:rPr>
        <w:t xml:space="preserve">Core Competencies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Electrical Power Systems: </w:t>
      </w:r>
      <w:r>
        <w:rPr>
          <w:rFonts w:ascii="Calibri" w:cs="Calibri" w:eastAsia="Calibri" w:hAnsi="Calibri"/>
          <w:color w:val="111111"/>
          <w:sz w:val="19"/>
          <w:szCs w:val="19"/>
        </w:rPr>
        <w:t xml:space="preserve">MV/HV/LV switchgear · power distribution · protection coordination · short-circuit, load-flow &amp; arc-flash studies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Automation &amp; Controls: </w:t>
      </w:r>
      <w:r>
        <w:rPr>
          <w:rFonts w:ascii="Calibri" w:cs="Calibri" w:eastAsia="Calibri" w:hAnsi="Calibri"/>
          <w:color w:val="111111"/>
          <w:sz w:val="19"/>
          <w:szCs w:val="19"/>
        </w:rPr>
        <w:t xml:space="preserve">PLC · SCADA · IEC 61850 · EPMS/PMS · ABB 800xA · DP1/DP2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Hybrid &amp; Critical Power: </w:t>
      </w:r>
      <w:r>
        <w:rPr>
          <w:rFonts w:ascii="Calibri" w:cs="Calibri" w:eastAsia="Calibri" w:hAnsi="Calibri"/>
          <w:color w:val="111111"/>
          <w:sz w:val="19"/>
          <w:szCs w:val="19"/>
        </w:rPr>
        <w:t xml:space="preserve">Li-ion BESS · BMS · DC/DC inverters · N+1/2N+1 redundancy · shore power · DC/LVDC zonal distribution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Compliance &amp; Commissioning: </w:t>
      </w:r>
      <w:r>
        <w:rPr>
          <w:rFonts w:ascii="Calibri" w:cs="Calibri" w:eastAsia="Calibri" w:hAnsi="Calibri"/>
          <w:color w:val="111111"/>
          <w:sz w:val="19"/>
          <w:szCs w:val="19"/>
        </w:rPr>
        <w:t xml:space="preserve">FAT · SAT · FPT · IST · FMEA · cause &amp; effect · IECEx/ATEX Zone 1/2 · ISO 9001/50001 · class approval (ABS/DNV/LR/BV)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Engineering Automation: </w:t>
      </w:r>
      <w:r>
        <w:rPr>
          <w:rFonts w:ascii="Calibri" w:cs="Calibri" w:eastAsia="Calibri" w:hAnsi="Calibri"/>
          <w:color w:val="111111"/>
          <w:sz w:val="19"/>
          <w:szCs w:val="19"/>
        </w:rPr>
        <w:t xml:space="preserve">Python (EPMS, load-list &amp; cable-schedule automation) · AI-assisted engineering workflows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Leadership: </w:t>
      </w:r>
      <w:r>
        <w:rPr>
          <w:rFonts w:ascii="Calibri" w:cs="Calibri" w:eastAsia="Calibri" w:hAnsi="Calibri"/>
          <w:color w:val="111111"/>
          <w:sz w:val="19"/>
          <w:szCs w:val="19"/>
        </w:rPr>
        <w:t xml:space="preserve">Cross-functional teams of 100+ · mentoring · KPI tracking · continuous improvement</w:t>
      </w:r>
    </w:p>
    <w:p>
      <w:pPr>
        <w:spacing w:after="60"/>
        <w:jc w:val="both"/>
      </w:pPr>
      <w:r>
        <w:rPr>
          <w:rFonts w:ascii="Calibri" w:cs="Calibri" w:eastAsia="Calibri" w:hAnsi="Calibri"/>
          <w:i/>
          <w:iCs/>
          <w:color w:val="111111"/>
          <w:sz w:val="18"/>
          <w:szCs w:val="18"/>
        </w:rPr>
        <w:t xml:space="preserve">Core tools &amp; software: ETAP · SKM PowerTools · MathCAD · MATLAB/Simulink · AutoCAD Electrical · ABB 800xA · Siemens/Yokogawa SCADA · Fluke DSX2-8000 · Python.</w:t>
      </w:r>
    </w:p>
    <w:p>
      <w:pPr>
        <w:pBdr>
          <w:bottom w:val="single" w:color="CBD5E1" w:sz="4" w:space="2"/>
        </w:pBdr>
        <w:spacing w:after="40" w:before="140"/>
      </w:pPr>
      <w:r>
        <w:rPr>
          <w:rFonts w:ascii="Calibri" w:cs="Calibri" w:eastAsia="Calibri" w:hAnsi="Calibri"/>
          <w:b/>
          <w:bCs/>
          <w:caps/>
          <w:color w:val="1E3A5F"/>
          <w:sz w:val="21"/>
          <w:szCs w:val="21"/>
        </w:rPr>
        <w:t xml:space="preserve">Professional Experience</w:t>
      </w:r>
    </w:p>
    <w:p>
      <w:pPr>
        <w:tabs>
          <w:tab w:val="right" w:pos="9026"/>
        </w:tabs>
        <w:spacing w:after="0"/>
      </w:pPr>
      <w:r>
        <w:rPr>
          <w:rFonts w:ascii="Calibri" w:cs="Calibri" w:eastAsia="Calibri" w:hAnsi="Calibri"/>
          <w:b/>
          <w:bCs/>
          <w:color w:val="1E3A5F"/>
          <w:sz w:val="20"/>
          <w:szCs w:val="20"/>
        </w:rPr>
        <w:t xml:space="preserve">Electrical Engineer — Hybrid Marine Power</w:t>
      </w:r>
      <w:r>
        <w:rPr>
          <w:rFonts w:ascii="Calibri" w:cs="Calibri" w:eastAsia="Calibri" w:hAnsi="Calibri"/>
          <w:b/>
          <w:bCs/>
          <w:color w:val="334155"/>
          <w:sz w:val="18"/>
          <w:szCs w:val="18"/>
        </w:rPr>
        <w:t xml:space="preserve">	Jul 2024 – Present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334155"/>
          <w:sz w:val="18"/>
          <w:szCs w:val="18"/>
        </w:rPr>
        <w:t xml:space="preserve">Strategic Marine Pte Ltd · Singapore · Marine / Newbuild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Architected the complete LV power system for a 42 m Gen-4 Fast Crew Boat (3 × CAT C32; 3 × 150 ekW; VEEM propulsion) — SLDs, load lists, cable schedules — securing first-pass class approval across a programme portfolio spanning ABS, BV, LR &amp; DNV.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Integrated a 72 kWh Li-ion BESS, BMS, DC/DC inverters and a 90 kW shaft generator under LR Hybrid Power notation, cutting fuel burn by up to 50% in low-load and loitering modes; led BMS-to-PMS interface and FAT acceptance with the LR surveyor.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Delivered full electrical design (SLDs, AMS I/O, cable schedules, IEC 60092-compliant IT earthing) across a multi-hull Gen-4 FCB programme, an offshore-wind CTV series, a 58 m Ro-Pax and a 43 m fast ferry — dual 380/220 V AC + 24 V DC, interlocked shore power to BV/LR/AMSA-NSCV.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FAT-validated ABB azimuth-propulsion PMS on an autonomous-electric tug; led cross-fleet cathodic-protection and stray-current engineering; standardised departmental deliverables, KPI tracking and basis-of-design documentation.</w:t>
      </w:r>
    </w:p>
    <w:p>
      <w:pPr>
        <w:tabs>
          <w:tab w:val="right" w:pos="9026"/>
        </w:tabs>
        <w:spacing w:after="0"/>
      </w:pPr>
      <w:r>
        <w:rPr>
          <w:rFonts w:ascii="Calibri" w:cs="Calibri" w:eastAsia="Calibri" w:hAnsi="Calibri"/>
          <w:b/>
          <w:bCs/>
          <w:color w:val="1E3A5F"/>
          <w:sz w:val="20"/>
          <w:szCs w:val="20"/>
        </w:rPr>
        <w:t xml:space="preserve">Senior Project Engineer — Semiconductor &amp; High-Tech Facilities</w:t>
      </w:r>
      <w:r>
        <w:rPr>
          <w:rFonts w:ascii="Calibri" w:cs="Calibri" w:eastAsia="Calibri" w:hAnsi="Calibri"/>
          <w:b/>
          <w:bCs/>
          <w:color w:val="334155"/>
          <w:sz w:val="18"/>
          <w:szCs w:val="18"/>
        </w:rPr>
        <w:t xml:space="preserve">	Feb 2023 – Jul 2024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334155"/>
          <w:sz w:val="18"/>
          <w:szCs w:val="18"/>
        </w:rPr>
        <w:t xml:space="preserve">Exyte Pte Ltd · Singapore · Semiconductor Cleanrooms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Led 300 mm semiconductor cleanroom power hook-up to IEC 60204/61511/ISO 14644 — zero audit rework against 100% tool-uptime targets; PLC/SCADA interlock and functional-safety validation cleared first pass.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Introduced prefabricated power skids that cut on-site labour by ~50% and eliminated contamination risk in a live cleanroom environment.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Drove ISO 50001 energy stewardship through smart load monitoring, measurably reducing fab energy intensity; standardised site documentation as certified Lead Auditor.</w:t>
      </w:r>
    </w:p>
    <w:p>
      <w:pPr>
        <w:tabs>
          <w:tab w:val="right" w:pos="9026"/>
        </w:tabs>
        <w:spacing w:after="0"/>
      </w:pPr>
      <w:r>
        <w:rPr>
          <w:rFonts w:ascii="Calibri" w:cs="Calibri" w:eastAsia="Calibri" w:hAnsi="Calibri"/>
          <w:b/>
          <w:bCs/>
          <w:color w:val="1E3A5F"/>
          <w:sz w:val="20"/>
          <w:szCs w:val="20"/>
        </w:rPr>
        <w:t xml:space="preserve">E&amp;I Engineer — Hazardous-Area, Renewables &amp; Power</w:t>
      </w:r>
      <w:r>
        <w:rPr>
          <w:rFonts w:ascii="Calibri" w:cs="Calibri" w:eastAsia="Calibri" w:hAnsi="Calibri"/>
          <w:b/>
          <w:bCs/>
          <w:color w:val="334155"/>
          <w:sz w:val="18"/>
          <w:szCs w:val="18"/>
        </w:rPr>
        <w:t xml:space="preserve">	Jan 2021 – Jan 2023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334155"/>
          <w:sz w:val="18"/>
          <w:szCs w:val="18"/>
        </w:rPr>
        <w:t xml:space="preserve">Phoenix Mecano (S.E.A.) Pte Ltd · Singapore · Industrial / Offshore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Pioneered Malaysia’s first solar–wind autonomous unmanned wellhead platform (24 V DC solar/battery bus) — eliminated routine diesel use and enabled full remote operation, with zero unplanned shutdowns at commissioning.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Directed an onshore cogeneration plant E&amp;I scope — transformers, MV/LV switchgear, 400 kVA UPS, SLDs, tie-in and instrument-loop design; ABB/Siemens/Yokogawa SCADA integration and technical bid evaluation for all major E&amp;I packages.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Designed IECEx/ATEX Zone 1/2 hazardous-area systems — Ex equipment selection, IS barriers, zoning studies — and standardised compliance documentation as certified Lead Auditor (ISO 9001 &amp; ISO 50001).</w:t>
      </w:r>
    </w:p>
    <w:p>
      <w:pPr>
        <w:tabs>
          <w:tab w:val="right" w:pos="9026"/>
        </w:tabs>
        <w:spacing w:after="0"/>
      </w:pPr>
      <w:r>
        <w:rPr>
          <w:rFonts w:ascii="Calibri" w:cs="Calibri" w:eastAsia="Calibri" w:hAnsi="Calibri"/>
          <w:b/>
          <w:bCs/>
          <w:color w:val="1E3A5F"/>
          <w:sz w:val="20"/>
          <w:szCs w:val="20"/>
        </w:rPr>
        <w:t xml:space="preserve">E&amp;I Superintendent — FPSO, Rigs &amp; Offshore Wind</w:t>
      </w:r>
      <w:r>
        <w:rPr>
          <w:rFonts w:ascii="Calibri" w:cs="Calibri" w:eastAsia="Calibri" w:hAnsi="Calibri"/>
          <w:b/>
          <w:bCs/>
          <w:color w:val="334155"/>
          <w:sz w:val="18"/>
          <w:szCs w:val="18"/>
        </w:rPr>
        <w:t xml:space="preserve">	Nov 2012 – Dec 2020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334155"/>
          <w:sz w:val="18"/>
          <w:szCs w:val="18"/>
        </w:rPr>
        <w:t xml:space="preserve">Keppel FELS (Keppel Offshore &amp; Marine) · Singapore · Offshore / Marine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Superintended crews of up to 100+ across fabrication, installation and integrated commissioning of FPSO topsides (Pre-FEED through detailed engineering and handover) — energised the disconnectable turret, MV 11 kV HV switchgear and ABB 800xA Fire &amp; Gas; FPSO MV/LV reliability maintained at 100% uptime through sail-away.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Energised an offshore-wind substation topside to 100% IEC 61850 conformity — full protection-relay coordination, alarm validation and sail-away sign-off; zero punch-list items outstanding at class handover.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Commissioned ultra-deepwater jack-up drilling rigs and semisubmersible accommodation modules through FMEA, cause-and-effect matrices, FAT/SAT and sea trials; mentored 15+ engineers via Innovation &amp; Quality Circles.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Authored 30+ E&amp;I risk assessments; delivered integrated bridge &amp; navigation systems (gyro, VDR, alarm &amp; watch); led EPC detailed-engineering deliverables for multiple concurrent vessel builds.</w:t>
      </w:r>
    </w:p>
    <w:p>
      <w:pPr>
        <w:tabs>
          <w:tab w:val="right" w:pos="9026"/>
        </w:tabs>
        <w:spacing w:after="0"/>
      </w:pPr>
      <w:r>
        <w:rPr>
          <w:rFonts w:ascii="Calibri" w:cs="Calibri" w:eastAsia="Calibri" w:hAnsi="Calibri"/>
          <w:b/>
          <w:bCs/>
          <w:color w:val="1E3A5F"/>
          <w:sz w:val="20"/>
          <w:szCs w:val="20"/>
        </w:rPr>
        <w:t xml:space="preserve">Assistant Electrical Engineer — Industrial &amp; Infrastructure Projects</w:t>
      </w:r>
      <w:r>
        <w:rPr>
          <w:rFonts w:ascii="Calibri" w:cs="Calibri" w:eastAsia="Calibri" w:hAnsi="Calibri"/>
          <w:b/>
          <w:bCs/>
          <w:color w:val="334155"/>
          <w:sz w:val="18"/>
          <w:szCs w:val="18"/>
        </w:rPr>
        <w:t xml:space="preserve">	Sep 2009 – Oct 2012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334155"/>
          <w:sz w:val="18"/>
          <w:szCs w:val="18"/>
        </w:rPr>
        <w:t xml:space="preserve">Ananda Shipyard &amp; Slipways Ltd · Bangladesh · Shipbuilding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Led E&amp;I crews of 15–30 on newbuild vessels and rigs — commissioned azimuth thrusters, controllable-pitch propellers and bridge navigation equipment to ABS/GL class and owner acceptance, achieving first-time milestone sign-off.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Validated cable routing and interconnection designs against load schedules and voltage-drop criteria before energisation; governed BOM and delivery scheduling to protect on-site readiness against supply-chain disruption.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Delivered LV/MV power distribution, protection coordination and commissioning across industrial and infrastructure projects — establishing the foundation of a 16-year, uninterrupted career in electrical engineering.</w:t>
      </w:r>
    </w:p>
    <w:p>
      <w:pPr>
        <w:pBdr>
          <w:bottom w:val="single" w:color="CBD5E1" w:sz="4" w:space="2"/>
        </w:pBdr>
        <w:spacing w:after="40" w:before="140"/>
      </w:pPr>
      <w:r>
        <w:rPr>
          <w:rFonts w:ascii="Calibri" w:cs="Calibri" w:eastAsia="Calibri" w:hAnsi="Calibri"/>
          <w:b/>
          <w:bCs/>
          <w:caps/>
          <w:color w:val="1E3A5F"/>
          <w:sz w:val="21"/>
          <w:szCs w:val="21"/>
        </w:rPr>
        <w:t xml:space="preserve">Education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MSc Sustainable Electricity Generation</w:t>
      </w:r>
      <w:r>
        <w:rPr>
          <w:rFonts w:ascii="Calibri" w:cs="Calibri" w:eastAsia="Calibri" w:hAnsi="Calibri"/>
          <w:color w:val="111111"/>
          <w:sz w:val="19"/>
          <w:szCs w:val="19"/>
        </w:rPr>
        <w:t xml:space="preserve"> — Universidad Católica de Murcia (UCAM), Spain · 2026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MSc Digital Transformation</w:t>
      </w:r>
      <w:r>
        <w:rPr>
          <w:rFonts w:ascii="Calibri" w:cs="Calibri" w:eastAsia="Calibri" w:hAnsi="Calibri"/>
          <w:color w:val="111111"/>
          <w:sz w:val="19"/>
          <w:szCs w:val="19"/>
        </w:rPr>
        <w:t xml:space="preserve"> — London Metropolitan University, UK · 2026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Master of Business Administration (MBA)</w:t>
      </w:r>
      <w:r>
        <w:rPr>
          <w:rFonts w:ascii="Calibri" w:cs="Calibri" w:eastAsia="Calibri" w:hAnsi="Calibri"/>
          <w:color w:val="111111"/>
          <w:sz w:val="19"/>
          <w:szCs w:val="19"/>
        </w:rPr>
        <w:t xml:space="preserve"> — University of Sunderland, UK · 2025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BSc Electrical &amp; Electronic Engineering</w:t>
      </w:r>
      <w:r>
        <w:rPr>
          <w:rFonts w:ascii="Calibri" w:cs="Calibri" w:eastAsia="Calibri" w:hAnsi="Calibri"/>
          <w:color w:val="111111"/>
          <w:sz w:val="19"/>
          <w:szCs w:val="19"/>
        </w:rPr>
        <w:t xml:space="preserve"> — Bangladesh University · 2008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Diploma in Electronics Engineering</w:t>
      </w:r>
      <w:r>
        <w:rPr>
          <w:rFonts w:ascii="Calibri" w:cs="Calibri" w:eastAsia="Calibri" w:hAnsi="Calibri"/>
          <w:color w:val="111111"/>
          <w:sz w:val="19"/>
          <w:szCs w:val="19"/>
        </w:rPr>
        <w:t xml:space="preserve"> — Jessore Polytechnic Institute · 2004</w:t>
      </w:r>
    </w:p>
    <w:p>
      <w:pPr>
        <w:pBdr>
          <w:bottom w:val="single" w:color="CBD5E1" w:sz="4" w:space="2"/>
        </w:pBdr>
        <w:spacing w:after="40" w:before="140"/>
      </w:pPr>
      <w:r>
        <w:rPr>
          <w:rFonts w:ascii="Calibri" w:cs="Calibri" w:eastAsia="Calibri" w:hAnsi="Calibri"/>
          <w:b/>
          <w:bCs/>
          <w:caps/>
          <w:color w:val="1E3A5F"/>
          <w:sz w:val="21"/>
          <w:szCs w:val="21"/>
        </w:rPr>
        <w:t xml:space="preserve">Certifications &amp; Training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IECEx Ex 001 — Protection in Explosive Atmospheres (valid to Oct 2027).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Certified Lead Auditor (CQI IRCA) — ISO 9001:2015 Quality Management &amp; ISO 50001:2018 Energy Management.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Shipyard Supervisors Safety Course · WSQ WSH Management in Construction.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Roxtec System Installer · CMP Cable Gland Installer · RAYCHEM APKT/EPKT.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ABB KFELS B-Class Jack-up Rig LV Switchboard Training · Fluke DSX2-8000 Copper Certifier.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Work at Height (Supervisor) · Confined Space Safety · WSH in Process Plant.</w:t>
      </w:r>
    </w:p>
    <w:sectPr>
      <w:pgSz w:w="12240" w:h="15840" w:orient="portrait"/>
      <w:pgMar w:top="460" w:right="740" w:bottom="460" w:left="7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5vw3pvsegjzmii1mangx" Type="http://schemas.openxmlformats.org/officeDocument/2006/relationships/hyperlink" Target="https://linkedin.com/in/mashukelahi" TargetMode="External"/><Relationship Id="rIdmngrw3jucoygjhi93alsy" Type="http://schemas.openxmlformats.org/officeDocument/2006/relationships/hyperlink" Target="https://mnelahi-ai.github.io/portfolio" TargetMode="External"/><Relationship Id="rId9vrhdpmxzf6q7b1pmi9e8" Type="http://schemas.openxmlformats.org/officeDocument/2006/relationships/hyperlink" Target="https://mnelahi-ai.github.io/portfolio/critical-facilities.html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2026-06-22T02:51:58.026Z</dcterms:created>
  <dcterms:modified xsi:type="dcterms:W3CDTF">2026-06-22T02:51:58.027Z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