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4"/>
          <w:szCs w:val="34"/>
        </w:rPr>
        <w:t xml:space="preserve">MASHUK ELAHI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Critical Facilities &amp; Commissioning Engineer | MV 11 kV, UPS, EPMS &amp; BESS</w:t>
      </w:r>
    </w:p>
    <w:p>
      <w:pPr>
        <w:spacing w:after="120"/>
        <w:jc w:val="center"/>
      </w:pPr>
      <w:r>
        <w:rPr>
          <w:rFonts w:ascii="Calibri" w:cs="Calibri" w:eastAsia="Calibri" w:hAnsi="Calibri"/>
          <w:sz w:val="19"/>
          <w:szCs w:val="19"/>
        </w:rPr>
        <w:t xml:space="preserve">Singapore | +65 8788 5453 | m_nelahi@yahoo.com | linkedin.com/in/mashukelahi | Portfolio: mnelahi-ai.github.io/portfolio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3864"/>
          <w:sz w:val="22"/>
          <w:szCs w:val="22"/>
        </w:rPr>
        <w:t xml:space="preserve">Professional Summary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Electrical and commissioning engineer with 16 years energising and handing over MV/LV power systems across semiconductor, marine, offshore-wind, and industrial plants. Directed critical-power hook-up and energisation across 30 MW of N+1 semiconductor capacity, closing out with zero audit rework and first-pass PLC/SCADA interlock validation against 99.99% uptime (Tier III-equivalent) targets. Deep hands-on scope spans MV 11 kV switchgear, UPS and BESS integration, protection and EPMS/SCADA, offshore-wind substations, vessel newbuilds, and IECEx/ATEX hazardous-area design. CDCP certified; ISO 9001 and ISO 50001 Lead Auditor. Seeking senior commissioning and critical-facilities roles in Singapore, Europe, and the UAE.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3864"/>
          <w:sz w:val="22"/>
          <w:szCs w:val="22"/>
        </w:rPr>
        <w:t xml:space="preserve">Core Competencies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Power systems: </w:t>
      </w:r>
      <w:r>
        <w:rPr>
          <w:rFonts w:ascii="Calibri" w:cs="Calibri" w:eastAsia="Calibri" w:hAnsi="Calibri"/>
          <w:sz w:val="20"/>
          <w:szCs w:val="20"/>
        </w:rPr>
        <w:t xml:space="preserve">MV/LV distribution; MV 11 kV switchgear; transformers, protection relays, and grounding; UPS, standby generators, and BESS integration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Controls &amp; automation: </w:t>
      </w:r>
      <w:r>
        <w:rPr>
          <w:rFonts w:ascii="Calibri" w:cs="Calibri" w:eastAsia="Calibri" w:hAnsi="Calibri"/>
          <w:sz w:val="20"/>
          <w:szCs w:val="20"/>
        </w:rPr>
        <w:t xml:space="preserve">EPMS/SCADA, BMS/BAS, and PLC/SCADA; ABB 800xA; IEC 61850; engineering workflow automation with Python and AutoCAD Electrical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Commissioning &amp; reliability: </w:t>
      </w:r>
      <w:r>
        <w:rPr>
          <w:rFonts w:ascii="Calibri" w:cs="Calibri" w:eastAsia="Calibri" w:hAnsi="Calibri"/>
          <w:sz w:val="20"/>
          <w:szCs w:val="20"/>
        </w:rPr>
        <w:t xml:space="preserve">FAT/SAT, point-to-point checks, energisation, functional performance and integrated systems testing; N+1, 2N/2N+1 redundancy; Uptime Institute Tier topologies; 99.99%+ uptime SLAs and concurrent maintainability; MOP/SOP/EOP; critical cooling interfaces (chiller plant, CRAH/CRAC, PCW)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Energy, hazardous areas &amp; risk: </w:t>
      </w:r>
      <w:r>
        <w:rPr>
          <w:rFonts w:ascii="Calibri" w:cs="Calibri" w:eastAsia="Calibri" w:hAnsi="Calibri"/>
          <w:sz w:val="20"/>
          <w:szCs w:val="20"/>
        </w:rPr>
        <w:t xml:space="preserve">PUE tracking and energy-performance monitoring (ISO 50001); cogeneration and autonomous renewables; IECEx/ATEX design; marine electrical practice to IEC 60092-201; compliance auditing and gap analysis; technical bid evaluation and FMEA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3864"/>
          <w:sz w:val="22"/>
          <w:szCs w:val="22"/>
        </w:rPr>
        <w:t xml:space="preserve">Professional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Electrical Engineer | Hybrid &amp; Critical-Power Systems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Strategic Marine Pte. Ltd., Singapore | Jul 2024 – Present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Directed LV distribution design for a three-generator 450 ekW prime-power system — single-line diagrams (SLDs), load lists, and cable schedules — winning first-pass approval from four independent certification bodies with no rework.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Engineered aluminium-hull IT earthing architecture with single-point common-zero bonding in strict adherence to IEC 60092-201, and executed stray-current rectification on fast crew boats, severing stray-current loops by upgrading isolation switches to DPST.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Integrated a 72 kWh lithium-ion BESS, battery management system (BMS), and DC/DC inverters into a hybrid power architecture that cut fuel and energy draw by up to 50% at low load; drove the BMS-to-EPMS interface and FAT through to handover.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Tracked and managed electrical-system weights exceeding 7,800 kg across load lists and cable schedules, feeding comprehensive vessel stability calculations.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Automated SLD generation and VDR alarm-list production using Python, AI agents, and AutoCAD Electrical scripting, and conducted technical gap analyses of navigation and communication equipment against class and contract specifications.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Senior Project Engineer | Semiconductor Critical-Power Commissioning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Exyte, Singapore | Feb 2023 – Jul 2024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Spearheaded 300 mm cleanroom critical-power hook-up, energisation, and functional performance testing on 30 MW (33 MVA) of critical load at 1.5 kW/m² fab power density — zero audit rework and first-pass PLC/SCADA interlock validation against 100% tool-uptime and N+1 objectives (99.99% uptime SLA equivalent).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Introduced prefabricated power skids that cut on-site installation labour by 50% and removed contamination risk during live energisation, coordinating with chilled-water and process-cooling-water (PCW) commissioning teams.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E&amp;I Engineer | Industrial Power, Controls &amp; Hazardous Areas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Phoenix Mecano S.E.A. Pte. Ltd., Singapore | Jan 2021 – Jan 2023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Directed the complete electrical and instrumentation (E&amp;I) scope for an onshore 10 MW cogeneration plant: transformers, MV/LV switchgear, a 400 kVA UPS, SCADA integration, tie-in design, instrument loops, and technical bid evaluation.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Delivered Malaysia's first solar-wind autonomous remote-power installation on a 24 V DC solar-battery bus, removing routine diesel-generator use and enabling unmanned site operation.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Designed IECEx/ATEX hazardous-area systems, including explosion-protected (Ex) equipment selection, intrinsically safe barriers, and zoning studies.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E&amp;I Superintendent | Offshore Power Systems &amp; Commissioning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Keppel FELS / Keppel Offshore &amp; Marine, Singapore | Nov 2012 – Dec 2020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Led commissioning of MV 11 kV switchgear and ABB 800xA fire-and-gas systems, holding MV/LV power reliability through final handover with crews of up to 100 people.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Energised an offshore-wind substation to full IEC 61850 protection-relay conformity with zero punch-list items at handover.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Authored 30 E&amp;I risk assessments and mentored 15 engineers through Innovation Quality Circles.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Assistant Electrical Engineer | Vessel Newbuild Electrical</w:t>
      </w:r>
    </w:p>
    <w:p>
      <w:pPr>
        <w:spacing w:after="4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Ananda Shipyard &amp; Slipways Ltd., Bangladesh | Sep 2009 – Oct 2012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Facilitated electrical installation, testing, and commissioning on vessel newbuilds, collaborating with senior engineers on equipment energisation and documentation.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3864"/>
          <w:sz w:val="22"/>
          <w:szCs w:val="22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Master's Degree in Continuing Education in Sustainable Electricity Generation (UCAM, 60 ECTS, título propio), UCAM Universidad Católica de Murcia, Spain — Apr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MSc Digital Transformation, London Metropolitan University, UK — Mar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Master of Business Administration (MBA), University of Sunderland, UK — Jun 2025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BSc Electrical and Electronic Engineering, Bangladesh University — Jul 2008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Diploma in Electronics Engineering, Jessore Polytechnic Institute — Jan 2004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CDCP — Certified Data Centre Professional, EPI — 2026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ISO 50001:2018 Energy Management Lead Auditor, GAQM / IGC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ISO 9001:2015 Quality Management Lead Auditor, GAQM / IGC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IECEx Ex 001: Basic Principles of Protection in Explosive Atmospheres — valid through Oct 2027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ABB Power System / LV Switchboard Training</w:t>
      </w:r>
    </w:p>
    <w:p>
      <w:pPr>
        <w:pStyle w:val="ListParagraph"/>
        <w:numPr>
          <w:ilvl w:val="0"/>
          <w:numId w:val="2"/>
        </w:numPr>
        <w:spacing w:after="40" w:line="252"/>
      </w:pPr>
      <w:r>
        <w:rPr>
          <w:rFonts w:ascii="Calibri" w:cs="Calibri" w:eastAsia="Calibri" w:hAnsi="Calibri"/>
          <w:sz w:val="20"/>
          <w:szCs w:val="20"/>
        </w:rPr>
        <w:t xml:space="preserve">Fluke DSX2-8000 Cable Analyzer / Copper Certifier Training</w:t>
      </w:r>
    </w:p>
    <w:p>
      <w:pPr>
        <w:pBdr>
          <w:bottom w:val="single" w:color="1F3864" w:sz="6"/>
        </w:pBdr>
        <w:spacing w:after="60" w:before="160"/>
      </w:pPr>
      <w:r>
        <w:rPr>
          <w:rFonts w:ascii="Calibri" w:cs="Calibri" w:eastAsia="Calibri" w:hAnsi="Calibri"/>
          <w:b/>
          <w:bCs/>
          <w:caps/>
          <w:color w:val="1F3864"/>
          <w:sz w:val="22"/>
          <w:szCs w:val="22"/>
        </w:rPr>
        <w:t xml:space="preserve">Technical Tools</w:t>
      </w:r>
    </w:p>
    <w:p>
      <w:pPr>
        <w:spacing w:after="60" w:line="252"/>
      </w:pPr>
      <w:r>
        <w:rPr>
          <w:rFonts w:ascii="Calibri" w:cs="Calibri" w:eastAsia="Calibri" w:hAnsi="Calibri"/>
          <w:sz w:val="20"/>
          <w:szCs w:val="20"/>
        </w:rPr>
        <w:t xml:space="preserve">ABB 800xA; PLC/SCADA systems; IEC 61850 protection relays; EPMS/SCADA; AutoCAD Electrical; Python (engineering workflow automation); Fluke DSX2-8000 Cable Analyzer / Copper Certifier.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2026-07-11T09:42:42.589Z</dcterms:created>
  <dcterms:modified xsi:type="dcterms:W3CDTF">2026-07-11T09:42:42.589Z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