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30" w:rsidRDefault="00CE42C5" w:rsidP="003E0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Birthweight D</w:t>
      </w:r>
      <w:r w:rsidR="00D72311">
        <w:rPr>
          <w:rFonts w:ascii="Times New Roman" w:hAnsi="Times New Roman" w:cs="Times New Roman"/>
          <w:sz w:val="24"/>
          <w:szCs w:val="24"/>
        </w:rPr>
        <w:t>ataset</w:t>
      </w:r>
    </w:p>
    <w:p w:rsidR="00D72311" w:rsidRDefault="00CE42C5" w:rsidP="003E0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 want to identify predictors of low birthweight among first (and second) births i</w:t>
      </w:r>
      <w:r w:rsidR="00A0001A">
        <w:rPr>
          <w:rFonts w:ascii="Times New Roman" w:hAnsi="Times New Roman" w:cs="Times New Roman"/>
          <w:sz w:val="24"/>
          <w:szCs w:val="24"/>
        </w:rPr>
        <w:t>n a cohort of 200 women with two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births in a 10-year period. </w:t>
      </w:r>
    </w:p>
    <w:p w:rsidR="00CE42C5" w:rsidRDefault="00CE42C5" w:rsidP="003E0E30">
      <w:pPr>
        <w:rPr>
          <w:rFonts w:ascii="Times New Roman" w:hAnsi="Times New Roman" w:cs="Times New Roman"/>
          <w:sz w:val="24"/>
          <w:szCs w:val="24"/>
        </w:rPr>
      </w:pPr>
    </w:p>
    <w:p w:rsidR="00CE42C5" w:rsidRPr="003E0E30" w:rsidRDefault="00CE42C5" w:rsidP="003E0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Dictionary:</w:t>
      </w:r>
    </w:p>
    <w:p w:rsidR="00FB35EB" w:rsidRPr="003E0E30" w:rsidRDefault="00CE42C5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id – mothers id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age_1 – maternal age in years at first birth</w:t>
      </w:r>
    </w:p>
    <w:p w:rsidR="00FB35EB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age_2 – maternal age in years at second</w:t>
      </w:r>
      <w:r w:rsidR="00CE42C5" w:rsidRPr="003E0E30">
        <w:rPr>
          <w:rFonts w:ascii="Times New Roman" w:hAnsi="Times New Roman" w:cs="Times New Roman"/>
          <w:sz w:val="24"/>
          <w:szCs w:val="24"/>
        </w:rPr>
        <w:t xml:space="preserve">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lwt_1 – maternal weight at last menstrual period at first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lwt_2 – maternal weight at last menstrual period at second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 xml:space="preserve">race – white, black, other 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smoke_1 – smoking status during pregnancy at first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smoke_2 – smoking status during pregnancy at second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ptd_1 – history of pre-term labor at first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ptd_2 – history of pre-term labor at second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ht_1 – history of hypertension at first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ht_2 – history of hypertension at second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ui_1 – history of uterine irritability at first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ui_2 – history of uterine irritability at second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ftv_1 – number of MD visits in last trimester at first birth</w:t>
      </w:r>
    </w:p>
    <w:p w:rsidR="003E0E30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ftv_2 – number of MD visits in last trimester at second birth</w:t>
      </w:r>
    </w:p>
    <w:p w:rsidR="00FB35EB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bwt_1 – birth weight in grams of first birth baby</w:t>
      </w:r>
    </w:p>
    <w:p w:rsidR="00FB35EB" w:rsidRPr="003E0E30" w:rsidRDefault="003E0E30" w:rsidP="003E0E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E30">
        <w:rPr>
          <w:rFonts w:ascii="Times New Roman" w:hAnsi="Times New Roman" w:cs="Times New Roman"/>
          <w:sz w:val="24"/>
          <w:szCs w:val="24"/>
        </w:rPr>
        <w:t>bwt_2 – birth weight in grams of first second baby</w:t>
      </w:r>
    </w:p>
    <w:p w:rsidR="007E47BD" w:rsidRDefault="007E47BD"/>
    <w:sectPr w:rsidR="007E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51A41"/>
    <w:multiLevelType w:val="hybridMultilevel"/>
    <w:tmpl w:val="DE888FD6"/>
    <w:lvl w:ilvl="0" w:tplc="8C228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6B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00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A6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A9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A6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A7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49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9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30"/>
    <w:rsid w:val="003E0E30"/>
    <w:rsid w:val="007E47BD"/>
    <w:rsid w:val="00A0001A"/>
    <w:rsid w:val="00CE42C5"/>
    <w:rsid w:val="00D72311"/>
    <w:rsid w:val="00FB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EB3D"/>
  <w15:chartTrackingRefBased/>
  <w15:docId w15:val="{E3344C39-7DC9-4E69-BF02-0E9174E1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Health Sciences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Kroeker</dc:creator>
  <cp:keywords/>
  <dc:description/>
  <cp:lastModifiedBy>Kristine Kroeker</cp:lastModifiedBy>
  <cp:revision>3</cp:revision>
  <dcterms:created xsi:type="dcterms:W3CDTF">2019-02-20T19:17:00Z</dcterms:created>
  <dcterms:modified xsi:type="dcterms:W3CDTF">2019-03-06T19:14:00Z</dcterms:modified>
</cp:coreProperties>
</file>