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Control Policy</w:t>
      </w:r>
    </w:p>
    <w:p>
      <w:r>
        <w:t>All procurement and finance transactions must retain supporting evidence for audit traceability.</w:t>
      </w:r>
    </w:p>
    <w:p>
      <w:r>
        <w:t>System overrides must be logged and reviewed weekly by the control owner.</w:t>
      </w:r>
    </w:p>
    <w:p>
      <w:r>
        <w:t>Exceptions exceeding tolerance thresholds require escalation to the risk committee.</w:t>
      </w:r>
    </w:p>
    <w:p>
      <w:r>
        <w:t>Document retention period: 7 years for finance records, 10 years for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