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Procurement</w:t>
      </w:r>
    </w:p>
    <w:p>
      <w:r>
        <w:t>This procedure governs purchase requisitions, vendor onboarding, invoice approval, and payment release.</w:t>
      </w:r>
    </w:p>
    <w:p>
      <w:pPr>
        <w:pStyle w:val="Heading1"/>
      </w:pPr>
      <w:r>
        <w:t>Approval Thresholds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&lt;= VND 10,000,000</w:t>
            </w:r>
          </w:p>
        </w:tc>
        <w:tc>
          <w:tcPr>
            <w:tcW w:type="dxa" w:w="2160"/>
          </w:tcPr>
          <w:p>
            <w:r>
              <w:t>Department Head</w:t>
            </w:r>
          </w:p>
        </w:tc>
        <w:tc>
          <w:tcPr>
            <w:tcW w:type="dxa" w:w="2160"/>
          </w:tcPr>
          <w:p>
            <w:r>
              <w:t>Approved PR</w:t>
            </w:r>
          </w:p>
        </w:tc>
        <w:tc>
          <w:tcPr>
            <w:tcW w:type="dxa" w:w="2160"/>
          </w:tcPr>
          <w:p>
            <w:r>
              <w:t>Single approval</w:t>
            </w:r>
          </w:p>
        </w:tc>
      </w:tr>
      <w:tr>
        <w:tc>
          <w:tcPr>
            <w:tcW w:type="dxa" w:w="2160"/>
          </w:tcPr>
          <w:p>
            <w:r>
              <w:t>&gt; VND 10,000,000</w:t>
            </w:r>
          </w:p>
        </w:tc>
        <w:tc>
          <w:tcPr>
            <w:tcW w:type="dxa" w:w="2160"/>
          </w:tcPr>
          <w:p>
            <w:r>
              <w:t>Dept Head + CFO</w:t>
            </w:r>
          </w:p>
        </w:tc>
        <w:tc>
          <w:tcPr>
            <w:tcW w:type="dxa" w:w="2160"/>
          </w:tcPr>
          <w:p>
            <w:r>
              <w:t>Dual approval</w:t>
            </w:r>
          </w:p>
        </w:tc>
        <w:tc>
          <w:tcPr>
            <w:tcW w:type="dxa" w:w="2160"/>
          </w:tcPr>
          <w:p>
            <w:r>
              <w:t>Two-level sign-off</w:t>
            </w:r>
          </w:p>
        </w:tc>
      </w:tr>
      <w:tr>
        <w:tc>
          <w:tcPr>
            <w:tcW w:type="dxa" w:w="2160"/>
          </w:tcPr>
          <w:p>
            <w:r>
              <w:t>Urgent purchases</w:t>
            </w:r>
          </w:p>
        </w:tc>
        <w:tc>
          <w:tcPr>
            <w:tcW w:type="dxa" w:w="2160"/>
          </w:tcPr>
          <w:p>
            <w:r>
              <w:t>Dept Head</w:t>
            </w:r>
          </w:p>
        </w:tc>
        <w:tc>
          <w:tcPr>
            <w:tcW w:type="dxa" w:w="2160"/>
          </w:tcPr>
          <w:p>
            <w:r>
              <w:t>Urgency memo</w:t>
            </w:r>
          </w:p>
        </w:tc>
        <w:tc>
          <w:tcPr>
            <w:tcW w:type="dxa" w:w="2160"/>
          </w:tcPr>
          <w:p>
            <w:r>
              <w:t>CFO sign-off within 2 business days</w:t>
            </w:r>
          </w:p>
        </w:tc>
      </w:tr>
    </w:tbl>
    <w:p>
      <w:pPr>
        <w:pStyle w:val="Heading1"/>
      </w:pPr>
      <w:r>
        <w:t>Control Activities</w:t>
      </w:r>
    </w:p>
    <w:p>
      <w:r>
        <w:t>Three-way match between PO, goods receipt, and supplier invoice is mandatory before payment.</w:t>
      </w:r>
    </w:p>
    <w:p>
      <w:r>
        <w:t>Vendor master changes must be reviewed monthly with documented approval.</w:t>
      </w:r>
    </w:p>
    <w:p>
      <w:r>
        <w:t>Manual journal entries above VND 1,000,000 require reviewer sign-off and rationale.</w:t>
      </w:r>
    </w:p>
    <w:p>
      <w:pPr>
        <w:pStyle w:val="Heading1"/>
      </w:pPr>
      <w:r>
        <w:t>Sign-Off</w:t>
      </w:r>
    </w:p>
    <w:p>
      <w:r>
        <w:t>Prepared by: Procurement Manager | Date: 2026-10-10</w:t>
      </w:r>
    </w:p>
    <w:p>
      <w:r>
        <w:t>Reviewed by: Finance Director | Date: 2026-10-12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