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Procurement SOP</w:t>
      </w:r>
    </w:p>
    <w:p>
      <w:r>
        <w:t>Purchases require dual approval for invoices above 50,000,000 VND.</w:t>
      </w:r>
    </w:p>
    <w:p>
      <w:r>
        <w:t>Monthly review of vendor master data is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