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CRM 界面设计文档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文档版本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：v1.0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编写日期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：2026-10-15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配套文档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：《自研CRM系统产品需求文档（PRD）》v1.3（revision 183，22 项决策已全部定案）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目标读者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：AI 开发团队——本文档回答"界面长什么样、怎么交互"，PRD 回答"系统做什么、规则是什么"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文档状态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：待评审</w:t>
            </w:r>
          </w:p>
        </w:tc>
      </w:tr>
    </w:tbl>
    <w:p/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文档定位</w:t>
            </w:r>
            <w:r>
              <w:rPr>
                <w:rFonts w:eastAsia="等线" w:ascii="Arial" w:cs="Arial" w:hAnsi="Arial"/>
                <w:sz w:val="22"/>
              </w:rPr>
              <w:t>：本文件是 PRD v1.3 的界面层配套规范。目标是让界面实现</w:t>
            </w:r>
            <w:r>
              <w:rPr>
                <w:rFonts w:eastAsia="等线" w:ascii="Arial" w:cs="Arial" w:hAnsi="Arial"/>
                <w:b w:val="true"/>
                <w:sz w:val="22"/>
              </w:rPr>
              <w:t>零歧义</w:t>
            </w:r>
            <w:r>
              <w:rPr>
                <w:rFonts w:eastAsia="等线" w:ascii="Arial" w:cs="Arial" w:hAnsi="Arial"/>
                <w:sz w:val="22"/>
              </w:rPr>
              <w:t>——AI 开发照此实现页面结构、导航、布局与交互，不需要自由发挥。全部 46 个页面均可追溯到 PRD 功能编号（M1–M16）；本文档不新增 PRD 范围外的功能，与 PRD 冲突时以 PRD 为准。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一图看懂 · 界面设计总览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62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一、文档定位与使用说明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文档定位与读者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读者是 AI 开发团队。本文档把 PRD 的功能需求翻译为可直接实现的界面规格：信息架构与导航（第二章）、全部页面清单（第三章）、页面模板与关键页面布局（第四、五章）、核心交互规则（第六章）、配置化能力的界面呈现（第七章）与通用组件规范（第八章）。开发时按"页面清单定位页面 → 模板或布局说明搭骨架 → 交互流程接行为 → 组件规范统一细节"的顺序使用。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与 PRD 的关系与引用规则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功能与规则唯一依据是 PRD；本文档只定义"呈现与交互"，两者共同构成 AI 开发的完整依据。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每个页面、每个交互均标注 PRD 来源（如 M3-R2、4.5.3）；未标注来源的视觉细节为本文档的设计约定，可按第八章规范变量调整。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本文档不新增功能；发现的界面层缺口全部集中在第十章"待确认项"，默认方案已给出，未经确认不擅自定案。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运行环境与适配约束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依据 PRD 13.1 与 15.4：系统私有化部署于公司自有 IDC，用户在浏览器直接输入 IP 或域名访问，内网环境，无 SaaS 多租户形态。界面约束如下：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桌面优先</w:t>
      </w:r>
      <w:r>
        <w:rPr>
          <w:rFonts w:eastAsia="等线" w:ascii="Arial" w:cs="Arial" w:hAnsi="Arial"/>
          <w:sz w:val="22"/>
        </w:rPr>
        <w:t>：设计基准 1440×900，最低支持 1280×720；内容区最小宽度 1200px，低于该宽度出现横向滚动条。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浏览器兼容</w:t>
      </w:r>
      <w:r>
        <w:rPr>
          <w:rFonts w:eastAsia="等线" w:ascii="Arial" w:cs="Arial" w:hAnsi="Arial"/>
          <w:sz w:val="22"/>
        </w:rPr>
        <w:t>：Chrome / Edge 最新两个大版本、Firefox ESR；无需兼容 IE。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移动端</w:t>
      </w:r>
      <w:r>
        <w:rPr>
          <w:rFonts w:eastAsia="等线" w:ascii="Arial" w:cs="Arial" w:hAnsi="Arial"/>
          <w:sz w:val="22"/>
        </w:rPr>
        <w:t>：本期不做适配（PRD 14.3 将响应式 H5 / 小程序列为 P2 方向），详见待确认项 U1。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性能口径</w:t>
      </w:r>
      <w:r>
        <w:rPr>
          <w:rFonts w:eastAsia="等线" w:ascii="Arial" w:cs="Arial" w:hAnsi="Arial"/>
          <w:sz w:val="22"/>
        </w:rPr>
        <w:t>（PRD 13.2）：常规列表页加载 ≤ 3 秒、单条件查询 ≤ 2 秒；界面实现需满足骨架屏加载、分页（默认 20 条/页）、导出走后台任务等对应设计（见 8.2、8.8）。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会话安全</w:t>
      </w:r>
      <w:r>
        <w:rPr>
          <w:rFonts w:eastAsia="等线" w:ascii="Arial" w:cs="Arial" w:hAnsi="Arial"/>
          <w:sz w:val="22"/>
        </w:rPr>
        <w:t>（PRD 13.3）：30 分钟无操作自动退出至登录页，退出前 2 分钟弹出"续期"提示。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二、整体信息架构与导航结构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全局布局骨架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全系统统一采用"左侧边栏 + 顶部栏 + 内容区"三段式布局，对应总览画板左栏：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侧边栏</w:t>
      </w:r>
      <w:r>
        <w:rPr>
          <w:rFonts w:eastAsia="等线" w:ascii="Arial" w:cs="Arial" w:hAnsi="Arial"/>
          <w:sz w:val="22"/>
        </w:rPr>
        <w:t>：固定宽度 220px，可折叠为 64px 图标模式（折叠状态记忆到用户偏好）。一级菜单为分区，二级菜单为页面入口；当前页高亮，菜单按 2.3 角色可见性动态渲染。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顶部栏</w:t>
      </w:r>
      <w:r>
        <w:rPr>
          <w:rFonts w:eastAsia="等线" w:ascii="Arial" w:cs="Arial" w:hAnsi="Arial"/>
          <w:sz w:val="22"/>
        </w:rPr>
        <w:t>：高度 56px，从左到右依次为：当前一级菜单标题、全局搜索框（搜索客户 / 线索 / 商机，结果按类型分组下拉展示，回车进入对应列表页）、消息铃铛（未读角标，见 8.7）、用户头像下拉（姓名与角色、退出登录）。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内容区</w:t>
      </w:r>
      <w:r>
        <w:rPr>
          <w:rFonts w:eastAsia="等线" w:ascii="Arial" w:cs="Arial" w:hAnsi="Arial"/>
          <w:sz w:val="22"/>
        </w:rPr>
        <w:t>：页面主体，所有业务列表页复用 4.1 标准列表页模板，详情页复用 4.3 标准详情页模板。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系统菜单树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菜单树覆盖 M1–M16 全部模块，共 9 个一级菜单。视图配置（P42）不设独立菜单，入口在各列表页内；消息通知中心（P03）从顶栏铃铛进入。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2280"/>
        <w:gridCol w:w="1140"/>
        <w:gridCol w:w="1695"/>
        <w:gridCol w:w="2280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一级菜单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二级菜单 / 页面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页面编号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对应模块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工作台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首页工作台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P02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登录后默认落地页；内容为设计建议，见待确认项 U2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客户与线索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客户管理 / 线索管理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P05 / P08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 / M2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客户与线索列表，新建入口在列表页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商机中心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商机列表 / 漏斗看板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P11 / P12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M3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同一数据的两种视图，页头切换（5.1）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销售行为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行为记录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P15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M4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全局行为记录列表；客户 360 与商机详情内亦有嵌入视图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方案与报价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方案管理 / 报价管理 / 产品价格 / 竞争对手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P17–P20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M5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方案报价从商机详情亦可直达（M5-R4）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公海池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公海池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P21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M6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 / 商机 / 线索公海三个页签（7.5）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预警与审批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停滞预警 / 未推进列表 / 审批中心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P22 / P23 / P04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 / M8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审批中心聚合失效审批与停滞延期审批，见待确认项 U3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报表中心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报表中心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P27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M9 / M15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左栏为报表模板列表，含 5 个预置报表与自定义模板（9.1）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用户管理、角色权限、漏斗配置、自定义字段、系统字典、报表模板、系统参数、登录方式、数据备份、操作日志、实施向导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P28–P46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M10、M11–M16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默认仅系统管理员可见（K18、2.2 权限矩阵）；管理层经管理员授权后可访问部分配置页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角色与菜单可见性（默认配置）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菜单可见性由角色权限矩阵（PRD 2.2）驱动，下表为出厂默认配置；管理员可在角色权限配置（P40）中调整，菜单随权限实时变化（M13-R3 权限勾选实时生效）。"业务角色"指销售、业务支撑、售前、生态、采购五类预置角色。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20"/>
        <w:gridCol w:w="2445"/>
        <w:gridCol w:w="945"/>
        <w:gridCol w:w="2445"/>
        <w:gridCol w:w="1140"/>
      </w:tblGrid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一级菜单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业务角色（5 类）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人事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管理层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工作台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客户与线索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可见（数据按 2.2 矩阵：销售"自己负责"，支撑类"查看/协助"）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不可见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可见（全部数据）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可见（全部数据）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商机中心 / 销售行为 / 方案与报价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可见（商机仅销售可建可推进；方案报价按各自创建权限展示入口）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不可见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可见（全部数据，含阶段回退）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可见（全部数据）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公海池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仅销售可见，且"领取"入口仅在领取模式开启时出现（7.2）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不可见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可见（分配操作）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可见（全部操作）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预警与审批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可见（预警列表仅本人数据；审批中心仅主管类角色有待办）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不可见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可见（全部数据 + 审批操作）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可见（全部数据）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报表中心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可见（个人报表，自己数据）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不可见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可见（团队报表 + 全部）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可见（全部）</w:t>
            </w:r>
          </w:p>
        </w:tc>
      </w:tr>
      <w:tr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不可见</w:t>
            </w:r>
          </w:p>
        </w:tc>
        <w:tc>
          <w:tcPr>
            <w:tcW w:w="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不可见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默认不可见（预警阈值配置页除外，经授权可见，见 M10-R3）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可见（全部）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2.4 顶栏与全局组件</w:t>
      </w:r>
      <w:bookmarkEnd w:id="9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全局搜索</w:t>
      </w:r>
      <w:r>
        <w:rPr>
          <w:rFonts w:eastAsia="等线" w:ascii="Arial" w:cs="Arial" w:hAnsi="Arial"/>
          <w:sz w:val="22"/>
        </w:rPr>
        <w:t>：顶栏搜索框，输入 ≥ 2 字符即时联想，结果按"客户 / 线索 / 商机 / 联系人"分组，每类最多 5 条，点击直达对应详情页；无结果时展示空状态与"前往列表页搜索"入口。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消息铃铛</w:t>
      </w:r>
      <w:r>
        <w:rPr>
          <w:rFonts w:eastAsia="等线" w:ascii="Arial" w:cs="Arial" w:hAnsi="Arial"/>
          <w:sz w:val="22"/>
        </w:rPr>
        <w:t>：未读数角标（上限 99+），点击打开通知中心抽屉（8.7）。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用户菜单</w:t>
      </w:r>
      <w:r>
        <w:rPr>
          <w:rFonts w:eastAsia="等线" w:ascii="Arial" w:cs="Arial" w:hAnsi="Arial"/>
          <w:sz w:val="22"/>
        </w:rPr>
        <w:t>：头像下拉显示姓名、所属角色（多角色并列）；菜单项：退出登录。登录页与用户管理（P28）共用账号体系（M10-R1、M10-R6）。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登录页（P01）</w:t>
      </w:r>
      <w:r>
        <w:rPr>
          <w:rFonts w:eastAsia="等线" w:ascii="Arial" w:cs="Arial" w:hAnsi="Arial"/>
          <w:sz w:val="22"/>
        </w:rPr>
        <w:t>：居中卡片式，含企业 Logo、账号密码表单；系统切换为 AD/LDAP 登录后（M10-R6、P30），登录卡片自动替换为域账号登录形态，切换由配置驱动、无需改版。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三、页面清单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编号规则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全部页面统一编号 P01–P46。"类型"说明该页的承载形态：整页、抽屉（右侧滑出）、弹窗（居中）、页签（挂在某整页下的 Tab）。普通页面直接复用第四章标准模板；关键页面按第五章布局说明实现。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业务工作区页面（M1–M5）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095"/>
        <w:gridCol w:w="900"/>
        <w:gridCol w:w="1440"/>
        <w:gridCol w:w="1440"/>
        <w:gridCol w:w="250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页面名称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入口路径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使用角色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对应需求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P05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客户列表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客户与线索 → 客户管理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业务角色 / 管理层 / 管理员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M1-R1、M1-R5、M1-R6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P06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客户新建 / 编辑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客户列表 → 新建 / 行内编辑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销售（创建/自己创建）等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M1-R1、M1-R2、M1-R3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P07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 360 详情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客户列表行点击 / 全局搜索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业务角色 / 管理层 / 管理员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M1-R7、M1-R4、8.1–8.2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P08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线索列表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客户与线索 → 线索管理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 / 业务支撑 / 管理层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M2-R2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P09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线索新建 / 编辑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线索列表 → 新建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 / 业务支撑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M2-R1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P10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线索详情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线索列表行点击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 / 管理层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M2-R3、M2-R4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P11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商机列表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商机中心 → 商机列表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 / 管理层 / 管理员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M3-R6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P12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漏斗看板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整页（视图）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商机中心 → 漏斗看板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 / 管理层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M3-R6、M9-R1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P13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商机组新建 / 编辑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商机列表 / 客户 360 → 新建商机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 / 管理层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M3-R1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P14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商机详情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商机列表 / 看板卡片 / 客户 360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业务角色 / 管理层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M3-R2–R5、M3-R7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P15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行为记录列表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销售行为 → 行为记录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业务角色 / 管理层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M4-R2、M4-R4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P16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行为记录新建 / 编辑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抽屉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行为记录列表 / 客户 360 / 商机详情 → 记录行为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业务角色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M4-R1、M4-R3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P17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方案列表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方案与报价 → 方案管理；商机详情 → 方案报价页签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 / 售前 / 管理层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M5-R1、M5-R4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P18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报价列表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方案与报价 → 报价管理；商机详情页签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 / 售前 / 采购 / 管理层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M5-R2、M5-R4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P19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产品价格记录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方案与报价 → 产品价格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 / 售前 / 采购 / 管理层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M5-R3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P20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竞争对手管理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 + 抽屉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方案与报价 → 竞争对手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业务角色 / 管理层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M5-R5、9.4 竞品沉淀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预警、公海与审批页面（M6–M8）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900"/>
        <w:gridCol w:w="900"/>
        <w:gridCol w:w="1935"/>
        <w:gridCol w:w="1935"/>
        <w:gridCol w:w="1710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页面名称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入口路径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使用角色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对应需求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P21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公海池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公海池菜单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销售（领取模式）/ 管理层 / 管理员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M6-R1–R7、7.5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P22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停滞预警列表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预警与审批 → 停滞预警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销售（本人）/ 管理层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M7-R1、M7-R3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P23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未推进列表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预警与审批 → 未推进列表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管理层 / 管理员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M7-R4、5.4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P24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停滞说明申请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抽屉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预警列表 / 商机详情 → 填写停滞说明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M7-R5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P25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失效申请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弹窗（表单）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商机详情 → 更多 → 标记失败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M8-R1、6.2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P26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失效记录查询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报表中心 → 失效复盘下钻；系统管理外独立入口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管理层 / 管理员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M8-R4、M9-R3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3.4 报表与系统管理页面（M9–M16）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230"/>
        <w:gridCol w:w="900"/>
        <w:gridCol w:w="1230"/>
        <w:gridCol w:w="1095"/>
        <w:gridCol w:w="295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页面名称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入口路径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使用角色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对应需求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P27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报表中心（漏斗 / 停滞 / 失效 / 个人 / 团队）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 + 页签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报表中心菜单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业务角色（个人）/ 管理层（团队）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M9-R1–R5、M15-R5、M15-R6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P28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用户管理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 + 抽屉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 → 用户管理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M10-R1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P29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系统参数配置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 → 系统参数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系统管理员（管理层经授权）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M10-R3、决策 A–D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P30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登录方式配置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 → 登录方式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M10-R6、13.3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P31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数据备份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 → 数据备份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M10-R4、13.4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P32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操作日志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 → 操作日志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M10-R5、13.3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P33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漏斗阶段列表管理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 → 漏斗配置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系统管理员（K18）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M11-R1、M11-R2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P34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阶段编辑（定义 / 规则 / 阈值）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页签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阶段列表 → 选中阶段右侧编辑区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M11-R2、M11-R3、M11-R4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P35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配置版本历史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漏斗配置 → 版本历史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M11-R6、4.6.5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P36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存量阶段映射工具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弹窗（向导式）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 / 停用 / 重排阶段时自动唤起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M11-R5、K17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P37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自定义字段管理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 → 自定义字段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M12-R1、M12-R5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P38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字段新建 / 编辑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抽屉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字段管理 → 新增字段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M12-R2、M12-R6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P39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角色列表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 → 角色权限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M13-R1、M13-R2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P40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角色编辑（功能矩阵 / 数据范围 / 共享规则）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 + 页签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角色列表 → 编辑角色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M13-R3、M13-R4、M13-R5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P41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系统字典管理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整页（左右分栏）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 → 系统字典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M14-R1–R5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P42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视图配置面板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抽屉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任一列表页 → 视图切换器 → 配置视图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全部可访问列表页的角色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M15-R1–R4、4.9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P43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报表模板配置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 → 报表模板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M15-R5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P44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报表订阅管理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报表中心 → 订阅管理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 / 报表使用者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M15-R6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P45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实施配置向导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整页（分步）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 → 实施向导（首次部署自动进入）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 / 实施人员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M16-R1、4.10.1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P46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模板包管理（导入 / 导出 / 版本）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 → 实施向导 → 模板包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系统管理员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M16-R2–R6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3.5 全局页面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485"/>
        <w:gridCol w:w="900"/>
        <w:gridCol w:w="1485"/>
        <w:gridCol w:w="1395"/>
        <w:gridCol w:w="211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页面名称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入口路径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使用角色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对应需求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P01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登录页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浏览器输入 IP / 域名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全部用户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13.3、M10-R6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P02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工作台首页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登录后默认页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全部角色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设计建议，见 U2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P03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消息通知中心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 + 抽屉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顶栏铃铛；"查看全部"进入整页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全部角色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M7-R2、M8-R3、5.2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P04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审批中心（待办 / 已办）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整页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预警与审批 → 审批中心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主管类角色 / 管理层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M7-R5、M8-R2，见 U3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四、页面模板规范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4.1 标准列表页模板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客户、线索、商机、行为记录、方案、报价、公海、预警、未推进、失效记录、用户、角色、字典等全部列表页复用同一模板，自上而下四个区域：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页头区</w:t>
      </w:r>
      <w:r>
        <w:rPr>
          <w:rFonts w:eastAsia="等线" w:ascii="Arial" w:cs="Arial" w:hAnsi="Arial"/>
          <w:sz w:val="22"/>
        </w:rPr>
        <w:t>：左侧页面标题 + 数据权限范围徽标（"我的 / 全部"）；右侧主操作按钮组（如"新建客户"）与视图切换器。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筛选区</w:t>
      </w:r>
      <w:r>
        <w:rPr>
          <w:rFonts w:eastAsia="等线" w:ascii="Arial" w:cs="Arial" w:hAnsi="Arial"/>
          <w:sz w:val="22"/>
        </w:rPr>
        <w:t>：常用筛选条件平铺（≤ 5 个）+ "更多筛选"折叠；右侧搜索框与"重置"。筛选器交互见 8.3。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内容区</w:t>
      </w:r>
      <w:r>
        <w:rPr>
          <w:rFonts w:eastAsia="等线" w:ascii="Arial" w:cs="Arial" w:hAnsi="Arial"/>
          <w:sz w:val="22"/>
        </w:rPr>
        <w:t>：数据表格。列头支持排序与列宽拖拽；行尾放行内操作（查看 / 编辑 / 更多）；预警状态等枚举列用彩色徽标呈现（8.1 状态色）。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底部区</w:t>
      </w:r>
      <w:r>
        <w:rPr>
          <w:rFonts w:eastAsia="等线" w:ascii="Arial" w:cs="Arial" w:hAnsi="Arial"/>
          <w:sz w:val="22"/>
        </w:rPr>
        <w:t>：左侧批量操作（按 M15-R4 由管理员启用并对角色控制可见性）；右侧分页器（默认 20 条/页）。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4.2 标准表单页 / 表单抽屉模板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新建与编辑页（客户新建、线索新建、商机组新建等）复用同一模板：顶部为面包屑与标题（新建 / 编辑 + 对象名）；主体为按字段分组（4.7.2 字段分组配置驱动）的表单卡片，每个分组一张卡片；必填项标红星，校验规则见 8.4；底部为操作条（保存 / 取消），抽屉形态时按钮固定在抽屉底部。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4.3 标准详情页模板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详情页（客户 360、商机详情、线索详情等）统一三段式：头部信息条（对象名称 + 状态徽标 + 主操作按钮）→ 左侧主信息区（表单分组或页签内容）→ 右侧信息栏（宽 280px，放状态卡、完成度卡、团队卡等摘要卡片）。次要编辑用抽屉承载，不在详情页内跳页。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五、关键页面布局说明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5.1 商机列表与漏斗看板（P11 / P12）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同一份数据的两种视图，页头切换按钮组「列表视图 / 看板视图」，切换状态记忆到用户偏好。列表视图复用 4.1 模板；看板视图布局如下：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P12 漏斗看板 · 文字线框</w:t>
              <w:br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  <w:br/>
              <w:t>│ 漏斗看板        [列表视图|看板视图]   周期[本月▾] 负责人[全部▾] [导出] │ ← 页头：视图切换 + 筛选</w:t>
              <w:br/>
              <w:t>├──────────┬──────────┬──────────┬──────────┬──────────┬──────────────┤</w:t>
              <w:br/>
              <w:t>│ 客户触达  │ 需求匹配  │ 方案确定  │ 合同推进  │ 赢单关闭  │ (历史快照列) │</w:t>
              <w:br/>
              <w:t>│ 共 12 ·5万│ 共 8 ·32万│ …        │ …        │ 共 3      │ 灰底·可折叠  │ ← 列头=生效配置的启用阶段</w:t>
              <w:br/>
              <w:t>├──────────┼──────────┼──────────┼──────────┼──────────┼──────────────┤</w:t>
              <w:br/>
              <w:t>│ ▢ 商机A   │ ▢ 商机E  │ ▢ 商机H  │ ▢ 商机K  │ ✓ 商机N  │ ▢ 商机Q      │</w:t>
              <w:br/>
              <w:t>│   客户A   │   客户E  │   客户H  │   客户K  │  58万    │  (阶段已停用) │</w:t>
              <w:br/>
              <w:t>│   🔴 21天 │   🟠 14天│          │   50万   │          │              │ ← 卡片=名称/客户/金额/预警点</w:t>
              <w:br/>
              <w:t>│   张三    │   李四   │          │   张三   │          │              │</w:t>
              <w:br/>
              <w:t>│  [推进 2] │  [推进 1]│          │  [推进 0]│          │              │ ← 推进按钮+缺项角标</w:t>
              <w:br/>
              <w:t>└──────────┴──────────┴──────────┴──────────┴──────────┴──────────────┘</w:t>
              <w:br/>
              <w:t xml:space="preserve">  列宽固定 260px · 横向滚动 · 列顺序按阶段配置 sort_order · 不支持拖拽卡片跨列（防止绕过校验）</w:t>
            </w:r>
          </w:p>
        </w:tc>
      </w:tr>
    </w:tbl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列头</w:t>
      </w:r>
      <w:r>
        <w:rPr>
          <w:rFonts w:eastAsia="等线" w:ascii="Arial" w:cs="Arial" w:hAnsi="Arial"/>
          <w:sz w:val="22"/>
        </w:rPr>
        <w:t>：列 = 当前生效配置中"启用"的阶段，按 sort_order 排序，列头显示阶段名与该阶段商机数、金额合计；列由配置驱动，阶段增删后看板自动跟随（7.2）。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</w:t>
      </w:r>
      <w:r>
        <w:rPr>
          <w:rFonts w:eastAsia="等线" w:ascii="Arial" w:cs="Arial" w:hAnsi="Arial"/>
          <w:sz w:val="22"/>
        </w:rPr>
        <w:t>：商机名称、客户名、金额、预警圆点（黄/橙/红）、负责人；点击卡片进入商机详情（P14）。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推进入口</w:t>
      </w:r>
      <w:r>
        <w:rPr>
          <w:rFonts w:eastAsia="等线" w:ascii="Arial" w:cs="Arial" w:hAnsi="Arial"/>
          <w:sz w:val="22"/>
        </w:rPr>
        <w:t>：卡片底部「推进」按钮与详情页同款——有未完成固定动作时按钮置灰并带缺项角标，点击弹出校验清单（6.1）；</w:t>
      </w:r>
      <w:r>
        <w:rPr>
          <w:rFonts w:eastAsia="等线" w:ascii="Arial" w:cs="Arial" w:hAnsi="Arial"/>
          <w:b w:val="true"/>
          <w:sz w:val="22"/>
        </w:rPr>
        <w:t>看板不支持拖拽卡片跨列改阶段</w:t>
      </w:r>
      <w:r>
        <w:rPr>
          <w:rFonts w:eastAsia="等线" w:ascii="Arial" w:cs="Arial" w:hAnsi="Arial"/>
          <w:sz w:val="22"/>
        </w:rPr>
        <w:t>，避免造成可跳过校验的误解。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历史快照列</w:t>
      </w:r>
      <w:r>
        <w:rPr>
          <w:rFonts w:eastAsia="等线" w:ascii="Arial" w:cs="Arial" w:hAnsi="Arial"/>
          <w:sz w:val="22"/>
        </w:rPr>
        <w:t>：存量商机阶段名与当前配置不一致时（阶段被删/停用/改名，见 4.6.4），归入灰色"快照阶段"列置于末尾，列头带"历史"徽标、可折叠。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5.2 商机详情页（P14）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P14 商机详情 · 文字线框</w:t>
              <w:br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  <w:br/>
              <w:t>│ ◀ 商机列表   商机A · 客户A（链接）  [进行中] [🔴 严重超期·停滞21天]     │ ← 头部信息条+状态徽标</w:t>
              <w:br/>
              <w:t>│                              [推进至下一阶段 2] [更多▾] [编辑]        │ ← 主操作：推进(缺项角标)/更多/编辑</w:t>
              <w:br/>
              <w:t>├──────────────────────────────────────────────────────────────────────┤</w:t>
              <w:br/>
              <w:t>│ ●客户数据录入 ─ ●客户触达 ─ ◉需求匹配与方案制定 ─ ○方案确定 ─ ○合同推进 │ ← 阶段进度条（当前阶段高亮）</w:t>
              <w:br/>
              <w:t>├───────────────────────────────────────────────┬──────────────────────┤</w:t>
              <w:br/>
              <w:t>│ 页签: [固定动作] 基本信息 方案与报价 行为记录 阶段历史  │ ▌固定动作完成度     │</w:t>
              <w:br/>
              <w:t>│                                               │ ▌ 3/5 · 进度条        │</w:t>
              <w:br/>
              <w:t>│ ▌固定动作清单（当前阶段，配置驱动）              │ ▌点击清单项同步定位    │</w:t>
              <w:br/>
              <w:t>│  ✅ 需求清单（关联记录·已建 1 条）               │──────────────────────│</w:t>
              <w:br/>
              <w:t>│  ✅ 初步方案（附件·已上传）                     │ ▌预警状态卡          │</w:t>
              <w:br/>
              <w:t>│  ⬜ 竞争对手确认（布尔·未完成）                  │ ▌ 停滞 21 天·三级红   │</w:t>
              <w:br/>
              <w:t>│  ⬜ 产品价格记录（关联记录·0 条）[去创建]        │ ▌ 最后推进 09-14      │</w:t>
              <w:br/>
              <w:t>│  ⬜ 售前行为记录（关联记录·0 条）[去记录]        │──────────────────────│</w:t>
              <w:br/>
              <w:t>│                                               │ ▌团队卡：负责人·参与角色│</w:t>
              <w:br/>
              <w:t>│                                               │ ▌输出物清单（本阶段）  │</w:t>
              <w:br/>
              <w:t>└───────────────────────────────────────────────┴──────────────────────┘</w:t>
              <w:br/>
              <w:t xml:space="preserve">  「更多」下拉：标记失败(P25) / 转公海 / 阶段回退(仅管理层,6.2) / 失效记录 / 操作日志 / 分享·协作成员</w:t>
            </w:r>
          </w:p>
        </w:tc>
      </w:tr>
    </w:tbl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头部信息条</w:t>
      </w:r>
      <w:r>
        <w:rPr>
          <w:rFonts w:eastAsia="等线" w:ascii="Arial" w:cs="Arial" w:hAnsi="Arial"/>
          <w:sz w:val="22"/>
        </w:rPr>
        <w:t>：商机名、所属客户（链接至客户 360）、status 徽标（进行中/赢单/失败/公海，4.5.5）、预警徽标（颜色与停滞天数）。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阶段进度条</w:t>
      </w:r>
      <w:r>
        <w:rPr>
          <w:rFonts w:eastAsia="等线" w:ascii="Arial" w:cs="Arial" w:hAnsi="Arial"/>
          <w:sz w:val="22"/>
        </w:rPr>
        <w:t>：按生效配置的阶段顺序横向展示；已完成节点打勾，当前节点高亮，未到节点灰色；终态节点（赢单/失效）固定在最右。阶段名取当前配置；该商机的阶段名快照与配置不一致时，节点下方加灰色小字快照名（7.2）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固定动作页签</w:t>
      </w:r>
      <w:r>
        <w:rPr>
          <w:rFonts w:eastAsia="等线" w:ascii="Arial" w:cs="Arial" w:hAnsi="Arial"/>
          <w:sz w:val="22"/>
        </w:rPr>
        <w:t>（默认选中）：当前阶段 StageActionRule 清单，逐项显示动作名称、字段类型图标、完成状态（✅/⬜）；未完成项提供「去填写 / 去上传 / 去创建」快捷按钮定位到对应输入位。完成全部动作时系统自动流转（6.1）。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右侧信息栏</w:t>
      </w:r>
      <w:r>
        <w:rPr>
          <w:rFonts w:eastAsia="等线" w:ascii="Arial" w:cs="Arial" w:hAnsi="Arial"/>
          <w:sz w:val="22"/>
        </w:rPr>
        <w:t>：完成度卡（N/M + 进度条）、预警状态卡（停滞天数、当前阈值、最后推进时间）、团队卡（负责人、参与角色、协作成员——由负责人分享邀请，可撤销）、输出物清单。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阶段历史页签</w:t>
      </w:r>
      <w:r>
        <w:rPr>
          <w:rFonts w:eastAsia="等线" w:ascii="Arial" w:cs="Arial" w:hAnsi="Arial"/>
          <w:sz w:val="22"/>
        </w:rPr>
        <w:t>：StageHistory 时间轴（何时从哪阶段推进至哪阶段、操作人、是否回退及原因）；历史阶段名用快照值展示。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5.3 客户 360 详情（P07）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P07 客户 360 · 文字线框</w:t>
              <w:br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  <w:br/>
              <w:t>│ ◀ 客户列表  客户A  [A级·战略客户] [成交客户]  最后跟进 10-12           │</w:t>
              <w:br/>
              <w:t>│                            [编辑] [转公海] [新建商机] [更多▾]         │</w:t>
              <w:br/>
              <w:t>├──────────────────────────────┬───────────────────────────────────────┤</w:t>
              <w:br/>
              <w:t>│ ▌基本信息（分组表单,只读+编辑) │ 页签: [时间轴] 商机 方案与报价 合同      │</w:t>
              <w:br/>
              <w:t>│  客户类型/行业/规模/地址/      │        预警记录 失效记录                │</w:t>
              <w:br/>
              <w:t>│  信用代码/客户分级/客户状态    │ ┌─ 时间轴（8.2 全生命周期）──────────┐  │</w:t>
              <w:br/>
              <w:t>│  + 自定义字段按分组动态渲染    │ │ ● 10-12 行为记录·线下拜访 · 张三    │  │</w:t>
              <w:br/>
              <w:t>│ ──────────────────────────── │ │ ● 10-08 阶段推进 需求匹配→方案确定  │  │</w:t>
              <w:br/>
              <w:t>│ ▌联系人（多联系人卡片,M1-R4） │ │ ● 09-30 方案上传·正式方案.pdf      │  │</w:t>
              <w:br/>
              <w:t>│  👤 王总·总经理·决策人·主联系人│ │ ● 09-20 停滞预警·二级              │  │</w:t>
              <w:br/>
              <w:t>│  👤 李工·技术部·影响者 [＋新增]│ │ ● …（按时间倒序,类型图标区分）      │  │</w:t>
              <w:br/>
              <w:t>│                              │ └───────────────────────────────────┘  │</w:t>
              <w:br/>
              <w:t>└──────────────────────────────┴───────────────────────────────────────┘</w:t>
              <w:br/>
              <w:t xml:space="preserve">  左栏宽 320px；新建联系人/编辑联系人走抽屉；每个时间轴节点可点击查看原文</w:t>
            </w:r>
          </w:p>
        </w:tc>
      </w:tr>
    </w:tbl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头部</w:t>
      </w:r>
      <w:r>
        <w:rPr>
          <w:rFonts w:eastAsia="等线" w:ascii="Arial" w:cs="Arial" w:hAnsi="Arial"/>
          <w:sz w:val="22"/>
        </w:rPr>
        <w:t>：客户名 + 分级徽标（字典驱动）+ 状态徽标（潜在/意向/成交/流失）+ 最近跟进时间；主操作：编辑（权限内）、转公海（M1-R6）、新建商机（M3-R1）。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左栏</w:t>
      </w:r>
      <w:r>
        <w:rPr>
          <w:rFonts w:eastAsia="等线" w:ascii="Arial" w:cs="Arial" w:hAnsi="Arial"/>
          <w:sz w:val="22"/>
        </w:rPr>
        <w:t>：基本信息分组表单（自定义字段按字段分组动态渲染，7.1）；联系人卡片列表（姓名、职务、决策角色、关系亲密度、主联系人标记），增删改走抽屉。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右主区</w:t>
      </w:r>
      <w:r>
        <w:rPr>
          <w:rFonts w:eastAsia="等线" w:ascii="Arial" w:cs="Arial" w:hAnsi="Arial"/>
          <w:sz w:val="22"/>
        </w:rPr>
        <w:t>：默认打开"时间轴"页签，自动汇总行为记录、阶段变更、方案报价上传、合同签订、停滞预警、失效记录（PRD 8.2），按时间倒序、类型图标区分；其余页签为该客户名下的商机、方案报价、合同、预警、失效列表。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5.4 销售行为记录（P15 / P16）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全局列表页复用 4.1 模板：筛选条件为行为类型（字典"行动类型"）、客户、商机、记录人、时间范围；列：时间、类型徽标、摘要、关联客户（链接）、关联商机（链接）、记录人。新建 / 编辑走右侧抽屉（P16）：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抽屉字段</w:t>
      </w:r>
      <w:r>
        <w:rPr>
          <w:rFonts w:eastAsia="等线" w:ascii="Arial" w:cs="Arial" w:hAnsi="Arial"/>
          <w:sz w:val="22"/>
        </w:rPr>
        <w:t>：行为类型（字典单选）、发生时间（默认当前）、关联客户（必填，选人搜索式选择器）、关联商机（可选，联动筛选该客户名下商机）、内容摘要（必填）、详细内容（多行文本）、附件（可选）、下次回访时间（可选，填写后按 M4-R3 生成提醒）。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嵌入视图</w:t>
      </w:r>
      <w:r>
        <w:rPr>
          <w:rFonts w:eastAsia="等线" w:ascii="Arial" w:cs="Arial" w:hAnsi="Arial"/>
          <w:sz w:val="22"/>
        </w:rPr>
        <w:t>：客户 360 时间轴与商机详情"行为记录"页签复用同一组件，按关联对象过滤。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回访提醒</w:t>
      </w:r>
      <w:r>
        <w:rPr>
          <w:rFonts w:eastAsia="等线" w:ascii="Arial" w:cs="Arial" w:hAnsi="Arial"/>
          <w:sz w:val="22"/>
        </w:rPr>
        <w:t>：到达回访时间时推送站内信，通知内容直达该行为记录。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行为记录可见性（商机详情页签 / 客户360时间轴）</w:t>
      </w:r>
      <w:r>
        <w:rPr>
          <w:rFonts w:eastAsia="等线" w:ascii="Arial" w:cs="Arial" w:hAnsi="Arial"/>
          <w:sz w:val="22"/>
        </w:rPr>
        <w:t>：默认仅展示当前用户自己创建的记录；列表顶部提供「显示全部」切换开关（仅当用户拥有跨角色查看权限或该记录创建人共享了可见性时生效）。他人记录在有权限查看时，卡片左上角显示创建人角色徽标（如「售前·李四」）以区分来源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分享操作交互（P14·更多▾ → 分享·协作成员）</w:t>
      </w:r>
      <w:r>
        <w:rPr>
          <w:rFonts w:eastAsia="等线" w:ascii="Arial" w:cs="Arial" w:hAnsi="Arial"/>
          <w:sz w:val="22"/>
        </w:rPr>
        <w:t>：触发入口位于商机详情页「更多」下拉；点击后弹出分享弹窗：① 选人（支持按角色筛选用户）；② 权限勾选（默认仅「查看商机 + 填写行为记录」，可扩展项由管理员预配置）；③ 已分享列表（显示被分享人、分享时间、权限范围、撤销按钮）。异常分支：重复分享同一人时提示「该用户已是协作成员」；分享对象为商机负责人自己时拦截；被分享人离职/禁用自动失效并通知负责人。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5.5 公海池（P21）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P21 公海池 · 文字线框</w:t>
              <w:br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  <w:br/>
              <w:t>│ 公海池   [当前模式：主管手动分配▾]      页签: [客户公海] 商机公海 线索公海│ ← 模式徽标 + 三页签(7.5)</w:t>
              <w:br/>
              <w:t>├──────────────────────────────────────────────────────────────────────┤</w:t>
              <w:br/>
              <w:t>│ 筛选: 来源渠道[▾] 入公海时间[区间▾] [搜索名称…]  [重置]               │</w:t>
              <w:br/>
              <w:t>├──────────────────────────────────────────────────────────────────────┤</w:t>
              <w:br/>
              <w:t>│ ▣ 客户名称 │ 来源渠道 │ 入公海时间 │ 历史跟进次数 │ 最后跟进 │ 操作    │</w:t>
              <w:br/>
              <w:t>│ ▣ 客户B   │ 展会    │ 10-11     │ 6 次         │ 10-10    │跟进详情  │</w:t>
              <w:br/>
              <w:t>│ ▣ 客户C   │ 线上推广 │ 10-09     │ 2 次  🔒保护期│ 10-08    │跟进详情  │ ← 保护期徽标</w:t>
              <w:br/>
              <w:t>│ ▣ …       │         │           │              │          │         │</w:t>
              <w:br/>
              <w:t>├──────────────────────────────────────────────────────────────────────┤</w:t>
              <w:br/>
              <w:t>│ 已选 2 项: [分配给销售…]（管理层可见） [领取]（销售·领取模式可见）      │ ← 批量操作随角色与模式变化</w:t>
              <w:br/>
              <w:t>└──────────────────────────────────────────────────────────────────────┘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展示字段与筛选口径对应 PRD 7.5；主管可点击"跟进详情"查看该公海记录的历史跟进全记录</w:t>
            </w:r>
          </w:p>
        </w:tc>
      </w:tr>
    </w:tbl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模式徽标</w:t>
      </w:r>
      <w:r>
        <w:rPr>
          <w:rFonts w:eastAsia="等线" w:ascii="Arial" w:cs="Arial" w:hAnsi="Arial"/>
          <w:sz w:val="22"/>
        </w:rPr>
        <w:t>：页头显示当前分配模式（默认"主管手动分配"，可切换为"销售自主领取"，自动分配为 P2 且未启用时不可见，PRD 7.2、决策 G）。模式由系统参数配置（P29）驱动，切换后本页按钮实时变化。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领取视角</w:t>
      </w:r>
      <w:r>
        <w:rPr>
          <w:rFonts w:eastAsia="等线" w:ascii="Arial" w:cs="Arial" w:hAnsi="Arial"/>
          <w:sz w:val="22"/>
        </w:rPr>
        <w:t>（销售 + 领取模式）：行内与批量出现「领取」按钮；达到个人上限（默认 20 个）或每日上限（默认 5 个）时按钮置灰，tooltip 说明原因（M6-R4）；保护期内记录他人按钮置灰并显示 🔒 保护期徽标（M6-R5）。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分配视角</w:t>
      </w:r>
      <w:r>
        <w:rPr>
          <w:rFonts w:eastAsia="等线" w:ascii="Arial" w:cs="Arial" w:hAnsi="Arial"/>
          <w:sz w:val="22"/>
        </w:rPr>
        <w:t>（管理层 / 管理员）：勾选后「分配给销售」，弹出选人弹窗，候选列表显示每位销售当前商机数 / 上限，确认后 toast 提示、站内信通知接收人（M6-R3），分配记录留痕（分配人 / 时间 / 接收人）。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线索公海页签</w:t>
      </w:r>
      <w:r>
        <w:rPr>
          <w:rFonts w:eastAsia="等线" w:ascii="Arial" w:cs="Arial" w:hAnsi="Arial"/>
          <w:sz w:val="22"/>
        </w:rPr>
        <w:t>：线索录入超过 60 天未转化自动回收至此（PRD 7.1、决策 C）。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5.6 漏斗阶段配置管理（P33 / P34 / P35 / P36）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P33 漏斗配置 · 文字线框</w:t>
              <w:br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  <w:br/>
              <w:t>│ 漏斗阶段配置                          [版本历史] [存量映射记录] [＋新增]│</w:t>
              <w:br/>
              <w:t>├───────────────────────────┬──────────────────────────────────────────┤</w:t>
              <w:br/>
              <w:t>│ ▌阶段列表（拖拽排序⋮⋮）    │ 页签: [阶段定义] 规则配置 预警阈值         │</w:t>
              <w:br/>
              <w:t>│  S0 客户数据录入 [内置起点]│ ┌─ 阶段定义 ──────────────────────────┐  │</w:t>
              <w:br/>
              <w:t>│  S1 客户触达      [启用◍] │ │ 阶段名称 [客户触达    ] 可改          │  │</w:t>
              <w:br/>
              <w:t>│  S2 需求匹配与方案…[启用◍] │ │ 阶段编码 S2（系统生成·不可改）        │  │</w:t>
              <w:br/>
              <w:t>│ ▶ S3 方案确定与跟进[启用◍] │ │ 顺序 3（拖拽左栏调整·二次确认）       │  │</w:t>
              <w:br/>
              <w:t>│  S4 合同推进      [启用◍] │ │ 终态 ☐（仅内置终态可选）             │  │</w:t>
              <w:br/>
              <w:t>│  S5 赢单关闭 [内置终态]   │ │ 描述 [用于界面提示的说明文案]         │  │</w:t>
              <w:br/>
              <w:t>│  S6 已失效   [内置终态]   │ │                    [保存] [重置]      │  │</w:t>
              <w:br/>
              <w:t>│                           │ └─────────────────────────────────────┘  │</w:t>
              <w:br/>
              <w:t>└───────────────────────────┴──────────────────────────────────────────┘</w:t>
              <w:br/>
              <w:t xml:space="preserve">  权限：仅系统管理员（K18）· 删除/排序/存量映射为高风险操作,统一走 6.6 二次确认</w:t>
            </w:r>
          </w:p>
        </w:tc>
      </w:tr>
    </w:tbl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左栏阶段列表</w:t>
      </w:r>
      <w:r>
        <w:rPr>
          <w:rFonts w:eastAsia="等线" w:ascii="Arial" w:cs="Arial" w:hAnsi="Arial"/>
          <w:sz w:val="22"/>
        </w:rPr>
        <w:t>：全部阶段（含停用，灰显），拖拽手柄排序；内置起点 S0 与终态 S5/S6 不可删除、不可停用、不可移出首末位（4.6.3），列表项带「内置」徽标。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规则配置页签</w:t>
      </w:r>
      <w:r>
        <w:rPr>
          <w:rFonts w:eastAsia="等线" w:ascii="Arial" w:cs="Arial" w:hAnsi="Arial"/>
          <w:sz w:val="22"/>
        </w:rPr>
        <w:t>：三个子编辑器——准入条件（富文本说明 + 校验规则）、固定动作清单（StageActionRule 表格式编辑：动作名称 / 字段名 / 字段类型 / 必填 / 选项 / 提示文案 / 排序，支持引用自定义字段，M12-R3）、输出物与参与角色（多选，引用角色实体，M13-R6 联动提示）。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预警阈值页签</w:t>
      </w:r>
      <w:r>
        <w:rPr>
          <w:rFonts w:eastAsia="等线" w:ascii="Arial" w:cs="Arial" w:hAnsi="Arial"/>
          <w:sz w:val="22"/>
        </w:rPr>
        <w:t>：一 / 二 / 三级天数三个输入框；未配置时显示"回落全局默认 7 / 14 / 21 天"占位（M11-R4）。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版本历史（P35）</w:t>
      </w:r>
      <w:r>
        <w:rPr>
          <w:rFonts w:eastAsia="等线" w:ascii="Arial" w:cs="Arial" w:hAnsi="Arial"/>
          <w:sz w:val="22"/>
        </w:rPr>
        <w:t>：变更记录列表（版本号、操作人、时间、变更内容摘要），支持任意两版本对比与回滚（M11-R6）；回滚走 6.6 二次确认。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存量映射（P36）</w:t>
      </w:r>
      <w:r>
        <w:rPr>
          <w:rFonts w:eastAsia="等线" w:ascii="Arial" w:cs="Arial" w:hAnsi="Arial"/>
          <w:sz w:val="22"/>
        </w:rPr>
        <w:t>：删除 / 停用 / 重排阶段保存时自动唤起向导弹窗：第一步展示映射预览清单（旧阶段 → 新阶段、涉及商机数），第二步管理员确认后批量执行，结果写入 StageConfigChangeLog（action = mapping_execute，K17）。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5.7 自定义字段管理（P37 / P38）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P37 自定义字段 · 文字线框</w:t>
              <w:br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  <w:br/>
              <w:t>│ 自定义字段管理      实体: [客户▾ 联系人 线索 商机 行为 方案 报价 合同]   │ ← 八大实体切换(4.7.1)</w:t>
              <w:br/>
              <w:t>├──────────────────────────────────────────────────────────────────────┤</w:t>
              <w:br/>
              <w:t>│ ▌系统字段（内置·受控,M12-R5）                                          │</w:t>
              <w:br/>
              <w:t>│  客户名称 [文本·必填]  显示☑  显示名[客户名称]（可改·不可删）           │</w:t>
              <w:br/>
              <w:t>│  统一社会信用代码 [文本]  显示☑  显示名[…]  隐藏时表单/列表均不出现      │</w:t>
              <w:br/>
              <w:t>│ ▌自定义字段                                                            │</w:t>
              <w:br/>
              <w:t>│  ⋮⋮ 所属大区 [单选·字典:客户行业] 必填☐ 分组[基本信息] 启用◍ │编辑|停用│</w:t>
              <w:br/>
              <w:t>│  ⋮⋮ 年采购额 [金额]                必填☐ 分组[扩展信息] 启用◍ │编辑|停用│</w:t>
              <w:br/>
              <w:t>│                                              [＋新增字段 → 抽屉 P38]   │</w:t>
              <w:br/>
              <w:t>└──────────────────────────────────────────────────────────────────────┘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右上角提示：单实体自定义字段建议 ≤ 50 个（K22）；字段变更全程审计（M12-R6）</w:t>
            </w:r>
          </w:p>
        </w:tc>
      </w:tr>
    </w:tbl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实体切换器</w:t>
      </w:r>
      <w:r>
        <w:rPr>
          <w:rFonts w:eastAsia="等线" w:ascii="Arial" w:cs="Arial" w:hAnsi="Arial"/>
          <w:sz w:val="22"/>
        </w:rPr>
        <w:t>：客户、联系人、线索、商机、销售行为记录、方案、报价、合同八个实体（4.7.1）；切换后列表与统计随之切换。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字段列表</w:t>
      </w:r>
      <w:r>
        <w:rPr>
          <w:rFonts w:eastAsia="等线" w:ascii="Arial" w:cs="Arial" w:hAnsi="Arial"/>
          <w:sz w:val="22"/>
        </w:rPr>
        <w:t>：系统字段区与自定义字段区分开展示。系统字段只能"隐藏 / 改显示名"；自定义字段可编辑、停用（停用后界面不再展示，历史数据保留，4.7.2）。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新增字段抽屉（P38）</w:t>
      </w:r>
      <w:r>
        <w:rPr>
          <w:rFonts w:eastAsia="等线" w:ascii="Arial" w:cs="Arial" w:hAnsi="Arial"/>
          <w:sz w:val="22"/>
        </w:rPr>
        <w:t>：字段类型（10 类，4.7.1）→ 名称 / 编码（创建后不可改）/ 描述 / 提示文案 → 必填、默认值、字段分组、排序 → 可见性规则（按角色）→ 校验规则（正则 / 范围 / 唯一性 / 跨字段）；保存后表单、列表、筛选、报表即时按新配置生效（M12-R2）。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5.8 报表复盘（P27 / P43 / P44）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P27 报表中心 · 文字线框</w:t>
              <w:br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  <w:br/>
              <w:t>│ 报表中心                                                                │</w:t>
              <w:br/>
              <w:t>├───────────────┬────────────────────────────────────────────────────────┤</w:t>
              <w:br/>
              <w:t>│ ▌预置报表      │ ▌漏斗报表（M9-R1）      周期[本周▾] 团队[全部▾] [导出]  │</w:t>
              <w:br/>
              <w:t>│ ● 漏斗报表     │ ┌─ 漏斗图（按阶段分组,阶段数随配置动态变化）──────────┐ │</w:t>
              <w:br/>
              <w:t>│ ● 停滞复盘     │ │  客户触达 12 → 需求匹配 8 → 方案确定 5 → 合同推进 3 │ │</w:t>
              <w:br/>
              <w:t>│ ● 失效复盘     │ │  转化率 67% / 63% / 60% · 成单率 25%               │ │</w:t>
              <w:br/>
              <w:t>│ ● 个人报表     │ └───────────────────────────────────────────────────┘ │</w:t>
              <w:br/>
              <w:t>│ ● 团队报表     │ ┌─ 数据明细表（阶段 · 商机数 · 金额 · 转化率 · 环比）┐ │</w:t>
              <w:br/>
              <w:t>│ ▌自定义模板    │ │  …（可按筛选导出 Excel / PDF,M15-R6）              │ │</w:t>
              <w:br/>
              <w:t>│ (M15-R5)      │ └───────────────────────────────────────────────────┘ │</w:t>
              <w:br/>
              <w:t>│ [订阅管理 P44] │                                                        │</w:t>
              <w:br/>
              <w:t>└───────────────┴────────────────────────────────────────────────────────┘</w:t>
              <w:br/>
              <w:t xml:space="preserve">  阶段分组与列表口径统一使用阶段名称快照（9.1、4.10.3）；点击漏斗层可下钻至商机列表</w:t>
            </w:r>
          </w:p>
        </w:tc>
      </w:tr>
    </w:tbl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左栏</w:t>
      </w:r>
      <w:r>
        <w:rPr>
          <w:rFonts w:eastAsia="等线" w:ascii="Arial" w:cs="Arial" w:hAnsi="Arial"/>
          <w:sz w:val="22"/>
        </w:rPr>
        <w:t>：5 个预置报表（漏斗 / 停滞 / 失效 / 个人 / 团队，M9-R1–R5）+ 管理员配置的自定义报表模板（M15-R5）+ 订阅管理入口。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漏斗报表</w:t>
      </w:r>
      <w:r>
        <w:rPr>
          <w:rFonts w:eastAsia="等线" w:ascii="Arial" w:cs="Arial" w:hAnsi="Arial"/>
          <w:sz w:val="22"/>
        </w:rPr>
        <w:t>：漏斗图 + 明细表；阶段分组按生效配置动态生成（阶段数不固定），跨配置版本的口径对比为 P2（4.10.3）。点击漏斗任一层下钻到该阶段商机列表。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停滞复盘</w:t>
      </w:r>
      <w:r>
        <w:rPr>
          <w:rFonts w:eastAsia="等线" w:ascii="Arial" w:cs="Arial" w:hAnsi="Arial"/>
          <w:sz w:val="22"/>
        </w:rPr>
        <w:t>：超期未推进清单（按停滞天数排序、可导出，M9-R2），行内提供复盘操作入口（对应 P23）。</w:t>
      </w:r>
      <w:r>
        <w:rPr>
          <w:rFonts w:eastAsia="等线" w:ascii="Arial" w:cs="Arial" w:hAnsi="Arial"/>
          <w:b w:val="true"/>
          <w:sz w:val="22"/>
        </w:rPr>
        <w:t>失效复盘</w:t>
      </w:r>
      <w:r>
        <w:rPr>
          <w:rFonts w:eastAsia="等线" w:ascii="Arial" w:cs="Arial" w:hAnsi="Arial"/>
          <w:sz w:val="22"/>
        </w:rPr>
        <w:t>：失败原因分布图（月度）+ 可挽回清单，下钻 P26。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</w:t>
      </w:r>
      <w:r>
        <w:rPr>
          <w:rFonts w:eastAsia="等线" w:ascii="Arial" w:cs="Arial" w:hAnsi="Arial"/>
          <w:sz w:val="22"/>
        </w:rPr>
        <w:t>：业务角色仅见个人报表（自己数据），管理层可见团队与全部（2.2 矩阵）；报表模板配置（P43）仅系统管理员。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5.9 实施配置向导与模板包（P45 / P46）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P45 实施向导 · 文字线框</w:t>
              <w:br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┌──────────────────────────────────────────────────────────────────────┐</w:t>
              <w:br/>
              <w:t>│ 实施配置向导                （可随时退出 · 草稿自动保存 · 下次继续）     │</w:t>
              <w:br/>
              <w:t>├──────────────────────────────────────────────────────────────────────┤</w:t>
              <w:br/>
              <w:t>│  ①基础信息 ── ②漏斗配置 ── ◉③字段配置 ── ④角色配置 ── ⑤字典 ── ⑥数据导入│ ← 分步导航 Stepper</w:t>
              <w:br/>
              <w:t>├──────────────────────────────────────────────────────────────────────┤</w:t>
              <w:br/>
              <w:t>│ ▌第 3 步 · 字段配置                                                     │</w:t>
              <w:br/>
              <w:t>│   选择初始化方式:  (●) 使用系统默认字段                                  │</w:t>
              <w:br/>
              <w:t>│                    ( ) 加载模板字段集合                                  │</w:t>
              <w:br/>
              <w:t>│   说明: 默认字段含全部系统内置字段；模板字段含自定义字段定义              │</w:t>
              <w:br/>
              <w:t>│                                        [上一步] [保存草稿] [下一步]     │</w:t>
              <w:br/>
              <w:t>└──────────────────────────────────────────────────────────────────────┘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完成后生成"实施配置清单"留底（4.10.1）；模板导入冲突走逐项确认清单（K20）</w:t>
            </w:r>
          </w:p>
        </w:tc>
      </w:tr>
    </w:tbl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分步向导</w:t>
      </w:r>
      <w:r>
        <w:rPr>
          <w:rFonts w:eastAsia="等线" w:ascii="Arial" w:cs="Arial" w:hAnsi="Arial"/>
          <w:sz w:val="22"/>
        </w:rPr>
        <w:t>：6 步固定顺序（基础信息 → 漏斗配置 → 字段配置 → 角色配置 → 字典配置 → 数据导入，4.10.1）；每步单选"使用预置默认 / 从模板导入 / 全新配置"，随时保存草稿、退出后可继续。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模板包管理（P46）</w:t>
      </w:r>
      <w:r>
        <w:rPr>
          <w:rFonts w:eastAsia="等线" w:ascii="Arial" w:cs="Arial" w:hAnsi="Arial"/>
          <w:sz w:val="22"/>
        </w:rPr>
        <w:t>：列表展示模板包（名称、版本号、变更说明）；操作：导出当前配置为新模板包、导入模板包（导入时呈现冲突清单，由实施人员逐项确认覆盖 / 跳过 / 重命名，K20 与 M16-R3）、跨版本升级（M16-R4）。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默认出厂模板</w:t>
      </w:r>
      <w:r>
        <w:rPr>
          <w:rFonts w:eastAsia="等线" w:ascii="Arial" w:cs="Arial" w:hAnsi="Arial"/>
          <w:sz w:val="22"/>
        </w:rPr>
        <w:t>："我司 PPT 默认实施模板"完整预置，支持基于它新建副本（M16-R5）。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六、核心交互流程规范</w:t>
      </w:r>
      <w:bookmarkEnd w:id="30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本章定义 6 个核心交互的完整规则。每条交互统一按「触发入口 → 界面反馈 → 异常分支」描述；前端实现时不得增删分支或改变反馈形式。所有流程依据 PRD 第 4.3 / 4.5 / 4.4 / 5 / 6 章（校验拦截、预警、公海、失效）与 M3 / M6 / M7 / M8 / M11 对应需求。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6.1 阶段推进与校验拦截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流程依据</w:t>
      </w:r>
      <w:r>
        <w:rPr>
          <w:rFonts w:eastAsia="等线" w:ascii="Arial" w:cs="Arial" w:hAnsi="Arial"/>
          <w:sz w:val="22"/>
        </w:rPr>
        <w:t>：PRD 4.5 校验机制、M3-R2 / M3-R4（推进前校验、完整度校验、强制流转）。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触发入口（三处，行为一致）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商机列表页（P11）：行内「⋯」菜单 →「推进至下一阶段」；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漏斗看板（P12）：卡片底部「推进」按钮（仅当前商机负责人可见）；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商机详情页（P13）：阶段进度条右侧主按钮「推进至下一阶段」。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正常流程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点击后先展示</w:t>
      </w:r>
      <w:r>
        <w:rPr>
          <w:rFonts w:eastAsia="等线" w:ascii="Arial" w:cs="Arial" w:hAnsi="Arial"/>
          <w:b w:val="true"/>
          <w:sz w:val="22"/>
        </w:rPr>
        <w:t>校验摘要弹窗</w:t>
      </w:r>
      <w:r>
        <w:rPr>
          <w:rFonts w:eastAsia="等线" w:ascii="Arial" w:cs="Arial" w:hAnsi="Arial"/>
          <w:sz w:val="22"/>
        </w:rPr>
        <w:t>（居中弹窗，宽度 480px）：列出本阶段 StageActionRule 要求的完成项清单，每项前带勾选框状态（已完成 ✓ 绿色 / 未完成 ✗ 红色），顶部显示「阶段完成度 3/5」进度条；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存在未完成项时，底部主按钮置灰（文案「推进」），仅提供「去处理」与「取消」；存在缺项时禁止推进（M3-R2）；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点击「去处理」：弹窗关闭并跳转商机详情页对应页签，页面自动滚动到缺项区块并高亮 2 秒（黄色背景渐隐）；若缺项为字段类（StageActionRule 引用的必填字段），光标自动聚焦到该输入框；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全部项完成后，按钮变为可用「确认推进」，文案随流转目标动态变化（如「确认推进 → 方案报价」）；M3-R4 定义的可自动流转阶段，按钮文案为「确认推进（将自动流转）」；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确认后：toast「已推进至【方案报价】」，阶段进度条、列表阶段列、看板卡片位置即时更新；停留天数计时器归零重算。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异常分支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「推进」请求失败（网络/服务端校验不一致）：弹窗保持，顶部红字提示「校验结果已变化，正在刷新」，2 秒后重新拉取清单；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推进时商机已被他人处理（乐观锁冲突）：toast「该商机状态已变化，已为您刷新」，页面刷新后回到当前最新阶段；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推进目标已是最后阶段（赢单/输单之外的终态）：按钮不再显示，进度条末节点展示终态徽标。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强制推进（M3-R4 补充规则）</w:t>
      </w:r>
      <w:r>
        <w:rPr>
          <w:rFonts w:eastAsia="等线" w:ascii="Arial" w:cs="Arial" w:hAnsi="Arial"/>
          <w:sz w:val="22"/>
        </w:rPr>
        <w:t>：管理层（总监/VP）与系统管理员在阶段详情可执行「强制流转」——入口为校验弹窗右下角文字链「强制流转」；点击后二次确认（红色警示弹窗，需填写流转原因，写入操作日志）。销售角色的校验弹窗不出现该入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6.2 阶段回退</w:t>
      </w:r>
      <w:bookmarkEnd w:id="32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入口</w:t>
      </w:r>
      <w:r>
        <w:rPr>
          <w:rFonts w:eastAsia="等线" w:ascii="Arial" w:cs="Arial" w:hAnsi="Arial"/>
          <w:sz w:val="22"/>
        </w:rPr>
        <w:t>：商机详情页阶段进度条节点 →「回退至此阶段」（仅管理层/系统管理员可见，PRD 2.2 权限矩阵）；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</w:t>
      </w:r>
      <w:r>
        <w:rPr>
          <w:rFonts w:eastAsia="等线" w:ascii="Arial" w:cs="Arial" w:hAnsi="Arial"/>
          <w:sz w:val="22"/>
        </w:rPr>
        <w:t>：确认弹窗（必填回退原因，≥10 字）→ 确认后 toast「已回退至【需求确认】」，进度条、列表、看板即时更新；回退后的行动记录按时间倒序展示并带「历史」灰色标签，不删除；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</w:t>
      </w:r>
      <w:r>
        <w:rPr>
          <w:rFonts w:eastAsia="等线" w:ascii="Arial" w:cs="Arial" w:hAnsi="Arial"/>
          <w:sz w:val="22"/>
        </w:rPr>
        <w:t>：商机存在进行中的失效申请时禁止回退，按钮置灰，tooltip「该商机存在待审批的失效申请」。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6.3 停滞预警的消息与列表呈现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流程依据</w:t>
      </w:r>
      <w:r>
        <w:rPr>
          <w:rFonts w:eastAsia="等线" w:ascii="Arial" w:cs="Arial" w:hAnsi="Arial"/>
          <w:sz w:val="22"/>
        </w:rPr>
        <w:t>：PRD 第 5 章、M7-R1 / M7-R2；阈值 7 / 14 / 21 天三级（PRD 5.1）。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列表与看板呈现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商机列表（P11）「停留天数」列：数字 + 预警圆点徽标（一级黄色 / 二级橙色 / 三级红色），列头支持按预警级别筛选；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看板卡片右上角同色圆点；商机详情头部横幅区显示预警条（黄/橙/红底色条，含「已停留 N 天，超过阈值 M 天」文案）。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通知触达（逐级累加）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95"/>
        <w:gridCol w:w="1830"/>
        <w:gridCol w:w="2925"/>
        <w:gridCol w:w="2430"/>
      </w:tblGrid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触达对象与渠道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内容要点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一级（黄）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停留 ≥7 天未推进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销售本人 · 站内信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商机名、当前阶段、已停留天数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二级（橙）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停留 ≥14 天未推进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销售本人 + 直属销售主管 · 站内信 + 邮件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同上，附「填写停滞说明」入口</w:t>
            </w:r>
          </w:p>
        </w:tc>
      </w:tr>
      <w:tr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三级（红）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停留 ≥21 天未推进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以上全部 + 管理层（总监/VP）· 站内信 + 邮件</w:t>
            </w:r>
          </w:p>
        </w:tc>
        <w:tc>
          <w:tcPr>
            <w:tcW w:w="24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同上，提示「即将回落公海」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交互细节</w:t>
      </w:r>
      <w:r>
        <w:rPr>
          <w:rFonts w:eastAsia="等线" w:ascii="Arial" w:cs="Arial" w:hAnsi="Arial"/>
          <w:sz w:val="22"/>
        </w:rPr>
        <w:t>：通知点击直达商机详情页；商机发生阶段推进、回退、失效、归还公海任一动作时预警自动解除（徽标消失、横幅收起，无需人工操作）；三级预警商机在「未推进商机列表」置顶展示（P11 保存的视图，M7-R4）。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停滞说明与延期申请</w:t>
      </w:r>
      <w:r>
        <w:rPr>
          <w:rFonts w:eastAsia="等线" w:ascii="Arial" w:cs="Arial" w:hAnsi="Arial"/>
          <w:sz w:val="22"/>
        </w:rPr>
        <w:t>：预警条与站内信内提供「填写停滞说明」按钮 → 打开抽屉表单（停滞原因单选字典 + 详细说明文本 + 预计推进日期）；提交后通知直属主管审批（走审批中心 P04 通用待办）；审批通过后该商机预警徽标转为灰色「已报备」状态，直到预计推进日期到期后恢复计时。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6.4 公海分配 / 领取操作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流程依据</w:t>
      </w:r>
      <w:r>
        <w:rPr>
          <w:rFonts w:eastAsia="等线" w:ascii="Arial" w:cs="Arial" w:hAnsi="Arial"/>
          <w:sz w:val="22"/>
        </w:rPr>
        <w:t>：PRD 第 6 章、M6-R1 至 M6-R6；默认模式=主管手动分配（决策 G），保护期 3 天、领取上限 20 个/在跟 5 个/日（5.2 节）。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主管分配（默认模式主操作）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入口：公海池列表（P21）勾选一条或多条 → 工具栏「分配」按钮；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反馈：居中弹窗（480px）展示所选条数摘要 + 成员选择器（按部门树 + 搜索，仅显示销售角色成员及各自「当前在跟 N/5」状态）；已达在跟上限的成员置灰不可选，tooltip「已达在跟商机上限」；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确认后 toast「已分配 N 条」，列表移除该批记录（公海数角标同步更新），被分配销售收到站内信 + 顶栏角标 +1。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销售领取（仅当公海开启「领取模式」时出现）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公海模式在 P21 页签区右侧以徽标展示（「主管分配模式」/「领取模式」），由系统管理员在系统参数配置 · 公海规则页签（P29）切换；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领取模式下：列表行内出现「领取」按钮；点击后即入我的商机（无审批）；当日领取数达到上限后按钮全部置灰，toast「已达每日领取上限（5 个）」；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保护期（3 天）内被退回公海的商机对原负责人显示锁定图标，tooltip「保护期内不可领回」，其余成员不受限（PRD 6.2）。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异常分支</w:t>
      </w:r>
      <w:r>
        <w:rPr>
          <w:rFonts w:eastAsia="等线" w:ascii="Arial" w:cs="Arial" w:hAnsi="Arial"/>
          <w:sz w:val="22"/>
        </w:rPr>
        <w:t>：分配时商机已被他人领取/分配（并发冲突）→ toast「部分商机状态已变化」，列表刷新，未成功条目保持勾选；分配目标成员离职/停用 → 提交时服务端校验失败，弹窗红字提示重选。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6.5 商机失效提交与审批流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流程依据</w:t>
      </w:r>
      <w:r>
        <w:rPr>
          <w:rFonts w:eastAsia="等线" w:ascii="Arial" w:cs="Arial" w:hAnsi="Arial"/>
          <w:sz w:val="22"/>
        </w:rPr>
        <w:t>：PRD 4.4、M8-R1 至 M8-R5；防私吞机制=未经审批不生效（4.4.4）。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提交入口</w:t>
      </w:r>
      <w:r>
        <w:rPr>
          <w:rFonts w:eastAsia="等线" w:ascii="Arial" w:cs="Arial" w:hAnsi="Arial"/>
          <w:sz w:val="22"/>
        </w:rPr>
        <w:t>：商机详情页「更多」菜单 →「申请失效」；列表行内菜单同入口（仅负责人及其主管可见）。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提交表单（P25 失效申请弹窗，560px 居中，必填项按 M8-R1）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失败原因：单选字典（价格 / 产品能力 / 竞争对手 / 需求消失 / 其他），必填；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「其他」或「竞争对手」被选中时，下方对应输入框出现并变必填（红星）：竞争对手名称文本框、其他原因说明文本框——</w:t>
      </w:r>
      <w:r>
        <w:rPr>
          <w:rFonts w:eastAsia="等线" w:ascii="Arial" w:cs="Arial" w:hAnsi="Arial"/>
          <w:b w:val="true"/>
          <w:sz w:val="22"/>
        </w:rPr>
        <w:t>条件必填联动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详细说明：多行文本，必填（≥20 字）；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是否可挽回：布尔单选（是/否），必填；选「是」时「挽回计划」文本框出现并必填；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底部「提交审批」按钮；提交后弹窗关闭，商机列表该行显示灰色「失效审批中」徽标，阶段推进/回退入口全部禁用（防止审批期间操作，4.4 防私吞）。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审批流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提交即通知：直属销售主管 + 管理层（总监/VP）收到站内信与审批待办（P04 审批中心，类型分组「商机失效」）；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审批页（P04 抽屉）：展示商机摘要（客户、金额、阶段、停留天数）+ 完整失效申请表单 + 该商机全部操作日志，操作项「通过 / 驳回」（驳回需填写意见）；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通过</w:t>
      </w:r>
      <w:r>
        <w:rPr>
          <w:rFonts w:eastAsia="等线" w:ascii="Arial" w:cs="Arial" w:hAnsi="Arial"/>
          <w:sz w:val="22"/>
        </w:rPr>
        <w:t>：商机状态变为「已失效」（列表灰色徽标，看板卡片移入失效区/隐藏，可筛选查看），失效记录永久留存、任何角色不可删除（M8-R4）；若失败原因含竞争对手，计入失效复盘报表（M9-R3 / P27）；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驳回</w:t>
      </w:r>
      <w:r>
        <w:rPr>
          <w:rFonts w:eastAsia="等线" w:ascii="Arial" w:cs="Arial" w:hAnsi="Arial"/>
          <w:sz w:val="22"/>
        </w:rPr>
        <w:t>：退回销售本人，站内信含驳回意见，商机恢复原阶段与操作入口，「失效审批中」徽标消失。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异常分支</w:t>
      </w:r>
      <w:r>
        <w:rPr>
          <w:rFonts w:eastAsia="等线" w:ascii="Arial" w:cs="Arial" w:hAnsi="Arial"/>
          <w:sz w:val="22"/>
        </w:rPr>
        <w:t>：审批期间商机已发生阶段推进（另一审批人先处理）→ 待办自动失效，审批人端 toast「该商机已变化，审批单已作废」；重复提交 → 已存在进行中申请时入口禁用，tooltip「已有进行中的失效申请」。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6.6 配置变更的二次确认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（五类，全部使用统一的红色警示模态弹窗样式）：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05"/>
        <w:gridCol w:w="2070"/>
        <w:gridCol w:w="3405"/>
      </w:tblGrid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所在页面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影响摘要示例（弹窗正文必含）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 / 停用漏斗阶段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P34 阶段管理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「阶段【方案报价】下现有 12 个存量商机，停用后需完成迁移映射」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漏斗配置发布新版本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P35 版本管理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「版本 v1.2 → v1.3，变更 2 个阶段名称、新增 1 个阶段，发布后全体用户即时生效」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执行存量商机映射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P36 映射向导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「将把 12 个【方案报价】商机迁移至【方案演示】，操作不可自动撤销」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配置回滚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P35 版本管理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「回滚至 v1.1，当前 v1.3 中新增的自定义阶段将变为未启用」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删除角色权限 / 删除字典项 / 删除自定义字段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P39 / P41 / P37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「字典项【银行】被 34 条线索引用，删除后历史数据将显示为空值」（字典需先展示引用影响列表，M14-R2）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统一样式规范</w:t>
      </w:r>
      <w:r>
        <w:rPr>
          <w:rFonts w:eastAsia="等线" w:ascii="Arial" w:cs="Arial" w:hAnsi="Arial"/>
          <w:sz w:val="22"/>
        </w:rPr>
        <w:t xml:space="preserve">：弹窗顶部红色感叹图标 + 标题（如「确认停用该阶段？」）；正文为影响摘要（数据条数由服务端实时返回）；底部「取消」为默认焦点按钮，确认按钮为红色危险样式且带 </w:t>
      </w:r>
      <w:r>
        <w:rPr>
          <w:rFonts w:eastAsia="等线" w:ascii="Arial" w:cs="Arial" w:hAnsi="Arial"/>
          <w:b w:val="true"/>
          <w:sz w:val="22"/>
        </w:rPr>
        <w:t>3 秒倒计时</w:t>
      </w:r>
      <w:r>
        <w:rPr>
          <w:rFonts w:eastAsia="等线" w:ascii="Arial" w:cs="Arial" w:hAnsi="Arial"/>
          <w:sz w:val="22"/>
        </w:rPr>
        <w:t>（倒计时结束前置灰，防误触）；确认后 toast 结果，配置日志（P40）新增一条带操作人、时间、变更内容的记录。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七、配置化能力的界面呈现规则</w:t>
      </w:r>
      <w:bookmarkEnd w:id="37"/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本章与 PRD 4.6–4.10 逐节对应，定义配置数据（自定义字段、漏斗阶段、字典项）变化后，各界面的动态渲染规则。核心原则：界面永远以「当前生效配置」渲染结构，以「数据创建时的快照值」渲染历史数据。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7.1 自定义字段的动态渲染（对应 PRD 4.7、M12-R1 至 M12-R4）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渲染位置与规则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表单</w:t>
      </w:r>
      <w:r>
        <w:rPr>
          <w:rFonts w:eastAsia="等线" w:ascii="Arial" w:cs="Arial" w:hAnsi="Arial"/>
          <w:sz w:val="22"/>
        </w:rPr>
        <w:t>：新建/编辑页按「字段分组 + 组内排序」动态渲染自定义字段区块，位于系统字段之后；字段类型决定控件（文本=输入框、单选=下拉、多选=下拉多选、日期=日期选择器、数值=数字输入框、布尔=开关）；停用字段不显示但历史值保留，重新启用后恢复展示（M12-R4）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</w:t>
      </w:r>
      <w:r>
        <w:rPr>
          <w:rFonts w:eastAsia="等线" w:ascii="Arial" w:cs="Arial" w:hAnsi="Arial"/>
          <w:sz w:val="22"/>
        </w:rPr>
        <w:t>：P37 字段管理里标记「列表可见」的自定义字段，出现在该实体所有列表页的可选列中（通过列显示配置添加，见 8.2）；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筛选</w:t>
      </w:r>
      <w:r>
        <w:rPr>
          <w:rFonts w:eastAsia="等线" w:ascii="Arial" w:cs="Arial" w:hAnsi="Arial"/>
          <w:sz w:val="22"/>
        </w:rPr>
        <w:t>：自定义字段自动出现在列表筛选器的「更多筛选」中，筛选控件随字段类型变化（见下表）；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报表</w:t>
      </w:r>
      <w:r>
        <w:rPr>
          <w:rFonts w:eastAsia="等线" w:ascii="Arial" w:cs="Arial" w:hAnsi="Arial"/>
          <w:sz w:val="22"/>
        </w:rPr>
        <w:t>：自定义字段可作为报表的分组维度或聚合指标（数值型），P42/P43 的维度选择器动态加载（M15-R1）；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阶段必填联动</w:t>
      </w:r>
      <w:r>
        <w:rPr>
          <w:rFonts w:eastAsia="等线" w:ascii="Arial" w:cs="Arial" w:hAnsi="Arial"/>
          <w:sz w:val="22"/>
        </w:rPr>
        <w:t>：被 StageActionRule 引用为阶段完成项的自定义字段，进入对应阶段后表单中变必填（红星），未满足时按 6.1 校验拦截（PRD 4.5.3）。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60"/>
        <w:gridCol w:w="2850"/>
        <w:gridCol w:w="3570"/>
      </w:tblGrid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筛选控件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列表/报表展示形式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输入框（模糊匹配）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文本；报表不可作维度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单选枚举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下拉单选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文本；可作分组维度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多选枚举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下拉多选（命中任一即命中）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顿号连接多值；可作维度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日期区间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YYYY-MM-DD；可按日/周/月分组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数值区间（最小值/最大值）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千分位；可作聚合指标（求和/平均）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布尔</w:t>
            </w:r>
          </w:p>
        </w:tc>
        <w:tc>
          <w:tcPr>
            <w:tcW w:w="28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三态选择（是/否/不限）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是/否标签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7.2 漏斗阶段变化的界面跟随（对应 PRD 4.6、M11-R1 至 M11-R4）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四个跟随点</w:t>
      </w:r>
      <w:r>
        <w:rPr>
          <w:rFonts w:eastAsia="等线" w:ascii="Arial" w:cs="Arial" w:hAnsi="Arial"/>
          <w:sz w:val="22"/>
        </w:rPr>
        <w:t>（配置发布后，以下界面均按新配置即时渲染，无需刷新缓存）：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看板列</w:t>
      </w:r>
      <w:r>
        <w:rPr>
          <w:rFonts w:eastAsia="等线" w:ascii="Arial" w:cs="Arial" w:hAnsi="Arial"/>
          <w:sz w:val="22"/>
        </w:rPr>
        <w:t>（P12）：列 = 当前生效配置中所有启用阶段，顺序即配置顺序；阶段改名后列头即时使用新名称（M11-R2）；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列表阶段列与筛选</w:t>
      </w:r>
      <w:r>
        <w:rPr>
          <w:rFonts w:eastAsia="等线" w:ascii="Arial" w:cs="Arial" w:hAnsi="Arial"/>
          <w:sz w:val="22"/>
        </w:rPr>
        <w:t>（P11 等）：阶段列值、阶段筛选项、按阶段分组视图同步更新；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详情进度条</w:t>
      </w:r>
      <w:r>
        <w:rPr>
          <w:rFonts w:eastAsia="等线" w:ascii="Arial" w:cs="Arial" w:hAnsi="Arial"/>
          <w:sz w:val="22"/>
        </w:rPr>
        <w:t>（P13）：节点数量与名称按新配置渲染；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报表分组</w:t>
      </w:r>
      <w:r>
        <w:rPr>
          <w:rFonts w:eastAsia="等线" w:ascii="Arial" w:cs="Arial" w:hAnsi="Arial"/>
          <w:sz w:val="22"/>
        </w:rPr>
        <w:t>（P42/P43）：漏斗阶段维度使用新阶段集合；按旧阶段保存的历史报表数据展示创建时的阶段值（快照，见下）。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历史数据快照规则</w:t>
      </w:r>
      <w:r>
        <w:rPr>
          <w:rFonts w:eastAsia="等线" w:ascii="Arial" w:cs="Arial" w:hAnsi="Arial"/>
          <w:sz w:val="22"/>
        </w:rPr>
        <w:t>（依据 PRD 4.6.4 stage_name_snapshot）：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商机推进记录保存「推进时的阶段名称快照」；阶段改名后，历史推进记录在时间轴上仍显示快照名，并带灰色「快照」小徽标，鼠标悬停提示「该阶段现名为 XXX」；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阶段被停用/删除后：存量商机按 P36 映射向导迁移（6.6）；映射完成前，这些商机在看板中归入末尾灰色「未映射（原 XX 阶段）」列，列表中阶段列灰字显示原阶段名，不阻塞查看与编辑基本信息；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保存含「停用/删除阶段」的配置时，系统自动唤起 P36 映射向导（不可跳过，除非该阶段下商机数为 0）。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7.3 字典变更的呈现（对应 PRD 4.8、M14-R1 至 M14-R5）</w:t>
      </w:r>
      <w:bookmarkEnd w:id="40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新增/改名</w:t>
      </w:r>
      <w:r>
        <w:rPr>
          <w:rFonts w:eastAsia="等线" w:ascii="Arial" w:cs="Arial" w:hAnsi="Arial"/>
          <w:sz w:val="22"/>
        </w:rPr>
        <w:t>：所有引用该字典的下拉框即时同步出现新项（保存后生效，M14-R5），无需重新登录；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停用字典项</w:t>
      </w:r>
      <w:r>
        <w:rPr>
          <w:rFonts w:eastAsia="等线" w:ascii="Arial" w:cs="Arial" w:hAnsi="Arial"/>
          <w:sz w:val="22"/>
        </w:rPr>
        <w:t>：历史数据中已选该值的内容照常显示（文本形式），新建/编辑表单的下拉中不再出现；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删除字典项</w:t>
      </w:r>
      <w:r>
        <w:rPr>
          <w:rFonts w:eastAsia="等线" w:ascii="Arial" w:cs="Arial" w:hAnsi="Arial"/>
          <w:sz w:val="22"/>
        </w:rPr>
        <w:t>：若被业务数据引用，删除前必须二次确认，确认弹窗内先展示引用影响列表（「被 N 条线索 / M 个客户引用」，M14-R2）；未引用则直接逻辑删除；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历史值呈现</w:t>
      </w:r>
      <w:r>
        <w:rPr>
          <w:rFonts w:eastAsia="等线" w:ascii="Arial" w:cs="Arial" w:hAnsi="Arial"/>
          <w:sz w:val="22"/>
        </w:rPr>
        <w:t>：已删除项的历史数据按创建时字典值以纯文本展示，不显示为空、不强制清空（M14-R3）。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八、通用组件与设计规范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8.0 整体设计风格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风格定位</w:t>
      </w:r>
      <w:r>
        <w:rPr>
          <w:rFonts w:eastAsia="等线" w:ascii="Arial" w:cs="Arial" w:hAnsi="Arial"/>
          <w:sz w:val="22"/>
        </w:rPr>
        <w:t>：商务简洁浅色企业风，参照帆软 FineBI 视觉气质——浅色背景为主、低饱和基调、留白充足、视觉元素克制。界面整体呈现清爽干净、专业可信的商务感，不堆砌装饰。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色彩体系与用色规则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品牌点缀色 #344d13（深橄榄绿）</w:t>
      </w:r>
      <w:r>
        <w:rPr>
          <w:rFonts w:eastAsia="等线" w:ascii="Arial" w:cs="Arial" w:hAnsi="Arial"/>
          <w:sz w:val="22"/>
        </w:rPr>
        <w:t>：仅用于小面积强调场景——Logo、主操作按钮、选中/激活态、链接文字、关键徽标、图表强调色。</w:t>
      </w:r>
      <w:r>
        <w:rPr>
          <w:rFonts w:eastAsia="等线" w:ascii="Arial" w:cs="Arial" w:hAnsi="Arial"/>
          <w:b w:val="true"/>
          <w:sz w:val="22"/>
        </w:rPr>
        <w:t>禁止</w:t>
      </w:r>
      <w:r>
        <w:rPr>
          <w:rFonts w:eastAsia="等线" w:ascii="Arial" w:cs="Arial" w:hAnsi="Arial"/>
          <w:sz w:val="22"/>
        </w:rPr>
        <w:t>用于大面积背景、侧边栏底色、导航底色、整块卡片填充。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大面积底色</w:t>
      </w:r>
      <w:r>
        <w:rPr>
          <w:rFonts w:eastAsia="等线" w:ascii="Arial" w:cs="Arial" w:hAnsi="Arial"/>
          <w:sz w:val="22"/>
        </w:rPr>
        <w:t>：浅色中性。页面底 #f5f7fa，卡片底 #ffffff。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中性主操作色</w:t>
      </w:r>
      <w:r>
        <w:rPr>
          <w:rFonts w:eastAsia="等线" w:ascii="Arial" w:cs="Arial" w:hAnsi="Arial"/>
          <w:sz w:val="22"/>
        </w:rPr>
        <w:t>：低饱和蓝灰 #4a5c7a，用于次级强调与图表基础配色，与 #344d13 点缀色形成层次。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状态色</w:t>
      </w:r>
      <w:r>
        <w:rPr>
          <w:rFonts w:eastAsia="等线" w:ascii="Arial" w:cs="Arial" w:hAnsi="Arial"/>
          <w:sz w:val="22"/>
        </w:rPr>
        <w:t>：沿用既有定义（success / warning / danger / info 及预警三色），不与点缀色冲突。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卡片与布局语言</w:t>
      </w:r>
      <w:r>
        <w:rPr>
          <w:rFonts w:eastAsia="等线" w:ascii="Arial" w:cs="Arial" w:hAnsi="Arial"/>
          <w:sz w:val="22"/>
        </w:rPr>
        <w:t>：内容以卡片/组件分区呈现，卡片圆角 6px、卡片间隙约 12px、卡片间留白清晰；信息块边界明确，避免视觉拥挤。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给 AI 开发的用色比例指引</w:t>
      </w:r>
      <w:r>
        <w:rPr>
          <w:rFonts w:eastAsia="等线" w:ascii="Arial" w:cs="Arial" w:hAnsi="Arial"/>
          <w:sz w:val="22"/>
        </w:rPr>
        <w:t>：任何界面中 #344d13 出现的面积占比应远小于 10%，仅作强调用途；大面积场景一律使用浅色中性底色。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风格参照</w:t>
      </w:r>
      <w:r>
        <w:rPr>
          <w:rFonts w:eastAsia="等线" w:ascii="Arial" w:cs="Arial" w:hAnsi="Arial"/>
          <w:sz w:val="22"/>
        </w:rPr>
        <w:t>：帆软 FineBI 官方文档「平台样式」与产品白皮书「商务简洁的视觉风格」表述。FineBI 仅作风格参照（布局语言与视觉气质），不照搬其界面结构。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8.1 设计规范变量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以下变量可直接采用（色板基于 Element Plus 主题变量扩展，降低 AI 实现偏差）：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00"/>
        <w:gridCol w:w="2520"/>
        <w:gridCol w:w="3645"/>
      </w:tblGrid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变量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取值与用途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品牌点缀色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brand-accent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#344d13（深橄榄绿）——仅用于小面积强调：Logo、主操作按钮、选中/激活态、链接文字、关键徽标、图表强调色；禁止大面积使用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中性主操作色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primary / secondary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#4a5c7a（低饱和蓝灰）——次级强调、图表基础配色、通用按钮 hover 态；与品牌点缀色形成层次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状态色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 / warning / danger / info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#67C23A / #E6A23C / #F56C6C / #909399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预警专用色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预警黄 / 预警橙 / 预警红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#FADB14 / #FA8C16 / #F56C6C（对应一级/二级/三级停留预警徽标，见 6.3）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中性色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文字主/次/占位、边框、背景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#303133 / #606266 / #A8ABB2、#DCDFE6、#F5F7FA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字号层级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页面标题/区块标题/正文/辅助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20px / 16px / 14px / 12px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间距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基础单位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的倍数（4 / 8 / 12 / 16 / 24），卡片内边距 16，区块间距 24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圆角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 / 卡片 / 弹窗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4px / 6px / 8px</w:t>
            </w:r>
          </w:p>
        </w:tc>
      </w:tr>
      <w:tr>
        <w:tc>
          <w:tcPr>
            <w:tcW w:w="21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行高 / 表头 / 斑马纹</w:t>
            </w:r>
          </w:p>
        </w:tc>
        <w:tc>
          <w:tcPr>
            <w:tcW w:w="36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40px、表头 #F5F7FA 加粗、奇偶行 #FAFAFA 交替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Element Plus 主题变量映射建议</w:t>
      </w:r>
      <w:r>
        <w:rPr>
          <w:rFonts w:eastAsia="等线" w:ascii="Arial" w:cs="Arial" w:hAnsi="Arial"/>
          <w:sz w:val="22"/>
        </w:rPr>
        <w:t>：--el-color-primary 设为 #344d13（用于主按钮、链接、选中态），--el-color-primary-light-3 / light-5 / light-7 / light-9 按 #344d13 同比例生成浅色调；通用按钮 hover、图表基础配色使用 #4a5c7a；其余状态色（success / warning / danger / info）保持原值不变。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8.2 表格组件</w:t>
      </w:r>
      <w:bookmarkEnd w:id="44"/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分页</w:t>
      </w:r>
      <w:r>
        <w:rPr>
          <w:rFonts w:eastAsia="等线" w:ascii="Arial" w:cs="Arial" w:hAnsi="Arial"/>
          <w:sz w:val="22"/>
        </w:rPr>
        <w:t>：右下角分页器，默认 20 条/页，可选 10/20/50/100；显示「共 N 条」；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排序</w:t>
      </w:r>
      <w:r>
        <w:rPr>
          <w:rFonts w:eastAsia="等线" w:ascii="Arial" w:cs="Arial" w:hAnsi="Arial"/>
          <w:sz w:val="22"/>
        </w:rPr>
        <w:t>：文本/数值/日期列表头可排序，升序降序图标切换，服务端排序；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列宽</w:t>
      </w:r>
      <w:r>
        <w:rPr>
          <w:rFonts w:eastAsia="等线" w:ascii="Arial" w:cs="Arial" w:hAnsi="Arial"/>
          <w:sz w:val="22"/>
        </w:rPr>
        <w:t>：默认列宽按内容类型预设（名称列 240、金额列 120 右对齐千分位、日期列 110）；用户可拖拽调整，本次会话内记忆；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列显示配置</w:t>
      </w:r>
      <w:r>
        <w:rPr>
          <w:rFonts w:eastAsia="等线" w:ascii="Arial" w:cs="Arial" w:hAnsi="Arial"/>
          <w:sz w:val="22"/>
        </w:rPr>
        <w:t>：表格右上角齿轮图标 → 下拉勾选要显示的列（含自定义字段列，见 7.1）；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固定操作列</w:t>
      </w:r>
      <w:r>
        <w:rPr>
          <w:rFonts w:eastAsia="等线" w:ascii="Arial" w:cs="Arial" w:hAnsi="Arial"/>
          <w:sz w:val="22"/>
        </w:rPr>
        <w:t>：行操作列固定右侧，≤3 个按钮直接展示，超过折叠进「⋯」菜单；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加载</w:t>
      </w:r>
      <w:r>
        <w:rPr>
          <w:rFonts w:eastAsia="等线" w:ascii="Arial" w:cs="Arial" w:hAnsi="Arial"/>
          <w:sz w:val="22"/>
        </w:rPr>
        <w:t>：≥800ms 的请求显示行骨架屏（禁止整页白屏转圈）。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8.3 筛选器组件</w:t>
      </w:r>
      <w:bookmarkEnd w:id="45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</w:t>
      </w:r>
      <w:r>
        <w:rPr>
          <w:rFonts w:eastAsia="等线" w:ascii="Arial" w:cs="Arial" w:hAnsi="Arial"/>
          <w:sz w:val="22"/>
        </w:rPr>
        <w:t>：列表内容区顶部一行，常用筛选（状态、负责人、日期范围）平铺；其余收进右侧「更多筛选」按钮，点击展开第二行并带「清空」；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组合逻辑</w:t>
      </w:r>
      <w:r>
        <w:rPr>
          <w:rFonts w:eastAsia="等线" w:ascii="Arial" w:cs="Arial" w:hAnsi="Arial"/>
          <w:sz w:val="22"/>
        </w:rPr>
        <w:t>：多条件之间为 AND 关系；筛选生效后筛选区下方显示条件标签（可单独 × 移除）；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控件映射</w:t>
      </w:r>
      <w:r>
        <w:rPr>
          <w:rFonts w:eastAsia="等线" w:ascii="Arial" w:cs="Arial" w:hAnsi="Arial"/>
          <w:sz w:val="22"/>
        </w:rPr>
        <w:t>：与 7.1 字段类型-筛选控件表一致；筛选条件变更即触发查询（带 300ms 防抖），或点「查询」按钮（二选一，全系统统一为点「查询」触发，避免频繁请求）。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8.4 表单组件</w:t>
      </w:r>
      <w:bookmarkEnd w:id="46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分组</w:t>
      </w:r>
      <w:r>
        <w:rPr>
          <w:rFonts w:eastAsia="等线" w:ascii="Arial" w:cs="Arial" w:hAnsi="Arial"/>
          <w:sz w:val="22"/>
        </w:rPr>
        <w:t>：长表单按业务含义拆成多张分组卡片（如「基本信息 / 联系方式 / 自定义字段」），每组可折叠；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必填标识</w:t>
      </w:r>
      <w:r>
        <w:rPr>
          <w:rFonts w:eastAsia="等线" w:ascii="Arial" w:cs="Arial" w:hAnsi="Arial"/>
          <w:sz w:val="22"/>
        </w:rPr>
        <w:t>：label 前红色星号；条件必填字段按 6.5 / 7.1 规则动态出现星号；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校验提示</w:t>
      </w:r>
      <w:r>
        <w:rPr>
          <w:rFonts w:eastAsia="等线" w:ascii="Arial" w:cs="Arial" w:hAnsi="Arial"/>
          <w:sz w:val="22"/>
        </w:rPr>
        <w:t>：失焦即时校验，错误时输入框红框 + 下方 12px 红字；提交时滚动到第一个错误字段并聚焦；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操作条</w:t>
      </w:r>
      <w:r>
        <w:rPr>
          <w:rFonts w:eastAsia="等线" w:ascii="Arial" w:cs="Arial" w:hAnsi="Arial"/>
          <w:sz w:val="22"/>
        </w:rPr>
        <w:t>：抽屉/弹窗表单底部固定操作条（保存 / 取消），主按钮居右；整页表单右上角保存按钮。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8.5 抽屉与弹窗的使用划分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3030"/>
        <w:gridCol w:w="3585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容器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规格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适用场景（页面）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抽屉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右侧滑入，宽 480px，可带遮罩点击关闭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轻量新建/编辑（P09 线索、P17 方案、P07 客户联系人）、行为记录（P16）、通知中心（P03）、审批处理（P04）、字段配置面板（P38）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弹窗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居中，宽 ≤560px，遮罩强制不可穿透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确认类与拦截提示（6.1 / 6.6）、失效申请（P25）、映射向导（P36）、短表单（分配弹窗 6.4）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硬性规则</w:t>
      </w:r>
      <w:r>
        <w:rPr>
          <w:rFonts w:eastAsia="等线" w:ascii="Arial" w:cs="Arial" w:hAnsi="Arial"/>
          <w:sz w:val="22"/>
        </w:rPr>
        <w:t>：禁止弹窗套弹窗（弹窗内再开弹窗一律改为页面内步骤切换或抽屉）；抽屉内不打开新抽屉，改为抽屉内页签切换。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8.6 文件上传</w:t>
      </w:r>
      <w:bookmarkEnd w:id="48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支持格式</w:t>
      </w:r>
      <w:r>
        <w:rPr>
          <w:rFonts w:eastAsia="等线" w:ascii="Arial" w:cs="Arial" w:hAnsi="Arial"/>
          <w:sz w:val="22"/>
        </w:rPr>
        <w:t>：PDF、Word、PPT、图片（依据 M5-R4 方案文件管理）；单文件上限 50MB；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</w:t>
      </w:r>
      <w:r>
        <w:rPr>
          <w:rFonts w:eastAsia="等线" w:ascii="Arial" w:cs="Arial" w:hAnsi="Arial"/>
          <w:sz w:val="22"/>
        </w:rPr>
        <w:t>：点击/拖拽上传，上传中显示进度条，完成显示文件卡片（图标 + 名称 + 大小 + 上传时间 + 操作人）；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</w:t>
      </w:r>
      <w:r>
        <w:rPr>
          <w:rFonts w:eastAsia="等线" w:ascii="Arial" w:cs="Arial" w:hAnsi="Arial"/>
          <w:sz w:val="22"/>
        </w:rPr>
        <w:t>：卡片上「预览 / 下载 / 删除」，删除需确认；预览在新标签页打开原文件。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8.7 消息通知（站内信 / 角标）</w:t>
      </w:r>
      <w:bookmarkEnd w:id="49"/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入口</w:t>
      </w:r>
      <w:r>
        <w:rPr>
          <w:rFonts w:eastAsia="等线" w:ascii="Arial" w:cs="Arial" w:hAnsi="Arial"/>
          <w:sz w:val="22"/>
        </w:rPr>
        <w:t>：顶栏铃铛（2.4）；未读数角标，超过 99 显示「99+」；点击打开通知中心抽屉（最近 20 条 + 「查看全部」进 P03 整页）；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通知项结构</w:t>
      </w:r>
      <w:r>
        <w:rPr>
          <w:rFonts w:eastAsia="等线" w:ascii="Arial" w:cs="Arial" w:hAnsi="Arial"/>
          <w:sz w:val="22"/>
        </w:rPr>
        <w:t>：图标（按业务类型）+ 标题 + 摘要 + 时间；未读点标识（品牌点缀色）；整页 P03 支持「全部已读 / 按类型筛选 / 已读未读切换」；点击通知直达对应详情页（商机 / 审批 / 公海分配记录）；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触发时机</w:t>
      </w:r>
      <w:r>
        <w:rPr>
          <w:rFonts w:eastAsia="等线" w:ascii="Arial" w:cs="Arial" w:hAnsi="Arial"/>
          <w:sz w:val="22"/>
        </w:rPr>
        <w:t>（与 6.3 / 6.4 / 6.5 对齐）：失效申请提交与审批结果、公海分配结果、审批待办、预警分级通知、配置发布（全员）。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8.8 空状态与加载状态</w:t>
      </w:r>
      <w:bookmarkEnd w:id="50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空状态</w:t>
      </w:r>
      <w:r>
        <w:rPr>
          <w:rFonts w:eastAsia="等线" w:ascii="Arial" w:cs="Arial" w:hAnsi="Arial"/>
          <w:sz w:val="22"/>
        </w:rPr>
        <w:t>：插画 + 一句主文案 + 引导按钮（如「暂无商机，去新建商机」）；筛选无结果显示「未找到匹配结果，清空筛选条件试试」+「清空」按钮；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加载</w:t>
      </w:r>
      <w:r>
        <w:rPr>
          <w:rFonts w:eastAsia="等线" w:ascii="Arial" w:cs="Arial" w:hAnsi="Arial"/>
          <w:sz w:val="22"/>
        </w:rPr>
        <w:t>：列表/卡片骨架屏两种形态（8.2）；按钮提交后进入 loading 并防重复提交；页面切换使用顶部 2px 品牌色进度条；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后台任务</w:t>
      </w:r>
      <w:r>
        <w:rPr>
          <w:rFonts w:eastAsia="等线" w:ascii="Arial" w:cs="Arial" w:hAnsi="Arial"/>
          <w:sz w:val="22"/>
        </w:rPr>
        <w:t>：报表导出等预计超过 30 秒的操作转为后台任务，完成后通过通知中心告知并附下载链接，页面不阻塞。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九、其他系统管理页面说明（P28–P32、P39–P44）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以下页面复用第四章标准模板，本节仅列差异化要点：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P28 用户管理</w:t>
      </w:r>
      <w:r>
        <w:rPr>
          <w:rFonts w:eastAsia="等线" w:ascii="Arial" w:cs="Arial" w:hAnsi="Arial"/>
          <w:sz w:val="22"/>
        </w:rPr>
        <w:t>（M10-R1）：标准列表页 + 新建 / 编辑抽屉；列表展示姓名 / 账号 / 角色 / 所属部门 / 状态，操作含新增、编辑、禁用与重置密码；禁用账号保留其历史数据归属，不提供删除入口。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P29 系统参数配置</w:t>
      </w:r>
      <w:r>
        <w:rPr>
          <w:rFonts w:eastAsia="等线" w:ascii="Arial" w:cs="Arial" w:hAnsi="Arial"/>
          <w:sz w:val="22"/>
        </w:rPr>
        <w:t>（M10-R3）：整页表单，含四个配置页签。公海规则（M6-R6）：保护期天数、是否开启领取模式（开关，默认关，决策 G）、领取上限（商机总数 20 / 在跟 5 / 每日 5）、线索自动回收天数（60，决策 K），开关类变更保存即生效并记入配置日志，不需要二次确认；预警规则（M7-R1）：三级阈值天数（7/14/21）可调、各级触达对象与渠道勾选，保存需二次确认（影响摘要=「新阈值将于次日 0 点对全部在途商机生效」，PRD 5.3）；跟进提醒（M4-R3）：提醒生成规则（下次跟进时间到期日）与提醒渠道；审批流程（M8-R2）：失效审批的审批人范围（直属主管 + 管理层）与通知对象勾选，本版本为固定两级审批，界面预留多级配置的扩展位（不做实现）；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P30 登录方式配置</w:t>
      </w:r>
      <w:r>
        <w:rPr>
          <w:rFonts w:eastAsia="等线" w:ascii="Arial" w:cs="Arial" w:hAnsi="Arial"/>
          <w:sz w:val="22"/>
        </w:rPr>
        <w:t>（M10-R6）：标准表单页，默认用户名密码登录；提供企业 AD/LDAP 对接配置（服务器地址 / Base DN / 映射规则），配置完成后可切换为 AD/LDAP 登录；切换由配置驱动，登录页（P01）自动替换为域账号登录形态。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P31 数据备份</w:t>
      </w:r>
      <w:r>
        <w:rPr>
          <w:rFonts w:eastAsia="等线" w:ascii="Arial" w:cs="Arial" w:hAnsi="Arial"/>
          <w:sz w:val="22"/>
        </w:rPr>
        <w:t>（M10-R4）：整页，支持手动立即备份与自动备份策略配置，含备份记录列表与下载入口。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P32 操作日志</w:t>
      </w:r>
      <w:r>
        <w:rPr>
          <w:rFonts w:eastAsia="等线" w:ascii="Arial" w:cs="Arial" w:hAnsi="Arial"/>
          <w:sz w:val="22"/>
        </w:rPr>
        <w:t>（M10-R5）：标准列表页，字段为时间 / 操作人 / 对象 / 动作 / 详情，仅查询与导出、无编辑入口；按「业务操作 / 配置变更」页签分组。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P39 角色列表</w:t>
      </w:r>
      <w:r>
        <w:rPr>
          <w:rFonts w:eastAsia="等线" w:ascii="Arial" w:cs="Arial" w:hAnsi="Arial"/>
          <w:sz w:val="22"/>
        </w:rPr>
        <w:t>（M13-R1、M13-R2）：左树右表布局，左侧 7+1 预置角色树（2.2 权限矩阵），右侧展示角色成员与权限摘要；预置角色不可删除，可基于预置角色复制新建（PRD 2.3 角色配置化）。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P40 角色编辑</w:t>
      </w:r>
      <w:r>
        <w:rPr>
          <w:rFonts w:eastAsia="等线" w:ascii="Arial" w:cs="Arial" w:hAnsi="Arial"/>
          <w:sz w:val="22"/>
        </w:rPr>
        <w:t>（M13-R3、M13-R4、M13-R5）：功能矩阵 / 数据范围 / 共享规则三页签；功能矩阵按模块展示操作权限勾选（查看 / 新建 / 编辑 / 删除 / 分配 / 导出 / 配置），数据范围选择五级（本人 / 本部门 / 本部门及下级 / 全部 / 自定义）；权限删除类变更走 6.6 二次确认；新增「行为记录跨角色可见」开关：位于权限矩阵「销售行为记录」模块行，默认关闭，开启后该角色成员可查看其他角色创建的行为记录（仍受数据权限范围约束，见 PRD 2.3.7）。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P41 系统字典管理</w:t>
      </w:r>
      <w:r>
        <w:rPr>
          <w:rFonts w:eastAsia="等线" w:ascii="Arial" w:cs="Arial" w:hAnsi="Arial"/>
          <w:sz w:val="22"/>
        </w:rPr>
        <w:t>（左树右表）：左侧字典分类树（线索来源、客户行业、失败原因等，M14-R1），右侧字典项列表（值 / 排序 / 启停 / 引用数）；引用数列点击可查看引用明细；删除规则见 7.3；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P42 视图配置面板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等线" w:ascii="Arial" w:cs="Arial" w:hAnsi="Arial"/>
          <w:b w:val="true"/>
          <w:sz w:val="22"/>
        </w:rPr>
        <w:t>P43 报表模板配置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等线" w:ascii="Arial" w:cs="Arial" w:hAnsi="Arial"/>
          <w:b w:val="true"/>
          <w:sz w:val="22"/>
        </w:rPr>
        <w:t>P44 报表订阅管理</w:t>
      </w:r>
      <w:r>
        <w:rPr>
          <w:rFonts w:eastAsia="等线" w:ascii="Arial" w:cs="Arial" w:hAnsi="Arial"/>
          <w:sz w:val="22"/>
        </w:rPr>
        <w:t>（M15-R1–R6）：P42 为抽屉，配置列显示与顺序、筛选条件、排序规则、默认范围、每页条数，支持默认 / 个人 / 共享三类视图（见 4.9）；P43 为整页，配置报表模板的维度、筛选条件、图表类型（见 5.8）；P44 为整页，展示报表订阅列表并提供新增订阅（频率 / 收件人 / 格式），报表支持导出 Excel / PDF。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十、待确认项与追溯</w:t>
      </w:r>
      <w:bookmarkEnd w:id="5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10.1 待确认项（U1–U6）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 PRD 存在界面层面未明确、且本文档未替用户决策的缺口。在确认前，AI 开发按「本文档默认处理」执行，确认后修订本文档：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10"/>
        <w:gridCol w:w="2985"/>
        <w:gridCol w:w="4485"/>
      </w:tblGrid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待确认问题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本文档默认处理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U1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是否需要适配移动端（响应式或独立 App）？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本期不做移动端适配，桌面优先，最低分辨率 1280×720（1.3 节）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U2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工作台首页（P02）的内容构成：PRD 未定义首页模块清单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按「我的预警商机（3 级置顶）/ 待办（审批、待跟进）/ 快捷入口」三卡片实现，可后续按角色扩展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U3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审批中心（P04）是否需要「批量审批」能力？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本期仅单条审批（通过/驳回），不做批量操作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U4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客户/线索查重的交互时机：输入时自动检测还是提交时校验？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新建表单失焦时自动检测，命中即弹提示列表（可选「查看已有记录 / 仍要新建」）；确认后如需调整按 PRD M1/M2 条目修订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U5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中性主操作色的具体色值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默认方案：低饱和蓝灰 #4a5c7a；AI 开发先按默认实现，用户可在开发途中确认调整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U6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暗色模式是否支持？</w:t>
            </w:r>
          </w:p>
        </w:tc>
        <w:tc>
          <w:tcPr>
            <w:tcW w:w="4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本期不做暗色模式，仅提供浅色主题，与 FineBI 单主题默认一致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10.2 模块—页面追溯矩阵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用于交付验收对照：每个 PRD 模块（M1–M16）对应的页面编号与核心需求条目。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95"/>
        <w:gridCol w:w="1575"/>
        <w:gridCol w:w="3810"/>
      </w:tblGrid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PRD 模块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核心需求条目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 客户管理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P05 / P06 / P07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M1-R1 客户新增、M1-R2 编辑、M1-R3 查重、M1-R4 多联系人、M1-R5 分级、M1-R6 转公海、M1-R7 客户 360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 线索管理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P08 / P09 / P10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M2-R1 线索录入、M2-R2 线索列表、M2-R3 分配、M2-R4 转商机、M2-R5 回收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M3 商机管理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P11 / P12 / P13 / P14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M3-R1 商机创建、M3-R2 阶段推进、M3-R3 阶段回退、M3-R4 赢单关闭、M3-R5 失败关闭、M3-R6 商机列表、M3-R7 商机详情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M4 销售行为记录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P15 / P16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M4-R1 行为记录新增、M4-R2 记录列表、M4-R3 提醒、M4-R4 统计、M4-R5–R9 多角色协作与可见性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M5 方案与报价管理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P17 / P18 / P19 / P20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M5-R1 方案上传、M5-R2 报价上传、M5-R3 产品价格、M5-R4 查看、M5-R5 竞争对手记录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M6 公海管理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P21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M6-R1 公海池、M6-R2 领取、M6-R3 分配、M6-R4 领取限制、M6-R5 保护期、M6-R6 自动回收、M6-R7 自动分配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 停滞预警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P22 / P23 / P24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M7-R1 预警检测、M7-R2 预警通知、M7-R3 预警解除、M7-R4 未推进列表、M7-R5 停滞说明、M7-R6 自动回落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M8 商机失效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P25 / P26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M8-R1 失效申请、M8-R2 失效审批、M8-R3 失效通知、M8-R4 失效记录、M8-R5 二次跟进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M9 报表复盘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P27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M9-R1 漏斗报表、M9-R2 停滞复盘、M9-R3 失效复盘、M9-R4 销售个人报表、M9-R5 团队报表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M10 系统管理与权限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P28 / P29 / P30 / P31 / P32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M10-R1 用户管理、M10-R2 角色权限配置、M10-R3 预警阈值配置、M10-R4 数据备份、M10-R5 操作日志、M10-R6 登录方式配置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M11 漏斗配置管理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P33 / P34 / P35 / P36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M11-R1 阶段列表、M11-R2 阶段定义、M11-R3 阶段规则、M11-R4 预警阈值、M11-R5 存量处理、M11-R6 版本留痕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M12 自定义字段管理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P37 / P38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M12-R1 字段定义、M12-R2 字段属性、M12-R3 阶段联动、M12-R4 列表/筛选/报表引用、M12-R5 系统字段、M12-R6 变更审计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M13 角色与权限配置管理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P39 / P40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M13-R1 预置角色、M13-R2 自定义角色、M13-R3 功能权限矩阵、M13-R4 数据权限、M13-R5 权限变更影响、M13-R6 与阶段配置联动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M14 系统字典管理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P41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M14-R1 字典维护、M14-R2 引用关系、M14-R3 版本快照、M14-R4 默认预置字典、M14-R5 字段联动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M15 视图与报表配置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P42 / P43 / P44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M15-R1 视图能力、M15-R2 视图配置项、M15-R3 自定义列、M15-R4 批量操作、M15-R5 报表模板、M15-R6 订阅与导出</w:t>
            </w:r>
          </w:p>
        </w:tc>
      </w:tr>
      <w:tr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M16 实施配置向导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P45 / P46</w:t>
            </w:r>
          </w:p>
        </w:tc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M16-R1 初始化向导、M16-R2 模板导出、M16-R3 模板导入、M16-R4 版本管理、M16-R5 出厂模板、M16-R6 多企业隔离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10.3 术语表</w:t>
      </w:r>
      <w:bookmarkEnd w:id="55"/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生效配置</w:t>
      </w:r>
      <w:r>
        <w:rPr>
          <w:rFonts w:eastAsia="等线" w:ascii="Arial" w:cs="Arial" w:hAnsi="Arial"/>
          <w:sz w:val="22"/>
        </w:rPr>
        <w:t>：漏斗配置当前发布版本中的阶段与规则集合，界面结构渲染依据；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快照（stage_name_snapshot）</w:t>
      </w:r>
      <w:r>
        <w:rPr>
          <w:rFonts w:eastAsia="等线" w:ascii="Arial" w:cs="Arial" w:hAnsi="Arial"/>
          <w:sz w:val="22"/>
        </w:rPr>
        <w:t>：推进记录保存时的阶段名称副本，历史数据展示依据（7.2）；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StageActionRule</w:t>
      </w:r>
      <w:r>
        <w:rPr>
          <w:rFonts w:eastAsia="等线" w:ascii="Arial" w:cs="Arial" w:hAnsi="Arial"/>
          <w:sz w:val="22"/>
        </w:rPr>
        <w:t>：阶段推进校验规则，定义每个阶段的完成项清单（PRD 4.5）；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保护期</w:t>
      </w:r>
      <w:r>
        <w:rPr>
          <w:rFonts w:eastAsia="等线" w:ascii="Arial" w:cs="Arial" w:hAnsi="Arial"/>
          <w:sz w:val="22"/>
        </w:rPr>
        <w:t>：商机退回公海后原负责人不可领回的时间窗（默认 3 天）；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映射向导（P36）</w:t>
      </w:r>
      <w:r>
        <w:rPr>
          <w:rFonts w:eastAsia="等线" w:ascii="Arial" w:cs="Arial" w:hAnsi="Arial"/>
          <w:sz w:val="22"/>
        </w:rPr>
        <w:t>：阶段停用/删除后，将存量商机迁移至新阶段的强制流程。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</w:pPr>
    </w:p>
    <w:p>
      <w:pPr>
        <w:pStyle w:val="1"/>
        <w:spacing w:before="380" w:after="140"/>
        <w:jc w:val="center"/>
        <w:outlineLvl w:val="0"/>
      </w:pPr>
      <w:commentRangeStart w:id="1"/>
      <w:r>
        <w:rPr>
          <w:rFonts w:eastAsia="等线" w:ascii="Arial" w:cs="Arial" w:hAnsi="Arial"/>
          <w:b w:val="true"/>
          <w:sz w:val="36"/>
        </w:rPr>
        <w:t>全文评论</w:t>
      </w:r>
      <w:commentRangeEnd w:id="1"/>
      <w:r>
        <w:commentReference w:id="1"/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comments.xml><?xml version="1.0" encoding="utf-8"?>
<w:comments xmlns:w="http://schemas.openxmlformats.org/wordprocessingml/2006/main">
  <w:comment w:id="1" w:date="2026-10-16T11:43:02.000+08:00" w:author="圣光弗兰克🌞">
    <w:p>
      <w:r>
        <w:t>CRM 界面设计文档同步 v1.4 完成。
本次变更范围：
1）商机详情页布局补充「分享/协作成员」入口与协作成员列表呈现；
2）行为记录抽屉补充「仅显示本人记录（默认）」呈现规则、他人记录有权限时的展示、分享操作的交互流程；
3）权限设置界面（P39）补充「行为记录跨角色可见性」开关呈现。
revision_id: 14
（由豆包工作伙伴发出）</w:t>
      </w:r>
    </w:p>
  </w:comment>
</w:comments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87576">
    <w:lvl>
      <w:numFmt w:val="bullet"/>
      <w:suff w:val="tab"/>
      <w:lvlText w:val="•"/>
      <w:rPr>
        <w:color w:val="3370ff"/>
      </w:rPr>
    </w:lvl>
  </w:abstractNum>
  <w:abstractNum w:abstractNumId="587577">
    <w:lvl>
      <w:numFmt w:val="bullet"/>
      <w:suff w:val="tab"/>
      <w:lvlText w:val="•"/>
      <w:rPr>
        <w:color w:val="3370ff"/>
      </w:rPr>
    </w:lvl>
  </w:abstractNum>
  <w:abstractNum w:abstractNumId="587578">
    <w:lvl>
      <w:numFmt w:val="bullet"/>
      <w:suff w:val="tab"/>
      <w:lvlText w:val="•"/>
      <w:rPr>
        <w:color w:val="3370ff"/>
      </w:rPr>
    </w:lvl>
  </w:abstractNum>
  <w:abstractNum w:abstractNumId="587579">
    <w:lvl>
      <w:numFmt w:val="bullet"/>
      <w:suff w:val="tab"/>
      <w:lvlText w:val="•"/>
      <w:rPr>
        <w:color w:val="3370ff"/>
      </w:rPr>
    </w:lvl>
  </w:abstractNum>
  <w:abstractNum w:abstractNumId="587580">
    <w:lvl>
      <w:numFmt w:val="bullet"/>
      <w:suff w:val="tab"/>
      <w:lvlText w:val="•"/>
      <w:rPr>
        <w:color w:val="3370ff"/>
      </w:rPr>
    </w:lvl>
  </w:abstractNum>
  <w:abstractNum w:abstractNumId="587581">
    <w:lvl>
      <w:numFmt w:val="bullet"/>
      <w:suff w:val="tab"/>
      <w:lvlText w:val="•"/>
      <w:rPr>
        <w:color w:val="3370ff"/>
      </w:rPr>
    </w:lvl>
  </w:abstractNum>
  <w:abstractNum w:abstractNumId="587582">
    <w:lvl>
      <w:numFmt w:val="bullet"/>
      <w:suff w:val="tab"/>
      <w:lvlText w:val="•"/>
      <w:rPr>
        <w:color w:val="3370ff"/>
      </w:rPr>
    </w:lvl>
  </w:abstractNum>
  <w:abstractNum w:abstractNumId="587583">
    <w:lvl>
      <w:numFmt w:val="bullet"/>
      <w:suff w:val="tab"/>
      <w:lvlText w:val="•"/>
      <w:rPr>
        <w:color w:val="3370ff"/>
      </w:rPr>
    </w:lvl>
  </w:abstractNum>
  <w:abstractNum w:abstractNumId="587584">
    <w:lvl>
      <w:numFmt w:val="bullet"/>
      <w:suff w:val="tab"/>
      <w:lvlText w:val="•"/>
      <w:rPr>
        <w:color w:val="3370ff"/>
      </w:rPr>
    </w:lvl>
  </w:abstractNum>
  <w:abstractNum w:abstractNumId="587585">
    <w:lvl>
      <w:numFmt w:val="bullet"/>
      <w:suff w:val="tab"/>
      <w:lvlText w:val="•"/>
      <w:rPr>
        <w:color w:val="3370ff"/>
      </w:rPr>
    </w:lvl>
  </w:abstractNum>
  <w:abstractNum w:abstractNumId="587586">
    <w:lvl>
      <w:numFmt w:val="bullet"/>
      <w:suff w:val="tab"/>
      <w:lvlText w:val="•"/>
      <w:rPr>
        <w:color w:val="3370ff"/>
      </w:rPr>
    </w:lvl>
  </w:abstractNum>
  <w:abstractNum w:abstractNumId="587587">
    <w:lvl>
      <w:numFmt w:val="bullet"/>
      <w:suff w:val="tab"/>
      <w:lvlText w:val="•"/>
      <w:rPr>
        <w:color w:val="3370ff"/>
      </w:rPr>
    </w:lvl>
  </w:abstractNum>
  <w:abstractNum w:abstractNumId="587588">
    <w:lvl>
      <w:numFmt w:val="bullet"/>
      <w:suff w:val="tab"/>
      <w:lvlText w:val="•"/>
      <w:rPr>
        <w:color w:val="3370ff"/>
      </w:rPr>
    </w:lvl>
  </w:abstractNum>
  <w:abstractNum w:abstractNumId="587589">
    <w:lvl>
      <w:numFmt w:val="bullet"/>
      <w:suff w:val="tab"/>
      <w:lvlText w:val="•"/>
      <w:rPr>
        <w:color w:val="3370ff"/>
      </w:rPr>
    </w:lvl>
  </w:abstractNum>
  <w:abstractNum w:abstractNumId="587590">
    <w:lvl>
      <w:numFmt w:val="bullet"/>
      <w:suff w:val="tab"/>
      <w:lvlText w:val="•"/>
      <w:rPr>
        <w:color w:val="3370ff"/>
      </w:rPr>
    </w:lvl>
  </w:abstractNum>
  <w:abstractNum w:abstractNumId="587591">
    <w:lvl>
      <w:start w:val="1"/>
      <w:numFmt w:val="decimal"/>
      <w:suff w:val="tab"/>
      <w:lvlText w:val="%1."/>
      <w:rPr>
        <w:color w:val="3370ff"/>
      </w:rPr>
    </w:lvl>
  </w:abstractNum>
  <w:abstractNum w:abstractNumId="587592">
    <w:lvl>
      <w:start w:val="2"/>
      <w:numFmt w:val="decimal"/>
      <w:suff w:val="tab"/>
      <w:lvlText w:val="%1."/>
      <w:rPr>
        <w:color w:val="3370ff"/>
      </w:rPr>
    </w:lvl>
  </w:abstractNum>
  <w:abstractNum w:abstractNumId="587593">
    <w:lvl>
      <w:start w:val="3"/>
      <w:numFmt w:val="decimal"/>
      <w:suff w:val="tab"/>
      <w:lvlText w:val="%1."/>
      <w:rPr>
        <w:color w:val="3370ff"/>
      </w:rPr>
    </w:lvl>
  </w:abstractNum>
  <w:abstractNum w:abstractNumId="587594">
    <w:lvl>
      <w:start w:val="4"/>
      <w:numFmt w:val="decimal"/>
      <w:suff w:val="tab"/>
      <w:lvlText w:val="%1."/>
      <w:rPr>
        <w:color w:val="3370ff"/>
      </w:rPr>
    </w:lvl>
  </w:abstractNum>
  <w:abstractNum w:abstractNumId="587595">
    <w:lvl>
      <w:numFmt w:val="bullet"/>
      <w:suff w:val="tab"/>
      <w:lvlText w:val="•"/>
      <w:rPr>
        <w:color w:val="3370ff"/>
      </w:rPr>
    </w:lvl>
  </w:abstractNum>
  <w:abstractNum w:abstractNumId="587596">
    <w:lvl>
      <w:numFmt w:val="bullet"/>
      <w:suff w:val="tab"/>
      <w:lvlText w:val="•"/>
      <w:rPr>
        <w:color w:val="3370ff"/>
      </w:rPr>
    </w:lvl>
  </w:abstractNum>
  <w:abstractNum w:abstractNumId="587597">
    <w:lvl>
      <w:numFmt w:val="bullet"/>
      <w:suff w:val="tab"/>
      <w:lvlText w:val="•"/>
      <w:rPr>
        <w:color w:val="3370ff"/>
      </w:rPr>
    </w:lvl>
  </w:abstractNum>
  <w:abstractNum w:abstractNumId="587598">
    <w:lvl>
      <w:numFmt w:val="bullet"/>
      <w:suff w:val="tab"/>
      <w:lvlText w:val="•"/>
      <w:rPr>
        <w:color w:val="3370ff"/>
      </w:rPr>
    </w:lvl>
  </w:abstractNum>
  <w:abstractNum w:abstractNumId="587599">
    <w:lvl>
      <w:numFmt w:val="bullet"/>
      <w:suff w:val="tab"/>
      <w:lvlText w:val="•"/>
      <w:rPr>
        <w:color w:val="3370ff"/>
      </w:rPr>
    </w:lvl>
  </w:abstractNum>
  <w:abstractNum w:abstractNumId="587600">
    <w:lvl>
      <w:numFmt w:val="bullet"/>
      <w:suff w:val="tab"/>
      <w:lvlText w:val="•"/>
      <w:rPr>
        <w:color w:val="3370ff"/>
      </w:rPr>
    </w:lvl>
  </w:abstractNum>
  <w:abstractNum w:abstractNumId="587601">
    <w:lvl>
      <w:numFmt w:val="bullet"/>
      <w:suff w:val="tab"/>
      <w:lvlText w:val="•"/>
      <w:rPr>
        <w:color w:val="3370ff"/>
      </w:rPr>
    </w:lvl>
  </w:abstractNum>
  <w:abstractNum w:abstractNumId="587602">
    <w:lvl>
      <w:numFmt w:val="bullet"/>
      <w:suff w:val="tab"/>
      <w:lvlText w:val="•"/>
      <w:rPr>
        <w:color w:val="3370ff"/>
      </w:rPr>
    </w:lvl>
  </w:abstractNum>
  <w:abstractNum w:abstractNumId="587603">
    <w:lvl>
      <w:numFmt w:val="bullet"/>
      <w:suff w:val="tab"/>
      <w:lvlText w:val="•"/>
      <w:rPr>
        <w:color w:val="3370ff"/>
      </w:rPr>
    </w:lvl>
  </w:abstractNum>
  <w:abstractNum w:abstractNumId="587604">
    <w:lvl>
      <w:numFmt w:val="bullet"/>
      <w:suff w:val="tab"/>
      <w:lvlText w:val="•"/>
      <w:rPr>
        <w:color w:val="3370ff"/>
      </w:rPr>
    </w:lvl>
  </w:abstractNum>
  <w:abstractNum w:abstractNumId="587605">
    <w:lvl>
      <w:numFmt w:val="bullet"/>
      <w:suff w:val="tab"/>
      <w:lvlText w:val="•"/>
      <w:rPr>
        <w:color w:val="3370ff"/>
      </w:rPr>
    </w:lvl>
  </w:abstractNum>
  <w:abstractNum w:abstractNumId="587606">
    <w:lvl>
      <w:numFmt w:val="bullet"/>
      <w:suff w:val="tab"/>
      <w:lvlText w:val="•"/>
      <w:rPr>
        <w:color w:val="3370ff"/>
      </w:rPr>
    </w:lvl>
  </w:abstractNum>
  <w:abstractNum w:abstractNumId="587607">
    <w:lvl>
      <w:numFmt w:val="bullet"/>
      <w:suff w:val="tab"/>
      <w:lvlText w:val="•"/>
      <w:rPr>
        <w:color w:val="3370ff"/>
      </w:rPr>
    </w:lvl>
  </w:abstractNum>
  <w:abstractNum w:abstractNumId="587608">
    <w:lvl>
      <w:numFmt w:val="bullet"/>
      <w:suff w:val="tab"/>
      <w:lvlText w:val="•"/>
      <w:rPr>
        <w:color w:val="3370ff"/>
      </w:rPr>
    </w:lvl>
  </w:abstractNum>
  <w:abstractNum w:abstractNumId="587609">
    <w:lvl>
      <w:numFmt w:val="bullet"/>
      <w:suff w:val="tab"/>
      <w:lvlText w:val="•"/>
      <w:rPr>
        <w:color w:val="3370ff"/>
      </w:rPr>
    </w:lvl>
  </w:abstractNum>
  <w:abstractNum w:abstractNumId="587610">
    <w:lvl>
      <w:numFmt w:val="bullet"/>
      <w:suff w:val="tab"/>
      <w:lvlText w:val="•"/>
      <w:rPr>
        <w:color w:val="3370ff"/>
      </w:rPr>
    </w:lvl>
  </w:abstractNum>
  <w:abstractNum w:abstractNumId="587611">
    <w:lvl>
      <w:numFmt w:val="bullet"/>
      <w:suff w:val="tab"/>
      <w:lvlText w:val="•"/>
      <w:rPr>
        <w:color w:val="3370ff"/>
      </w:rPr>
    </w:lvl>
  </w:abstractNum>
  <w:abstractNum w:abstractNumId="587612">
    <w:lvl>
      <w:numFmt w:val="bullet"/>
      <w:suff w:val="tab"/>
      <w:lvlText w:val="•"/>
      <w:rPr>
        <w:color w:val="3370ff"/>
      </w:rPr>
    </w:lvl>
  </w:abstractNum>
  <w:abstractNum w:abstractNumId="587613">
    <w:lvl>
      <w:numFmt w:val="bullet"/>
      <w:suff w:val="tab"/>
      <w:lvlText w:val="•"/>
      <w:rPr>
        <w:color w:val="3370ff"/>
      </w:rPr>
    </w:lvl>
  </w:abstractNum>
  <w:abstractNum w:abstractNumId="587614">
    <w:lvl>
      <w:numFmt w:val="bullet"/>
      <w:suff w:val="tab"/>
      <w:lvlText w:val="•"/>
      <w:rPr>
        <w:color w:val="3370ff"/>
      </w:rPr>
    </w:lvl>
  </w:abstractNum>
  <w:abstractNum w:abstractNumId="587615">
    <w:lvl>
      <w:numFmt w:val="bullet"/>
      <w:suff w:val="tab"/>
      <w:lvlText w:val="•"/>
      <w:rPr>
        <w:color w:val="3370ff"/>
      </w:rPr>
    </w:lvl>
  </w:abstractNum>
  <w:abstractNum w:abstractNumId="587616">
    <w:lvl>
      <w:numFmt w:val="bullet"/>
      <w:suff w:val="tab"/>
      <w:lvlText w:val="•"/>
      <w:rPr>
        <w:color w:val="3370ff"/>
      </w:rPr>
    </w:lvl>
  </w:abstractNum>
  <w:abstractNum w:abstractNumId="587617">
    <w:lvl>
      <w:numFmt w:val="bullet"/>
      <w:suff w:val="tab"/>
      <w:lvlText w:val="•"/>
      <w:rPr>
        <w:color w:val="3370ff"/>
      </w:rPr>
    </w:lvl>
  </w:abstractNum>
  <w:abstractNum w:abstractNumId="587618">
    <w:lvl>
      <w:numFmt w:val="bullet"/>
      <w:suff w:val="tab"/>
      <w:lvlText w:val="•"/>
      <w:rPr>
        <w:color w:val="3370ff"/>
      </w:rPr>
    </w:lvl>
  </w:abstractNum>
  <w:abstractNum w:abstractNumId="587619">
    <w:lvl>
      <w:numFmt w:val="bullet"/>
      <w:suff w:val="tab"/>
      <w:lvlText w:val="•"/>
      <w:rPr>
        <w:color w:val="3370ff"/>
      </w:rPr>
    </w:lvl>
  </w:abstractNum>
  <w:abstractNum w:abstractNumId="587620">
    <w:lvl>
      <w:numFmt w:val="bullet"/>
      <w:suff w:val="tab"/>
      <w:lvlText w:val="•"/>
      <w:rPr>
        <w:color w:val="3370ff"/>
      </w:rPr>
    </w:lvl>
  </w:abstractNum>
  <w:abstractNum w:abstractNumId="587621">
    <w:lvl>
      <w:numFmt w:val="bullet"/>
      <w:suff w:val="tab"/>
      <w:lvlText w:val="•"/>
      <w:rPr>
        <w:color w:val="3370ff"/>
      </w:rPr>
    </w:lvl>
  </w:abstractNum>
  <w:abstractNum w:abstractNumId="587622">
    <w:lvl>
      <w:numFmt w:val="bullet"/>
      <w:suff w:val="tab"/>
      <w:lvlText w:val="•"/>
      <w:rPr>
        <w:color w:val="3370ff"/>
      </w:rPr>
    </w:lvl>
  </w:abstractNum>
  <w:abstractNum w:abstractNumId="587623">
    <w:lvl>
      <w:numFmt w:val="bullet"/>
      <w:suff w:val="tab"/>
      <w:lvlText w:val="•"/>
      <w:rPr>
        <w:color w:val="3370ff"/>
      </w:rPr>
    </w:lvl>
  </w:abstractNum>
  <w:abstractNum w:abstractNumId="587624">
    <w:lvl>
      <w:numFmt w:val="bullet"/>
      <w:suff w:val="tab"/>
      <w:lvlText w:val="•"/>
      <w:rPr>
        <w:color w:val="3370ff"/>
      </w:rPr>
    </w:lvl>
  </w:abstractNum>
  <w:abstractNum w:abstractNumId="587625">
    <w:lvl>
      <w:numFmt w:val="bullet"/>
      <w:suff w:val="tab"/>
      <w:lvlText w:val="•"/>
      <w:rPr>
        <w:color w:val="3370ff"/>
      </w:rPr>
    </w:lvl>
  </w:abstractNum>
  <w:abstractNum w:abstractNumId="587626">
    <w:lvl>
      <w:numFmt w:val="bullet"/>
      <w:suff w:val="tab"/>
      <w:lvlText w:val="•"/>
      <w:rPr>
        <w:color w:val="3370ff"/>
      </w:rPr>
    </w:lvl>
  </w:abstractNum>
  <w:abstractNum w:abstractNumId="587627">
    <w:lvl>
      <w:numFmt w:val="bullet"/>
      <w:suff w:val="tab"/>
      <w:lvlText w:val="•"/>
      <w:rPr>
        <w:color w:val="3370ff"/>
      </w:rPr>
    </w:lvl>
  </w:abstractNum>
  <w:abstractNum w:abstractNumId="587628">
    <w:lvl>
      <w:numFmt w:val="bullet"/>
      <w:suff w:val="tab"/>
      <w:lvlText w:val="•"/>
      <w:rPr>
        <w:color w:val="3370ff"/>
      </w:rPr>
    </w:lvl>
  </w:abstractNum>
  <w:abstractNum w:abstractNumId="587629">
    <w:lvl>
      <w:numFmt w:val="bullet"/>
      <w:suff w:val="tab"/>
      <w:lvlText w:val="•"/>
      <w:rPr>
        <w:color w:val="3370ff"/>
      </w:rPr>
    </w:lvl>
  </w:abstractNum>
  <w:abstractNum w:abstractNumId="587630">
    <w:lvl>
      <w:numFmt w:val="bullet"/>
      <w:suff w:val="tab"/>
      <w:lvlText w:val="•"/>
      <w:rPr>
        <w:color w:val="3370ff"/>
      </w:rPr>
    </w:lvl>
  </w:abstractNum>
  <w:abstractNum w:abstractNumId="587631">
    <w:lvl>
      <w:numFmt w:val="bullet"/>
      <w:suff w:val="tab"/>
      <w:lvlText w:val="•"/>
      <w:rPr>
        <w:color w:val="3370ff"/>
      </w:rPr>
    </w:lvl>
  </w:abstractNum>
  <w:abstractNum w:abstractNumId="587632">
    <w:lvl>
      <w:numFmt w:val="bullet"/>
      <w:suff w:val="tab"/>
      <w:lvlText w:val="•"/>
      <w:rPr>
        <w:color w:val="3370ff"/>
      </w:rPr>
    </w:lvl>
  </w:abstractNum>
  <w:abstractNum w:abstractNumId="587633">
    <w:lvl>
      <w:numFmt w:val="bullet"/>
      <w:suff w:val="tab"/>
      <w:lvlText w:val="•"/>
      <w:rPr>
        <w:color w:val="3370ff"/>
      </w:rPr>
    </w:lvl>
  </w:abstractNum>
  <w:abstractNum w:abstractNumId="587634">
    <w:lvl>
      <w:start w:val="1"/>
      <w:numFmt w:val="decimal"/>
      <w:suff w:val="tab"/>
      <w:lvlText w:val="%1."/>
      <w:rPr>
        <w:color w:val="3370ff"/>
      </w:rPr>
    </w:lvl>
  </w:abstractNum>
  <w:abstractNum w:abstractNumId="587635">
    <w:lvl>
      <w:start w:val="2"/>
      <w:numFmt w:val="decimal"/>
      <w:suff w:val="tab"/>
      <w:lvlText w:val="%1."/>
      <w:rPr>
        <w:color w:val="3370ff"/>
      </w:rPr>
    </w:lvl>
  </w:abstractNum>
  <w:abstractNum w:abstractNumId="587636">
    <w:lvl>
      <w:start w:val="3"/>
      <w:numFmt w:val="decimal"/>
      <w:suff w:val="tab"/>
      <w:lvlText w:val="%1."/>
      <w:rPr>
        <w:color w:val="3370ff"/>
      </w:rPr>
    </w:lvl>
  </w:abstractNum>
  <w:abstractNum w:abstractNumId="587637">
    <w:lvl>
      <w:start w:val="4"/>
      <w:numFmt w:val="decimal"/>
      <w:suff w:val="tab"/>
      <w:lvlText w:val="%1."/>
      <w:rPr>
        <w:color w:val="3370ff"/>
      </w:rPr>
    </w:lvl>
  </w:abstractNum>
  <w:abstractNum w:abstractNumId="587638">
    <w:lvl>
      <w:start w:val="5"/>
      <w:numFmt w:val="decimal"/>
      <w:suff w:val="tab"/>
      <w:lvlText w:val="%1."/>
      <w:rPr>
        <w:color w:val="3370ff"/>
      </w:rPr>
    </w:lvl>
  </w:abstractNum>
  <w:abstractNum w:abstractNumId="587639">
    <w:lvl>
      <w:numFmt w:val="bullet"/>
      <w:suff w:val="tab"/>
      <w:lvlText w:val="•"/>
      <w:rPr>
        <w:color w:val="3370ff"/>
      </w:rPr>
    </w:lvl>
  </w:abstractNum>
  <w:abstractNum w:abstractNumId="587640">
    <w:lvl>
      <w:numFmt w:val="bullet"/>
      <w:suff w:val="tab"/>
      <w:lvlText w:val="•"/>
      <w:rPr>
        <w:color w:val="3370ff"/>
      </w:rPr>
    </w:lvl>
  </w:abstractNum>
  <w:abstractNum w:abstractNumId="587641">
    <w:lvl>
      <w:numFmt w:val="bullet"/>
      <w:suff w:val="tab"/>
      <w:lvlText w:val="•"/>
      <w:rPr>
        <w:color w:val="3370ff"/>
      </w:rPr>
    </w:lvl>
  </w:abstractNum>
  <w:abstractNum w:abstractNumId="587642">
    <w:lvl>
      <w:numFmt w:val="bullet"/>
      <w:suff w:val="tab"/>
      <w:lvlText w:val="•"/>
      <w:rPr>
        <w:color w:val="3370ff"/>
      </w:rPr>
    </w:lvl>
  </w:abstractNum>
  <w:abstractNum w:abstractNumId="587643">
    <w:lvl>
      <w:numFmt w:val="bullet"/>
      <w:suff w:val="tab"/>
      <w:lvlText w:val="•"/>
      <w:rPr>
        <w:color w:val="3370ff"/>
      </w:rPr>
    </w:lvl>
  </w:abstractNum>
  <w:abstractNum w:abstractNumId="587644">
    <w:lvl>
      <w:numFmt w:val="bullet"/>
      <w:suff w:val="tab"/>
      <w:lvlText w:val="•"/>
      <w:rPr>
        <w:color w:val="3370ff"/>
      </w:rPr>
    </w:lvl>
  </w:abstractNum>
  <w:abstractNum w:abstractNumId="587645">
    <w:lvl>
      <w:numFmt w:val="bullet"/>
      <w:suff w:val="tab"/>
      <w:lvlText w:val="•"/>
      <w:rPr>
        <w:color w:val="3370ff"/>
      </w:rPr>
    </w:lvl>
  </w:abstractNum>
  <w:abstractNum w:abstractNumId="587646">
    <w:lvl>
      <w:numFmt w:val="bullet"/>
      <w:suff w:val="tab"/>
      <w:lvlText w:val="•"/>
      <w:rPr>
        <w:color w:val="3370ff"/>
      </w:rPr>
    </w:lvl>
  </w:abstractNum>
  <w:abstractNum w:abstractNumId="587647">
    <w:lvl>
      <w:start w:val="1"/>
      <w:numFmt w:val="decimal"/>
      <w:suff w:val="tab"/>
      <w:lvlText w:val="%1."/>
      <w:rPr>
        <w:color w:val="3370ff"/>
      </w:rPr>
    </w:lvl>
  </w:abstractNum>
  <w:abstractNum w:abstractNumId="587648">
    <w:lvl>
      <w:start w:val="2"/>
      <w:numFmt w:val="decimal"/>
      <w:suff w:val="tab"/>
      <w:lvlText w:val="%1."/>
      <w:rPr>
        <w:color w:val="3370ff"/>
      </w:rPr>
    </w:lvl>
  </w:abstractNum>
  <w:abstractNum w:abstractNumId="587649">
    <w:lvl>
      <w:start w:val="3"/>
      <w:numFmt w:val="decimal"/>
      <w:suff w:val="tab"/>
      <w:lvlText w:val="%1."/>
      <w:rPr>
        <w:color w:val="3370ff"/>
      </w:rPr>
    </w:lvl>
  </w:abstractNum>
  <w:abstractNum w:abstractNumId="587650">
    <w:lvl>
      <w:numFmt w:val="bullet"/>
      <w:suff w:val="tab"/>
      <w:lvlText w:val="•"/>
      <w:rPr>
        <w:color w:val="3370ff"/>
      </w:rPr>
    </w:lvl>
  </w:abstractNum>
  <w:abstractNum w:abstractNumId="587651">
    <w:lvl>
      <w:numFmt w:val="bullet"/>
      <w:suff w:val="tab"/>
      <w:lvlText w:val="•"/>
      <w:rPr>
        <w:color w:val="3370ff"/>
      </w:rPr>
    </w:lvl>
  </w:abstractNum>
  <w:abstractNum w:abstractNumId="587652">
    <w:lvl>
      <w:numFmt w:val="bullet"/>
      <w:suff w:val="tab"/>
      <w:lvlText w:val="•"/>
      <w:rPr>
        <w:color w:val="3370ff"/>
      </w:rPr>
    </w:lvl>
  </w:abstractNum>
  <w:abstractNum w:abstractNumId="587653">
    <w:lvl>
      <w:numFmt w:val="bullet"/>
      <w:suff w:val="tab"/>
      <w:lvlText w:val="•"/>
      <w:rPr>
        <w:color w:val="3370ff"/>
      </w:rPr>
    </w:lvl>
  </w:abstractNum>
  <w:abstractNum w:abstractNumId="587654">
    <w:lvl>
      <w:numFmt w:val="bullet"/>
      <w:suff w:val="tab"/>
      <w:lvlText w:val="•"/>
      <w:rPr>
        <w:color w:val="3370ff"/>
      </w:rPr>
    </w:lvl>
  </w:abstractNum>
  <w:abstractNum w:abstractNumId="587655">
    <w:lvl>
      <w:numFmt w:val="bullet"/>
      <w:suff w:val="tab"/>
      <w:lvlText w:val="•"/>
      <w:rPr>
        <w:color w:val="3370ff"/>
      </w:rPr>
    </w:lvl>
  </w:abstractNum>
  <w:abstractNum w:abstractNumId="587656">
    <w:lvl>
      <w:numFmt w:val="bullet"/>
      <w:suff w:val="tab"/>
      <w:lvlText w:val="•"/>
      <w:rPr>
        <w:color w:val="3370ff"/>
      </w:rPr>
    </w:lvl>
  </w:abstractNum>
  <w:abstractNum w:abstractNumId="587657">
    <w:lvl>
      <w:numFmt w:val="bullet"/>
      <w:suff w:val="tab"/>
      <w:lvlText w:val="•"/>
      <w:rPr>
        <w:color w:val="3370ff"/>
      </w:rPr>
    </w:lvl>
  </w:abstractNum>
  <w:abstractNum w:abstractNumId="587658">
    <w:lvl>
      <w:start w:val="1"/>
      <w:numFmt w:val="decimal"/>
      <w:suff w:val="tab"/>
      <w:lvlText w:val="%1."/>
      <w:rPr>
        <w:color w:val="3370ff"/>
      </w:rPr>
    </w:lvl>
  </w:abstractNum>
  <w:abstractNum w:abstractNumId="587659">
    <w:lvl>
      <w:start w:val="2"/>
      <w:numFmt w:val="decimal"/>
      <w:suff w:val="tab"/>
      <w:lvlText w:val="%1."/>
      <w:rPr>
        <w:color w:val="3370ff"/>
      </w:rPr>
    </w:lvl>
  </w:abstractNum>
  <w:abstractNum w:abstractNumId="587660">
    <w:lvl>
      <w:start w:val="3"/>
      <w:numFmt w:val="decimal"/>
      <w:suff w:val="tab"/>
      <w:lvlText w:val="%1."/>
      <w:rPr>
        <w:color w:val="3370ff"/>
      </w:rPr>
    </w:lvl>
  </w:abstractNum>
  <w:abstractNum w:abstractNumId="587661">
    <w:lvl>
      <w:start w:val="4"/>
      <w:numFmt w:val="decimal"/>
      <w:suff w:val="tab"/>
      <w:lvlText w:val="%1."/>
      <w:rPr>
        <w:color w:val="3370ff"/>
      </w:rPr>
    </w:lvl>
  </w:abstractNum>
  <w:abstractNum w:abstractNumId="587662">
    <w:lvl>
      <w:numFmt w:val="bullet"/>
      <w:suff w:val="tab"/>
      <w:lvlText w:val="•"/>
      <w:rPr>
        <w:color w:val="3370ff"/>
      </w:rPr>
    </w:lvl>
  </w:abstractNum>
  <w:abstractNum w:abstractNumId="587663">
    <w:lvl>
      <w:numFmt w:val="bullet"/>
      <w:suff w:val="tab"/>
      <w:lvlText w:val="•"/>
      <w:rPr>
        <w:color w:val="3370ff"/>
      </w:rPr>
    </w:lvl>
  </w:abstractNum>
  <w:abstractNum w:abstractNumId="587664">
    <w:lvl>
      <w:numFmt w:val="bullet"/>
      <w:suff w:val="tab"/>
      <w:lvlText w:val="•"/>
      <w:rPr>
        <w:color w:val="3370ff"/>
      </w:rPr>
    </w:lvl>
  </w:abstractNum>
  <w:abstractNum w:abstractNumId="587665">
    <w:lvl>
      <w:numFmt w:val="bullet"/>
      <w:suff w:val="tab"/>
      <w:lvlText w:val="•"/>
      <w:rPr>
        <w:color w:val="3370ff"/>
      </w:rPr>
    </w:lvl>
  </w:abstractNum>
  <w:abstractNum w:abstractNumId="587666">
    <w:lvl>
      <w:numFmt w:val="bullet"/>
      <w:suff w:val="tab"/>
      <w:lvlText w:val="•"/>
      <w:rPr>
        <w:color w:val="3370ff"/>
      </w:rPr>
    </w:lvl>
  </w:abstractNum>
  <w:abstractNum w:abstractNumId="587667">
    <w:lvl>
      <w:numFmt w:val="bullet"/>
      <w:suff w:val="tab"/>
      <w:lvlText w:val="•"/>
      <w:rPr>
        <w:color w:val="3370ff"/>
      </w:rPr>
    </w:lvl>
  </w:abstractNum>
  <w:abstractNum w:abstractNumId="587668">
    <w:lvl>
      <w:numFmt w:val="bullet"/>
      <w:suff w:val="tab"/>
      <w:lvlText w:val="•"/>
      <w:rPr>
        <w:color w:val="3370ff"/>
      </w:rPr>
    </w:lvl>
  </w:abstractNum>
  <w:abstractNum w:abstractNumId="587669">
    <w:lvl>
      <w:numFmt w:val="bullet"/>
      <w:suff w:val="tab"/>
      <w:lvlText w:val="•"/>
      <w:rPr>
        <w:color w:val="3370ff"/>
      </w:rPr>
    </w:lvl>
  </w:abstractNum>
  <w:abstractNum w:abstractNumId="587670">
    <w:lvl>
      <w:numFmt w:val="bullet"/>
      <w:suff w:val="tab"/>
      <w:lvlText w:val="•"/>
      <w:rPr>
        <w:color w:val="3370ff"/>
      </w:rPr>
    </w:lvl>
  </w:abstractNum>
  <w:abstractNum w:abstractNumId="587671">
    <w:lvl>
      <w:numFmt w:val="bullet"/>
      <w:suff w:val="tab"/>
      <w:lvlText w:val="•"/>
      <w:rPr>
        <w:color w:val="3370ff"/>
      </w:rPr>
    </w:lvl>
  </w:abstractNum>
  <w:abstractNum w:abstractNumId="587672">
    <w:lvl>
      <w:numFmt w:val="bullet"/>
      <w:suff w:val="tab"/>
      <w:lvlText w:val="•"/>
      <w:rPr>
        <w:color w:val="3370ff"/>
      </w:rPr>
    </w:lvl>
  </w:abstractNum>
  <w:abstractNum w:abstractNumId="587673">
    <w:lvl>
      <w:numFmt w:val="bullet"/>
      <w:suff w:val="tab"/>
      <w:lvlText w:val="•"/>
      <w:rPr>
        <w:color w:val="3370ff"/>
      </w:rPr>
    </w:lvl>
  </w:abstractNum>
  <w:abstractNum w:abstractNumId="587674">
    <w:lvl>
      <w:numFmt w:val="bullet"/>
      <w:suff w:val="tab"/>
      <w:lvlText w:val="•"/>
      <w:rPr>
        <w:color w:val="3370ff"/>
      </w:rPr>
    </w:lvl>
  </w:abstractNum>
  <w:abstractNum w:abstractNumId="587675">
    <w:lvl>
      <w:numFmt w:val="bullet"/>
      <w:suff w:val="tab"/>
      <w:lvlText w:val="•"/>
      <w:rPr>
        <w:color w:val="3370ff"/>
      </w:rPr>
    </w:lvl>
  </w:abstractNum>
  <w:abstractNum w:abstractNumId="587676">
    <w:lvl>
      <w:numFmt w:val="bullet"/>
      <w:suff w:val="tab"/>
      <w:lvlText w:val="•"/>
      <w:rPr>
        <w:color w:val="3370ff"/>
      </w:rPr>
    </w:lvl>
  </w:abstractNum>
  <w:abstractNum w:abstractNumId="587677">
    <w:lvl>
      <w:numFmt w:val="bullet"/>
      <w:suff w:val="tab"/>
      <w:lvlText w:val="•"/>
      <w:rPr>
        <w:color w:val="3370ff"/>
      </w:rPr>
    </w:lvl>
  </w:abstractNum>
  <w:abstractNum w:abstractNumId="587678">
    <w:lvl>
      <w:numFmt w:val="bullet"/>
      <w:suff w:val="tab"/>
      <w:lvlText w:val="•"/>
      <w:rPr>
        <w:color w:val="3370ff"/>
      </w:rPr>
    </w:lvl>
  </w:abstractNum>
  <w:abstractNum w:abstractNumId="587679">
    <w:lvl>
      <w:numFmt w:val="bullet"/>
      <w:suff w:val="tab"/>
      <w:lvlText w:val="•"/>
      <w:rPr>
        <w:color w:val="3370ff"/>
      </w:rPr>
    </w:lvl>
  </w:abstractNum>
  <w:abstractNum w:abstractNumId="587680">
    <w:lvl>
      <w:numFmt w:val="bullet"/>
      <w:suff w:val="tab"/>
      <w:lvlText w:val="•"/>
      <w:rPr>
        <w:color w:val="3370ff"/>
      </w:rPr>
    </w:lvl>
  </w:abstractNum>
  <w:abstractNum w:abstractNumId="587681">
    <w:lvl>
      <w:numFmt w:val="bullet"/>
      <w:suff w:val="tab"/>
      <w:lvlText w:val="•"/>
      <w:rPr>
        <w:color w:val="3370ff"/>
      </w:rPr>
    </w:lvl>
  </w:abstractNum>
  <w:abstractNum w:abstractNumId="587682">
    <w:lvl>
      <w:numFmt w:val="bullet"/>
      <w:suff w:val="tab"/>
      <w:lvlText w:val="•"/>
      <w:rPr>
        <w:color w:val="3370ff"/>
      </w:rPr>
    </w:lvl>
  </w:abstractNum>
  <w:abstractNum w:abstractNumId="587683">
    <w:lvl>
      <w:numFmt w:val="bullet"/>
      <w:suff w:val="tab"/>
      <w:lvlText w:val="•"/>
      <w:rPr>
        <w:color w:val="3370ff"/>
      </w:rPr>
    </w:lvl>
  </w:abstractNum>
  <w:abstractNum w:abstractNumId="587684">
    <w:lvl>
      <w:numFmt w:val="bullet"/>
      <w:suff w:val="tab"/>
      <w:lvlText w:val="•"/>
      <w:rPr>
        <w:color w:val="3370ff"/>
      </w:rPr>
    </w:lvl>
  </w:abstractNum>
  <w:abstractNum w:abstractNumId="587685">
    <w:lvl>
      <w:numFmt w:val="bullet"/>
      <w:suff w:val="tab"/>
      <w:lvlText w:val="•"/>
      <w:rPr>
        <w:color w:val="3370ff"/>
      </w:rPr>
    </w:lvl>
  </w:abstractNum>
  <w:abstractNum w:abstractNumId="587686">
    <w:lvl>
      <w:numFmt w:val="bullet"/>
      <w:suff w:val="tab"/>
      <w:lvlText w:val="•"/>
      <w:rPr>
        <w:color w:val="3370ff"/>
      </w:rPr>
    </w:lvl>
  </w:abstractNum>
  <w:abstractNum w:abstractNumId="587687">
    <w:lvl>
      <w:numFmt w:val="bullet"/>
      <w:suff w:val="tab"/>
      <w:lvlText w:val="•"/>
      <w:rPr>
        <w:color w:val="3370ff"/>
      </w:rPr>
    </w:lvl>
  </w:abstractNum>
  <w:abstractNum w:abstractNumId="587688">
    <w:lvl>
      <w:numFmt w:val="bullet"/>
      <w:suff w:val="tab"/>
      <w:lvlText w:val="•"/>
      <w:rPr>
        <w:color w:val="3370ff"/>
      </w:rPr>
    </w:lvl>
  </w:abstractNum>
  <w:abstractNum w:abstractNumId="587689">
    <w:lvl>
      <w:numFmt w:val="bullet"/>
      <w:suff w:val="tab"/>
      <w:lvlText w:val="•"/>
      <w:rPr>
        <w:color w:val="3370ff"/>
      </w:rPr>
    </w:lvl>
  </w:abstractNum>
  <w:abstractNum w:abstractNumId="587690">
    <w:lvl>
      <w:numFmt w:val="bullet"/>
      <w:suff w:val="tab"/>
      <w:lvlText w:val="•"/>
      <w:rPr>
        <w:color w:val="3370ff"/>
      </w:rPr>
    </w:lvl>
  </w:abstractNum>
  <w:abstractNum w:abstractNumId="587691">
    <w:lvl>
      <w:numFmt w:val="bullet"/>
      <w:suff w:val="tab"/>
      <w:lvlText w:val="•"/>
      <w:rPr>
        <w:color w:val="3370ff"/>
      </w:rPr>
    </w:lvl>
  </w:abstractNum>
  <w:abstractNum w:abstractNumId="587692">
    <w:lvl>
      <w:numFmt w:val="bullet"/>
      <w:suff w:val="tab"/>
      <w:lvlText w:val="•"/>
      <w:rPr>
        <w:color w:val="3370ff"/>
      </w:rPr>
    </w:lvl>
  </w:abstractNum>
  <w:abstractNum w:abstractNumId="587693">
    <w:lvl>
      <w:numFmt w:val="bullet"/>
      <w:suff w:val="tab"/>
      <w:lvlText w:val="•"/>
      <w:rPr>
        <w:color w:val="3370ff"/>
      </w:rPr>
    </w:lvl>
  </w:abstractNum>
  <w:abstractNum w:abstractNumId="587694">
    <w:lvl>
      <w:numFmt w:val="bullet"/>
      <w:suff w:val="tab"/>
      <w:lvlText w:val="•"/>
      <w:rPr>
        <w:color w:val="3370ff"/>
      </w:rPr>
    </w:lvl>
  </w:abstractNum>
  <w:abstractNum w:abstractNumId="587695">
    <w:lvl>
      <w:numFmt w:val="bullet"/>
      <w:suff w:val="tab"/>
      <w:lvlText w:val="•"/>
      <w:rPr>
        <w:color w:val="3370ff"/>
      </w:rPr>
    </w:lvl>
  </w:abstractNum>
  <w:abstractNum w:abstractNumId="587696">
    <w:lvl>
      <w:numFmt w:val="bullet"/>
      <w:suff w:val="tab"/>
      <w:lvlText w:val="•"/>
      <w:rPr>
        <w:color w:val="3370ff"/>
      </w:rPr>
    </w:lvl>
  </w:abstractNum>
  <w:abstractNum w:abstractNumId="587697">
    <w:lvl>
      <w:numFmt w:val="bullet"/>
      <w:suff w:val="tab"/>
      <w:lvlText w:val="•"/>
      <w:rPr>
        <w:color w:val="3370ff"/>
      </w:rPr>
    </w:lvl>
  </w:abstractNum>
  <w:abstractNum w:abstractNumId="587698">
    <w:lvl>
      <w:numFmt w:val="bullet"/>
      <w:suff w:val="tab"/>
      <w:lvlText w:val="•"/>
      <w:rPr>
        <w:color w:val="3370ff"/>
      </w:rPr>
    </w:lvl>
  </w:abstractNum>
  <w:abstractNum w:abstractNumId="587699">
    <w:lvl>
      <w:numFmt w:val="bullet"/>
      <w:suff w:val="tab"/>
      <w:lvlText w:val="•"/>
      <w:rPr>
        <w:color w:val="3370ff"/>
      </w:rPr>
    </w:lvl>
  </w:abstractNum>
  <w:abstractNum w:abstractNumId="587700">
    <w:lvl>
      <w:numFmt w:val="bullet"/>
      <w:suff w:val="tab"/>
      <w:lvlText w:val="•"/>
      <w:rPr>
        <w:color w:val="3370ff"/>
      </w:rPr>
    </w:lvl>
  </w:abstractNum>
  <w:abstractNum w:abstractNumId="587701">
    <w:lvl>
      <w:numFmt w:val="bullet"/>
      <w:suff w:val="tab"/>
      <w:lvlText w:val="•"/>
      <w:rPr>
        <w:color w:val="3370ff"/>
      </w:rPr>
    </w:lvl>
  </w:abstractNum>
  <w:abstractNum w:abstractNumId="587702">
    <w:lvl>
      <w:numFmt w:val="bullet"/>
      <w:suff w:val="tab"/>
      <w:lvlText w:val="•"/>
      <w:rPr>
        <w:color w:val="3370ff"/>
      </w:rPr>
    </w:lvl>
  </w:abstractNum>
  <w:abstractNum w:abstractNumId="587703">
    <w:lvl>
      <w:numFmt w:val="bullet"/>
      <w:suff w:val="tab"/>
      <w:lvlText w:val="•"/>
      <w:rPr>
        <w:color w:val="3370ff"/>
      </w:rPr>
    </w:lvl>
  </w:abstractNum>
  <w:abstractNum w:abstractNumId="587704">
    <w:lvl>
      <w:numFmt w:val="bullet"/>
      <w:suff w:val="tab"/>
      <w:lvlText w:val="•"/>
      <w:rPr>
        <w:color w:val="3370ff"/>
      </w:rPr>
    </w:lvl>
  </w:abstractNum>
  <w:abstractNum w:abstractNumId="587705">
    <w:lvl>
      <w:numFmt w:val="bullet"/>
      <w:suff w:val="tab"/>
      <w:lvlText w:val="•"/>
      <w:rPr>
        <w:color w:val="3370ff"/>
      </w:rPr>
    </w:lvl>
  </w:abstractNum>
  <w:abstractNum w:abstractNumId="587706">
    <w:lvl>
      <w:numFmt w:val="bullet"/>
      <w:suff w:val="tab"/>
      <w:lvlText w:val="•"/>
      <w:rPr>
        <w:color w:val="3370ff"/>
      </w:rPr>
    </w:lvl>
  </w:abstractNum>
  <w:abstractNum w:abstractNumId="587707">
    <w:lvl>
      <w:numFmt w:val="bullet"/>
      <w:suff w:val="tab"/>
      <w:lvlText w:val="•"/>
      <w:rPr>
        <w:color w:val="3370ff"/>
      </w:rPr>
    </w:lvl>
  </w:abstractNum>
  <w:abstractNum w:abstractNumId="587708">
    <w:lvl>
      <w:numFmt w:val="bullet"/>
      <w:suff w:val="tab"/>
      <w:lvlText w:val="•"/>
      <w:rPr>
        <w:color w:val="3370ff"/>
      </w:rPr>
    </w:lvl>
  </w:abstractNum>
  <w:abstractNum w:abstractNumId="587709">
    <w:lvl>
      <w:numFmt w:val="bullet"/>
      <w:suff w:val="tab"/>
      <w:lvlText w:val="•"/>
      <w:rPr>
        <w:color w:val="3370ff"/>
      </w:rPr>
    </w:lvl>
  </w:abstractNum>
  <w:abstractNum w:abstractNumId="587710">
    <w:lvl>
      <w:numFmt w:val="bullet"/>
      <w:suff w:val="tab"/>
      <w:lvlText w:val="•"/>
      <w:rPr>
        <w:color w:val="3370ff"/>
      </w:rPr>
    </w:lvl>
  </w:abstractNum>
  <w:abstractNum w:abstractNumId="587711">
    <w:lvl>
      <w:numFmt w:val="bullet"/>
      <w:suff w:val="tab"/>
      <w:lvlText w:val="•"/>
      <w:rPr>
        <w:color w:val="3370ff"/>
      </w:rPr>
    </w:lvl>
  </w:abstractNum>
  <w:abstractNum w:abstractNumId="587712">
    <w:lvl>
      <w:numFmt w:val="bullet"/>
      <w:suff w:val="tab"/>
      <w:lvlText w:val="•"/>
      <w:rPr>
        <w:color w:val="3370ff"/>
      </w:rPr>
    </w:lvl>
  </w:abstractNum>
  <w:abstractNum w:abstractNumId="587713">
    <w:lvl>
      <w:numFmt w:val="bullet"/>
      <w:suff w:val="tab"/>
      <w:lvlText w:val="•"/>
      <w:rPr>
        <w:color w:val="3370ff"/>
      </w:rPr>
    </w:lvl>
  </w:abstractNum>
  <w:abstractNum w:abstractNumId="587714">
    <w:lvl>
      <w:numFmt w:val="bullet"/>
      <w:suff w:val="tab"/>
      <w:lvlText w:val="•"/>
      <w:rPr>
        <w:color w:val="3370ff"/>
      </w:rPr>
    </w:lvl>
  </w:abstractNum>
  <w:abstractNum w:abstractNumId="587715">
    <w:lvl>
      <w:numFmt w:val="bullet"/>
      <w:suff w:val="tab"/>
      <w:lvlText w:val="•"/>
      <w:rPr>
        <w:color w:val="3370ff"/>
      </w:rPr>
    </w:lvl>
  </w:abstractNum>
  <w:abstractNum w:abstractNumId="587716">
    <w:lvl>
      <w:numFmt w:val="bullet"/>
      <w:suff w:val="tab"/>
      <w:lvlText w:val="•"/>
      <w:rPr>
        <w:color w:val="3370ff"/>
      </w:rPr>
    </w:lvl>
  </w:abstractNum>
  <w:abstractNum w:abstractNumId="587717">
    <w:lvl>
      <w:numFmt w:val="bullet"/>
      <w:suff w:val="tab"/>
      <w:lvlText w:val="•"/>
      <w:rPr>
        <w:color w:val="3370ff"/>
      </w:rPr>
    </w:lvl>
  </w:abstractNum>
  <w:num w:numId="1">
    <w:abstractNumId w:val="587576"/>
  </w:num>
  <w:num w:numId="2">
    <w:abstractNumId w:val="587577"/>
  </w:num>
  <w:num w:numId="3">
    <w:abstractNumId w:val="587578"/>
  </w:num>
  <w:num w:numId="4">
    <w:abstractNumId w:val="587579"/>
  </w:num>
  <w:num w:numId="5">
    <w:abstractNumId w:val="587580"/>
  </w:num>
  <w:num w:numId="6">
    <w:abstractNumId w:val="587581"/>
  </w:num>
  <w:num w:numId="7">
    <w:abstractNumId w:val="587582"/>
  </w:num>
  <w:num w:numId="8">
    <w:abstractNumId w:val="587583"/>
  </w:num>
  <w:num w:numId="9">
    <w:abstractNumId w:val="587584"/>
  </w:num>
  <w:num w:numId="10">
    <w:abstractNumId w:val="587585"/>
  </w:num>
  <w:num w:numId="11">
    <w:abstractNumId w:val="587586"/>
  </w:num>
  <w:num w:numId="12">
    <w:abstractNumId w:val="587587"/>
  </w:num>
  <w:num w:numId="13">
    <w:abstractNumId w:val="587588"/>
  </w:num>
  <w:num w:numId="14">
    <w:abstractNumId w:val="587589"/>
  </w:num>
  <w:num w:numId="15">
    <w:abstractNumId w:val="587590"/>
  </w:num>
  <w:num w:numId="16">
    <w:abstractNumId w:val="587591"/>
  </w:num>
  <w:num w:numId="17">
    <w:abstractNumId w:val="587592"/>
  </w:num>
  <w:num w:numId="18">
    <w:abstractNumId w:val="587593"/>
  </w:num>
  <w:num w:numId="19">
    <w:abstractNumId w:val="587594"/>
  </w:num>
  <w:num w:numId="20">
    <w:abstractNumId w:val="587595"/>
  </w:num>
  <w:num w:numId="21">
    <w:abstractNumId w:val="587596"/>
  </w:num>
  <w:num w:numId="22">
    <w:abstractNumId w:val="587597"/>
  </w:num>
  <w:num w:numId="23">
    <w:abstractNumId w:val="587598"/>
  </w:num>
  <w:num w:numId="24">
    <w:abstractNumId w:val="587599"/>
  </w:num>
  <w:num w:numId="25">
    <w:abstractNumId w:val="587600"/>
  </w:num>
  <w:num w:numId="26">
    <w:abstractNumId w:val="587601"/>
  </w:num>
  <w:num w:numId="27">
    <w:abstractNumId w:val="587602"/>
  </w:num>
  <w:num w:numId="28">
    <w:abstractNumId w:val="587603"/>
  </w:num>
  <w:num w:numId="29">
    <w:abstractNumId w:val="587604"/>
  </w:num>
  <w:num w:numId="30">
    <w:abstractNumId w:val="587605"/>
  </w:num>
  <w:num w:numId="31">
    <w:abstractNumId w:val="587606"/>
  </w:num>
  <w:num w:numId="32">
    <w:abstractNumId w:val="587607"/>
  </w:num>
  <w:num w:numId="33">
    <w:abstractNumId w:val="587608"/>
  </w:num>
  <w:num w:numId="34">
    <w:abstractNumId w:val="587609"/>
  </w:num>
  <w:num w:numId="35">
    <w:abstractNumId w:val="587610"/>
  </w:num>
  <w:num w:numId="36">
    <w:abstractNumId w:val="587611"/>
  </w:num>
  <w:num w:numId="37">
    <w:abstractNumId w:val="587612"/>
  </w:num>
  <w:num w:numId="38">
    <w:abstractNumId w:val="587613"/>
  </w:num>
  <w:num w:numId="39">
    <w:abstractNumId w:val="587614"/>
  </w:num>
  <w:num w:numId="40">
    <w:abstractNumId w:val="587615"/>
  </w:num>
  <w:num w:numId="41">
    <w:abstractNumId w:val="587616"/>
  </w:num>
  <w:num w:numId="42">
    <w:abstractNumId w:val="587617"/>
  </w:num>
  <w:num w:numId="43">
    <w:abstractNumId w:val="587618"/>
  </w:num>
  <w:num w:numId="44">
    <w:abstractNumId w:val="587619"/>
  </w:num>
  <w:num w:numId="45">
    <w:abstractNumId w:val="587620"/>
  </w:num>
  <w:num w:numId="46">
    <w:abstractNumId w:val="587621"/>
  </w:num>
  <w:num w:numId="47">
    <w:abstractNumId w:val="587622"/>
  </w:num>
  <w:num w:numId="48">
    <w:abstractNumId w:val="587623"/>
  </w:num>
  <w:num w:numId="49">
    <w:abstractNumId w:val="587624"/>
  </w:num>
  <w:num w:numId="50">
    <w:abstractNumId w:val="587625"/>
  </w:num>
  <w:num w:numId="51">
    <w:abstractNumId w:val="587626"/>
  </w:num>
  <w:num w:numId="52">
    <w:abstractNumId w:val="587627"/>
  </w:num>
  <w:num w:numId="53">
    <w:abstractNumId w:val="587628"/>
  </w:num>
  <w:num w:numId="54">
    <w:abstractNumId w:val="587629"/>
  </w:num>
  <w:num w:numId="55">
    <w:abstractNumId w:val="587630"/>
  </w:num>
  <w:num w:numId="56">
    <w:abstractNumId w:val="587631"/>
  </w:num>
  <w:num w:numId="57">
    <w:abstractNumId w:val="587632"/>
  </w:num>
  <w:num w:numId="58">
    <w:abstractNumId w:val="587633"/>
  </w:num>
  <w:num w:numId="59">
    <w:abstractNumId w:val="587634"/>
  </w:num>
  <w:num w:numId="60">
    <w:abstractNumId w:val="587635"/>
  </w:num>
  <w:num w:numId="61">
    <w:abstractNumId w:val="587636"/>
  </w:num>
  <w:num w:numId="62">
    <w:abstractNumId w:val="587637"/>
  </w:num>
  <w:num w:numId="63">
    <w:abstractNumId w:val="587638"/>
  </w:num>
  <w:num w:numId="64">
    <w:abstractNumId w:val="587639"/>
  </w:num>
  <w:num w:numId="65">
    <w:abstractNumId w:val="587640"/>
  </w:num>
  <w:num w:numId="66">
    <w:abstractNumId w:val="587641"/>
  </w:num>
  <w:num w:numId="67">
    <w:abstractNumId w:val="587642"/>
  </w:num>
  <w:num w:numId="68">
    <w:abstractNumId w:val="587643"/>
  </w:num>
  <w:num w:numId="69">
    <w:abstractNumId w:val="587644"/>
  </w:num>
  <w:num w:numId="70">
    <w:abstractNumId w:val="587645"/>
  </w:num>
  <w:num w:numId="71">
    <w:abstractNumId w:val="587646"/>
  </w:num>
  <w:num w:numId="72">
    <w:abstractNumId w:val="587647"/>
  </w:num>
  <w:num w:numId="73">
    <w:abstractNumId w:val="587648"/>
  </w:num>
  <w:num w:numId="74">
    <w:abstractNumId w:val="587649"/>
  </w:num>
  <w:num w:numId="75">
    <w:abstractNumId w:val="587650"/>
  </w:num>
  <w:num w:numId="76">
    <w:abstractNumId w:val="587651"/>
  </w:num>
  <w:num w:numId="77">
    <w:abstractNumId w:val="587652"/>
  </w:num>
  <w:num w:numId="78">
    <w:abstractNumId w:val="587653"/>
  </w:num>
  <w:num w:numId="79">
    <w:abstractNumId w:val="587654"/>
  </w:num>
  <w:num w:numId="80">
    <w:abstractNumId w:val="587655"/>
  </w:num>
  <w:num w:numId="81">
    <w:abstractNumId w:val="587656"/>
  </w:num>
  <w:num w:numId="82">
    <w:abstractNumId w:val="587657"/>
  </w:num>
  <w:num w:numId="83">
    <w:abstractNumId w:val="587658"/>
  </w:num>
  <w:num w:numId="84">
    <w:abstractNumId w:val="587659"/>
  </w:num>
  <w:num w:numId="85">
    <w:abstractNumId w:val="587660"/>
  </w:num>
  <w:num w:numId="86">
    <w:abstractNumId w:val="587661"/>
  </w:num>
  <w:num w:numId="87">
    <w:abstractNumId w:val="587662"/>
  </w:num>
  <w:num w:numId="88">
    <w:abstractNumId w:val="587663"/>
  </w:num>
  <w:num w:numId="89">
    <w:abstractNumId w:val="587664"/>
  </w:num>
  <w:num w:numId="90">
    <w:abstractNumId w:val="587665"/>
  </w:num>
  <w:num w:numId="91">
    <w:abstractNumId w:val="587666"/>
  </w:num>
  <w:num w:numId="92">
    <w:abstractNumId w:val="587667"/>
  </w:num>
  <w:num w:numId="93">
    <w:abstractNumId w:val="587668"/>
  </w:num>
  <w:num w:numId="94">
    <w:abstractNumId w:val="587669"/>
  </w:num>
  <w:num w:numId="95">
    <w:abstractNumId w:val="587670"/>
  </w:num>
  <w:num w:numId="96">
    <w:abstractNumId w:val="587671"/>
  </w:num>
  <w:num w:numId="97">
    <w:abstractNumId w:val="587672"/>
  </w:num>
  <w:num w:numId="98">
    <w:abstractNumId w:val="587673"/>
  </w:num>
  <w:num w:numId="99">
    <w:abstractNumId w:val="587674"/>
  </w:num>
  <w:num w:numId="100">
    <w:abstractNumId w:val="587675"/>
  </w:num>
  <w:num w:numId="101">
    <w:abstractNumId w:val="587676"/>
  </w:num>
  <w:num w:numId="102">
    <w:abstractNumId w:val="587677"/>
  </w:num>
  <w:num w:numId="103">
    <w:abstractNumId w:val="587678"/>
  </w:num>
  <w:num w:numId="104">
    <w:abstractNumId w:val="587679"/>
  </w:num>
  <w:num w:numId="105">
    <w:abstractNumId w:val="587680"/>
  </w:num>
  <w:num w:numId="106">
    <w:abstractNumId w:val="587681"/>
  </w:num>
  <w:num w:numId="107">
    <w:abstractNumId w:val="587682"/>
  </w:num>
  <w:num w:numId="108">
    <w:abstractNumId w:val="587683"/>
  </w:num>
  <w:num w:numId="109">
    <w:abstractNumId w:val="587684"/>
  </w:num>
  <w:num w:numId="110">
    <w:abstractNumId w:val="587685"/>
  </w:num>
  <w:num w:numId="111">
    <w:abstractNumId w:val="587686"/>
  </w:num>
  <w:num w:numId="112">
    <w:abstractNumId w:val="587687"/>
  </w:num>
  <w:num w:numId="113">
    <w:abstractNumId w:val="587688"/>
  </w:num>
  <w:num w:numId="114">
    <w:abstractNumId w:val="587689"/>
  </w:num>
  <w:num w:numId="115">
    <w:abstractNumId w:val="587690"/>
  </w:num>
  <w:num w:numId="116">
    <w:abstractNumId w:val="587691"/>
  </w:num>
  <w:num w:numId="117">
    <w:abstractNumId w:val="587692"/>
  </w:num>
  <w:num w:numId="118">
    <w:abstractNumId w:val="587693"/>
  </w:num>
  <w:num w:numId="119">
    <w:abstractNumId w:val="587694"/>
  </w:num>
  <w:num w:numId="120">
    <w:abstractNumId w:val="587695"/>
  </w:num>
  <w:num w:numId="121">
    <w:abstractNumId w:val="587696"/>
  </w:num>
  <w:num w:numId="122">
    <w:abstractNumId w:val="587697"/>
  </w:num>
  <w:num w:numId="123">
    <w:abstractNumId w:val="587698"/>
  </w:num>
  <w:num w:numId="124">
    <w:abstractNumId w:val="587699"/>
  </w:num>
  <w:num w:numId="125">
    <w:abstractNumId w:val="587700"/>
  </w:num>
  <w:num w:numId="126">
    <w:abstractNumId w:val="587701"/>
  </w:num>
  <w:num w:numId="127">
    <w:abstractNumId w:val="587702"/>
  </w:num>
  <w:num w:numId="128">
    <w:abstractNumId w:val="587703"/>
  </w:num>
  <w:num w:numId="129">
    <w:abstractNumId w:val="587704"/>
  </w:num>
  <w:num w:numId="130">
    <w:abstractNumId w:val="587705"/>
  </w:num>
  <w:num w:numId="131">
    <w:abstractNumId w:val="587706"/>
  </w:num>
  <w:num w:numId="132">
    <w:abstractNumId w:val="587707"/>
  </w:num>
  <w:num w:numId="133">
    <w:abstractNumId w:val="587708"/>
  </w:num>
  <w:num w:numId="134">
    <w:abstractNumId w:val="587709"/>
  </w:num>
  <w:num w:numId="135">
    <w:abstractNumId w:val="587710"/>
  </w:num>
  <w:num w:numId="136">
    <w:abstractNumId w:val="587711"/>
  </w:num>
  <w:num w:numId="137">
    <w:abstractNumId w:val="587712"/>
  </w:num>
  <w:num w:numId="138">
    <w:abstractNumId w:val="587713"/>
  </w:num>
  <w:num w:numId="139">
    <w:abstractNumId w:val="587714"/>
  </w:num>
  <w:num w:numId="140">
    <w:abstractNumId w:val="587715"/>
  </w:num>
  <w:num w:numId="141">
    <w:abstractNumId w:val="587716"/>
  </w:num>
  <w:num w:numId="142">
    <w:abstractNumId w:val="58771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comments.xml" Type="http://schemas.openxmlformats.org/officeDocument/2006/relationships/comments"/><Relationship Id="rId5" Target="media/image1.jpe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2026-10-16T04:35:57Z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{"Label":"1","ContentProducer":"001191110102MACQD9K64010000","ProduceID":"7697119754620341178","ReservedCode1":"","ContentPropagator":"","PropagateID":"","ReservedCode2":""}</vt:lpwstr>
  </property>
</Properties>
</file>