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41F2B"/>
          <w:sz w:val="38"/>
        </w:rPr>
        <w:t>Federated Claim-Graph Intelligence for Payment Integrity</w:t>
      </w:r>
    </w:p>
    <w:p>
      <w:pPr>
        <w:spacing w:after="80"/>
      </w:pPr>
      <w:r>
        <w:rPr>
          <w:rFonts w:ascii="Calibri" w:hAnsi="Calibri"/>
          <w:color w:val="5A6069"/>
          <w:sz w:val="21"/>
        </w:rPr>
        <w:t>Prompt 2 report | Author: Mohammad Saleh Nikoopayan Tak | June 2026</w:t>
      </w:r>
    </w:p>
    <w:p>
      <w:pPr>
        <w:spacing w:after="120"/>
      </w:pPr>
      <w:r>
        <w:rPr>
          <w:rFonts w:ascii="Calibri" w:hAnsi="Calibri"/>
          <w:b/>
          <w:color w:val="141F2B"/>
          <w:sz w:val="21"/>
        </w:rPr>
        <w:t xml:space="preserve">Strategic thesis: </w:t>
      </w:r>
      <w:r>
        <w:rPr>
          <w:rFonts w:ascii="Calibri" w:hAnsi="Calibri"/>
          <w:color w:val="141F2B"/>
          <w:sz w:val="21"/>
        </w:rPr>
        <w:t>Cotiviti can turn privacy-preserving claim graphs into a reviewer cockpit that detects suspicious payment patterns earlier, produces evidence cards for every lead, and broadens cross-payer learning without exposing raw claims.</w:t>
      </w:r>
    </w:p>
    <w:p>
      <w:pPr>
        <w:pStyle w:val="Heading1"/>
      </w:pPr>
      <w:r>
        <w:t>Definition and Relevance</w:t>
      </w:r>
    </w:p>
    <w:p>
      <w:pPr>
        <w:jc w:val="both"/>
      </w:pPr>
      <w:r>
        <w:t>Federated claim-graph intelligence is the use of privacy-preserving learning, heterogeneous graphs, anomaly detection, and explicit reason traces to support clinical and operational decisions in claims payment. Instead of treating a claim as a flat row, it models relationships among member, provider, procedure, diagnosis, place of service, modifier, history, peer group, and policy context. That view fits prompt 2 because it combines classification, inference, clustering, time-series anomaly detection, and chain reasoning for payment operations. The intended product posture is a reviewer cockpit, not autonomous denial: the system surfaces the right case, at the right time, with evidence a human reviewer can confirm, override, or return to monitoring.</w:t>
      </w:r>
    </w:p>
    <w:p>
      <w:pPr>
        <w:jc w:val="both"/>
      </w:pPr>
      <w:r>
        <w:t>The distinctive thesis is not to add another model. It is to make every high-risk lead explainable as an evidence card: what changed, which peer baseline was violated, which code or diagnosis relationship matters, which policy or clinical rule is implicated, what evidence is missing, what uncertainty remains, and what action should follow. This is commercially relevant to Cotiviti because payment accuracy is a core solution area spanning claim accuracy, policy management, coding validation, clinical review, data mining, contract compliance, claim responsibility, coordination of benefits, and FWA pattern review (Cotiviti, 2026a).</w:t>
      </w:r>
    </w:p>
    <w:p>
      <w:pPr>
        <w:pStyle w:val="Heading1"/>
      </w:pPr>
      <w:r>
        <w:t>Trends Creating the Opening</w:t>
      </w:r>
    </w:p>
    <w:p>
      <w:pPr>
        <w:jc w:val="both"/>
      </w:pPr>
      <w:r>
        <w:t>Three trends make the timing attractive. First, payment integrity pressure remains large and visible. CMS reported FY 2025 improper payment estimates of $28.83 billion for Medicare Fee-for-Service, $23.67 billion for Medicare Part C, $4.23 billion for Part D, and $37.39 billion for Medicaid (CMS, 2025). DOJ's June 23, 2026 National Health Care Fraud Takedown charged 455 defendants in schemes involving more than $6.5 billion in alleged false claims (U.S. Department of Justice, 2026). The issue is not that every improper payment is fraud. It is that payers need earlier review queues that separate documentation gaps, coding errors, medical necessity concerns, policy disagreement, and organized abuse.</w:t>
      </w:r>
    </w:p>
    <w:p>
      <w:pPr>
        <w:jc w:val="both"/>
      </w:pPr>
      <w:r>
        <w:t>Second, payer data is becoming richer and more connected. Cotiviti's March 2025 acquisition of Edifecs added interoperability capabilities for data analytics, claims processing accuracy, value-based care, and streamlined payer-provider workflows (Cotiviti, 2025). Graph intelligence improves when claims, eligibility, encounters, contracts, chart signals, and policy logic can be connected without forcing reviewers to jump across systems.</w:t>
      </w:r>
    </w:p>
    <w:p>
      <w:pPr>
        <w:jc w:val="both"/>
      </w:pPr>
      <w:r>
        <w:t>Third, governance is becoming a product feature. A 2025 systematic review found broad use of supervised, unsupervised, and semi-supervised machine learning in healthcare claims fraud detection, while noting persistent challenges around data quality, transparency, and deployment (du Preez et al., 2025). Recent insurance-anomaly work also shows the value of explainable unsupervised workflows that help expert investigators decide where to focus (De Meulemeester et al., 2025), graph neural network methods can both detect and explain suspicious claims (Muhammad et al., 2025), and Raghi et al. (2025) show how vertical federated learning can support fraud detection without pooling sensitive raw data. A Cotiviti-grade solution should treat privacy, fairness, auditability, drift monitoring, and human review as design features.</w:t>
      </w:r>
    </w:p>
    <w:p>
      <w:pPr>
        <w:pStyle w:val="Heading1"/>
      </w:pPr>
      <w:r>
        <w:t>Opportunities and Threats</w:t>
      </w:r>
    </w:p>
    <w:p>
      <w:pPr>
        <w:jc w:val="both"/>
      </w:pPr>
      <w:r>
        <w:t>The opportunity is to move payment integrity from siloed lead generation toward a shared intelligence layer. Cotiviti's FWA Pattern Review already combines provider scoring models, expert-driven rules, case tracking, and specialist review, and Cotiviti reports more than $21.2 billion in suspect FWA claims identified for clients in 2025 (Cotiviti, 2026b). A federated graph layer could strengthen that position by learning cross-client signal patterns while keeping raw client data separated. The highest-value target is the costly middle: cases where a human reviewer can act faster because peer context, policy cues, and missing evidence are already organized.</w:t>
      </w:r>
    </w:p>
    <w:p>
      <w:pPr>
        <w:jc w:val="both"/>
      </w:pPr>
      <w:r>
        <w:t>The threats are equally real. Graph models can reproduce payer mix and access patterns that reflect structural bias rather than misconduct. Poor calibration can create false positives, slow payment, or damage provider relationships. Privacy-preserving learning can still leak information through model updates if governance is weak. Sophisticated fraud also adapts. These risks argue for a guarded rollout aligned with NIST's AI risk functions: prepay shadow mode before production use, human-in-the-loop review, drift monitoring, appeal feedback, secure aggregation, model cards, evidence cards, and a clear distinction between fraud, waste, abuse, documentation error, and policy disagreement (NIST, 2023).</w:t>
      </w:r>
    </w:p>
    <w:p>
      <w:pPr>
        <w:pStyle w:val="Heading1"/>
      </w:pPr>
      <w:r>
        <w:t>Strategic Options for Cotiviti</w:t>
      </w:r>
    </w:p>
    <w:p>
      <w:pPr>
        <w:jc w:val="both"/>
      </w:pPr>
      <w:r>
        <w:t>Option 1 is to build a Claim-Graph Utility Layer inside payment accuracy. The layer would standardize entities and edges, create explainable graph features, and support prepay and postpay products. Near-term value would be better lead prioritization; longer-term value would be a reusable pattern-recognition platform for payment, risk adjustment, quality, provider education, and operations.</w:t>
      </w:r>
    </w:p>
    <w:p>
      <w:pPr>
        <w:jc w:val="both"/>
      </w:pPr>
      <w:r>
        <w:t>Option 2 is to pilot a privacy-preserving cross-payer signal exchange in shadow mode. Each client would retain raw claims while sharing approved aggregate statistics, model updates, or risk fingerprints. This gives Cotiviti a defensible position: broader learning without broader exposure. The pilot should begin with synthetic and historical de-identified data, then graduate to one narrow domain such as wound care, durable medical equipment, high-volume labs, or behavioral health.</w:t>
      </w:r>
    </w:p>
    <w:p>
      <w:pPr>
        <w:jc w:val="both"/>
      </w:pPr>
      <w:r>
        <w:t>Option 3 is to productize the evidence card and reviewer cockpit. Every alert should show the graph path, peer comparison, time-series change, code-policy rationale, confidence level, model-card note, reviewer override reason, and recommended next action. The best slogan for the position is simple: no score without a story. That framing aligns technical ambition with Cotiviti's managed-service strength and makes the investment about faster, fairer, and more defensible payment integrity.</w:t>
      </w:r>
    </w:p>
    <w:p>
      <w:r>
        <w:br w:type="page"/>
      </w:r>
    </w:p>
    <w:p>
      <w:pPr>
        <w:pStyle w:val="Heading1"/>
      </w:pPr>
      <w:r>
        <w:t>References</w:t>
      </w:r>
    </w:p>
    <w:p>
      <w:pPr>
        <w:spacing w:after="120" w:line="252" w:lineRule="auto"/>
        <w:ind w:hanging="504" w:left="504"/>
      </w:pPr>
      <w:r>
        <w:rPr>
          <w:rFonts w:ascii="Calibri" w:hAnsi="Calibri"/>
          <w:color w:val="141F2B"/>
          <w:sz w:val="21"/>
        </w:rPr>
        <w:t>Centers for Medicare &amp; Medicaid Services. (2025). Fiscal year 2025 improper payments fact sheet. https://www.cms.gov/newsroom/fact-sheets/fiscal-year-2025-improper-payments-fact-sheet</w:t>
      </w:r>
    </w:p>
    <w:p>
      <w:pPr>
        <w:spacing w:after="120" w:line="252" w:lineRule="auto"/>
        <w:ind w:hanging="504" w:left="504"/>
      </w:pPr>
      <w:r>
        <w:rPr>
          <w:rFonts w:ascii="Calibri" w:hAnsi="Calibri"/>
          <w:color w:val="141F2B"/>
          <w:sz w:val="21"/>
        </w:rPr>
        <w:t>Cotiviti. (2025, March 31). Cotiviti completes acquisition of Edifecs. https://www.cotiviti.com/press-release/cotiviti-completes-acquisition-of-edifecs</w:t>
      </w:r>
    </w:p>
    <w:p>
      <w:pPr>
        <w:spacing w:after="120" w:line="252" w:lineRule="auto"/>
        <w:ind w:hanging="504" w:left="504"/>
      </w:pPr>
      <w:r>
        <w:rPr>
          <w:rFonts w:ascii="Calibri" w:hAnsi="Calibri"/>
          <w:color w:val="141F2B"/>
          <w:sz w:val="21"/>
        </w:rPr>
        <w:t>Cotiviti. (2026a). Healthcare claim payment accuracy solutions. https://www.cotiviti.com/solutions/payment-accuracy</w:t>
      </w:r>
    </w:p>
    <w:p>
      <w:pPr>
        <w:spacing w:after="120" w:line="252" w:lineRule="auto"/>
        <w:ind w:hanging="504" w:left="504"/>
      </w:pPr>
      <w:r>
        <w:rPr>
          <w:rFonts w:ascii="Calibri" w:hAnsi="Calibri"/>
          <w:color w:val="141F2B"/>
          <w:sz w:val="21"/>
        </w:rPr>
        <w:t>Cotiviti. (2026b). FWA Pattern Review. https://www.cotiviti.com/solutions/payment-accuracy/fwa-pattern-review</w:t>
      </w:r>
    </w:p>
    <w:p>
      <w:pPr>
        <w:spacing w:after="120" w:line="252" w:lineRule="auto"/>
        <w:ind w:hanging="504" w:left="504"/>
      </w:pPr>
      <w:r>
        <w:rPr>
          <w:rFonts w:ascii="Calibri" w:hAnsi="Calibri"/>
          <w:color w:val="141F2B"/>
          <w:sz w:val="21"/>
        </w:rPr>
        <w:t>De Meulemeester, H., De Smet, F., van Dorst, J., Derroitte, E., &amp; De Moor, B. (2025). Explainable unsupervised anomaly detection for healthcare insurance data. BMC Medical Informatics and Decision Making, 25, 14. https://doi.org/10.1186/s12911-024-02823-6</w:t>
      </w:r>
    </w:p>
    <w:p>
      <w:pPr>
        <w:spacing w:after="120" w:line="252" w:lineRule="auto"/>
        <w:ind w:hanging="504" w:left="504"/>
      </w:pPr>
      <w:r>
        <w:rPr>
          <w:rFonts w:ascii="Calibri" w:hAnsi="Calibri"/>
          <w:color w:val="141F2B"/>
          <w:sz w:val="21"/>
        </w:rPr>
        <w:t>du Preez, A., Bhattacharya, S., Beling, P. A., &amp; Bowen, E. (2025). Fraud detection in healthcare claims using machine learning: A systematic review. Artificial Intelligence in Medicine, 160, 103061. https://doi.org/10.1016/j.artmed.2024.103061</w:t>
      </w:r>
    </w:p>
    <w:p>
      <w:pPr>
        <w:spacing w:after="120" w:line="252" w:lineRule="auto"/>
        <w:ind w:hanging="504" w:left="504"/>
      </w:pPr>
      <w:r>
        <w:rPr>
          <w:rFonts w:ascii="Calibri" w:hAnsi="Calibri"/>
          <w:color w:val="141F2B"/>
          <w:sz w:val="21"/>
        </w:rPr>
        <w:t>Muhammad, R., Tbaishat, D., Nazir, A., Yacoub, S., AbdulRazek, M., Abo El-Enen, M. A., et al. (2025). Fraud detection and explanation in medical claims using GNN architectures. Scientific Reports, 15, 41734. https://doi.org/10.1038/s41598-025-22910-6</w:t>
      </w:r>
    </w:p>
    <w:p>
      <w:pPr>
        <w:spacing w:after="120" w:line="252" w:lineRule="auto"/>
        <w:ind w:hanging="504" w:left="504"/>
      </w:pPr>
      <w:r>
        <w:rPr>
          <w:rFonts w:ascii="Calibri" w:hAnsi="Calibri"/>
          <w:color w:val="141F2B"/>
          <w:sz w:val="21"/>
        </w:rPr>
        <w:t>National Institute of Standards and Technology. (2023). Artificial Intelligence Risk Management Framework (AI RMF 1.0). https://www.nist.gov/itl/ai-risk-management-framework</w:t>
      </w:r>
    </w:p>
    <w:p>
      <w:pPr>
        <w:spacing w:after="120" w:line="252" w:lineRule="auto"/>
        <w:ind w:hanging="504" w:left="504"/>
      </w:pPr>
      <w:r>
        <w:rPr>
          <w:rFonts w:ascii="Calibri" w:hAnsi="Calibri"/>
          <w:color w:val="141F2B"/>
          <w:sz w:val="21"/>
        </w:rPr>
        <w:t>Raghi, K. R., Paramarthalingam, A., Kanthan, H., &amp; Karthiban, M. (2025). A privacy-preserving approach to health insurance fraud detection using vertical federated learning. Sensors, 25(23), 7354. https://doi.org/10.3390/s25237354</w:t>
      </w:r>
    </w:p>
    <w:p>
      <w:pPr>
        <w:spacing w:after="120" w:line="252" w:lineRule="auto"/>
        <w:ind w:hanging="504" w:left="504"/>
      </w:pPr>
      <w:r>
        <w:rPr>
          <w:rFonts w:ascii="Calibri" w:hAnsi="Calibri"/>
          <w:color w:val="141F2B"/>
          <w:sz w:val="21"/>
        </w:rPr>
        <w:t>U.S. Department of Justice. (2026, June 23). National health care fraud takedown results in 455 defendants charged in connection with over $6.5 billion in alleged fraud. https://www.justice.gov/opa/pr/national-health-care-fraud-takedown-results-455-defendants-charged-connection-over-65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9"/>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A6069"/>
        <w:sz w:val="19"/>
      </w:rPr>
      <w:t>Strategic Technology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4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