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AiMN: From Bug to Breakthrough</w:t>
      </w:r>
    </w:p>
    <w:p>
      <w:pPr>
        <w:pStyle w:val="Subtitle"/>
        <w:rPr/>
      </w:pPr>
      <w:r>
        <w:rPr/>
        <w:t>How a Weekend of Debugging Revealed the Next Frontier in Algorithmic Trading — AI Visual Pattern Confirmation</w:t>
      </w:r>
    </w:p>
    <w:p>
      <w:pPr>
        <w:pStyle w:val="Normal"/>
        <w:spacing w:lineRule="auto" w:line="300" w:before="0" w:after="60"/>
        <w:rPr/>
      </w:pPr>
      <w:r>
        <w:rPr>
          <w:b/>
          <w:bCs/>
          <w:color w:val="000000"/>
          <w:sz w:val="22"/>
          <w:szCs w:val="22"/>
        </w:rPr>
        <w:t>Prepared for: Investor &amp; Strategic Partner Review</w:t>
      </w:r>
    </w:p>
    <w:p>
      <w:pPr>
        <w:pStyle w:val="Normal"/>
        <w:spacing w:lineRule="auto" w:line="300" w:before="0" w:after="60"/>
        <w:rPr/>
      </w:pPr>
      <w:r>
        <w:rPr>
          <w:b w:val="false"/>
          <w:bCs w:val="false"/>
          <w:color w:val="000000"/>
          <w:sz w:val="22"/>
          <w:szCs w:val="22"/>
        </w:rPr>
        <w:t>Project: AiMN (Automated Intelligent Money Navigator) — Self-Tuning Algorithmic Trading Platform</w:t>
      </w:r>
    </w:p>
    <w:p>
      <w:pPr>
        <w:pStyle w:val="Normal"/>
        <w:spacing w:lineRule="auto" w:line="300" w:before="0" w:after="60"/>
        <w:rPr/>
      </w:pPr>
      <w:r>
        <w:rPr>
          <w:b w:val="false"/>
          <w:bCs w:val="false"/>
          <w:color w:val="000000"/>
          <w:sz w:val="22"/>
          <w:szCs w:val="22"/>
        </w:rPr>
        <w:t>Founder: Meir Niv — 45 Years of Trading &amp; Software Engineering Experience</w:t>
      </w:r>
    </w:p>
    <w:p>
      <w:pPr>
        <w:pStyle w:val="Normal"/>
        <w:spacing w:lineRule="auto" w:line="300" w:before="0" w:after="360"/>
        <w:rPr/>
      </w:pPr>
      <w:r>
        <w:rPr>
          <w:b w:val="false"/>
          <w:bCs w:val="false"/>
          <w:color w:val="000000"/>
          <w:sz w:val="22"/>
          <w:szCs w:val="22"/>
        </w:rPr>
        <w:t>Date: June 2026</w:t>
      </w:r>
    </w:p>
    <w:p>
      <w:pPr>
        <w:pStyle w:val="Normal"/>
        <w:pBdr>
          <w:bottom w:val="single" w:sz="6" w:space="1" w:color="D9E6F2"/>
        </w:pBdr>
        <w:spacing w:before="240" w:after="240"/>
        <w:rPr/>
      </w:pPr>
      <w:r>
        <w:rPr/>
      </w:r>
    </w:p>
    <w:p>
      <w:pPr>
        <w:pStyle w:val="Heading2"/>
        <w:rPr/>
      </w:pPr>
      <w:r>
        <w:rPr/>
        <w:t>Executive Summary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document tells the story of a real engineering weekend that turned a frustrating drawdown into the most important strategic insight in AiMN’s development to date: that purely numerical signals (RSI, MACD, volume ratios) are not sufficient on their own to safely time entries on volatile, multi-stage price moves — and that the missing ingredient is visual pattern confirmation, exactly the kind of judgment an experienced trader makes by looking at a chart.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We propose building this capability into AiMN as a premium, AI-vision-assisted entry confirmation layer — turning the very debugging process that found this gap into the product’s next competitive moat.</w:t>
      </w:r>
    </w:p>
    <w:p>
      <w:pPr>
        <w:pStyle w:val="Heading1"/>
        <w:rPr/>
      </w:pPr>
      <w:r>
        <w:rPr/>
        <w:t>1. The Setup: What AiMN Already Does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AiMN is a fully automated, self-tuning trading system running 24/7 across stocks (via Alpaca) and cryptocurrency (via Gemini). Its core innovation is recognizing that every traded instrument has its own “personality” — a characteristic pattern of price moves, volume behavior, and volatility — and tuning entry/exit rules specifically to that personality rather than applying one-size-fits-all logic.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Over the prior week, this approach produced a strong, validated result on NVIDIA (NVDA):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Jun 10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LONG (V-bottom)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B7A3D"/>
                <w:sz w:val="20"/>
                <w:szCs w:val="20"/>
              </w:rPr>
              <w:t>+0.39%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 min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Jun 10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LONG (V-bottom)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B7A3D"/>
                <w:sz w:val="20"/>
                <w:szCs w:val="20"/>
              </w:rPr>
              <w:t>+0.48%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17 min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Jun 11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LONG (major V)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B7A3D"/>
                <w:sz w:val="20"/>
                <w:szCs w:val="20"/>
              </w:rPr>
              <w:t>+1.15%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20 min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Jun 12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SHORT (V-top, RSI 99.7)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B7A3D"/>
                <w:sz w:val="20"/>
                <w:szCs w:val="20"/>
              </w:rPr>
              <w:t>+0.48%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 min</w:t>
            </w:r>
          </w:p>
        </w:tc>
      </w:tr>
    </w:tbl>
    <w:p>
      <w:pPr>
        <w:pStyle w:val="Normal"/>
        <w:spacing w:lineRule="auto" w:line="300" w:before="0" w:after="60"/>
        <w:rPr/>
      </w:pPr>
      <w:r>
        <w:rPr>
          <w:b/>
          <w:bCs/>
          <w:color w:val="000000"/>
          <w:sz w:val="22"/>
          <w:szCs w:val="22"/>
        </w:rPr>
        <w:t>Total: +2.50% across four trades, 100% win rate, average holding time under 20 minutes.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proved the core thesis: well-defined V-pattern recognition, calibrated per-instrument, produces a real and repeatable edge on a liquid, well-behaved instrument like NVDA.</w:t>
      </w:r>
    </w:p>
    <w:p>
      <w:pPr>
        <w:pStyle w:val="Heading1"/>
        <w:rPr/>
      </w:pPr>
      <w:r>
        <w:rPr/>
        <w:t>2. The Weekend: When the Same Logic Met Crypto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Encouraged by NVDA’s results, we extended the same V-pattern framework to Bitcoin, Ethereum, and Solana over the weekend — with strict entry rules (RSI ≤ 10 for long entries, RSI ≥ 90 for short entries, the most extreme oversold/overbought readings possible).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The result was a -5.61% drawdown over roughly 24 hours, driven by three distinct, now-understood causes:</w:t>
      </w:r>
    </w:p>
    <w:p>
      <w:pPr>
        <w:pStyle w:val="Heading2"/>
        <w:rPr/>
      </w:pPr>
      <w:r>
        <w:rPr/>
        <w:t>2.1 — The Rapid-Fire Churn Bug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The Volume Spike Hunter — a subsystem designed to catch institutional-sized volume spikes — was closing newly-opened trades within seconds to “make room” for the next detected spike, even when those spikes were essentially identical re-detections of the same event. Nine trades opened and closed within 2.5 minutes.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Fix: Added a 5-minute minimum holding period before any trade can be closed to make room for a new spike signal.</w:t>
      </w:r>
    </w:p>
    <w:p>
      <w:pPr>
        <w:pStyle w:val="Heading2"/>
        <w:rPr/>
      </w:pPr>
      <w:r>
        <w:rPr/>
        <w:t>2.2 — The Orphaned Risk Parameters Bug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Trades opened by the Volume Spike Hunter were never linked to a strategy record, meaning they had no stop-loss, no trailing-stop, and no decay logic — they were running completely unprotected. One such trade sat in a 2-hour drawdown before finally exiting.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Fix: Spike-hunter trades now look up and inherit the full risk parameter set (stop-loss, trailing start, decay rate) from the best-matching tuned strategy for that symbol and direction.</w:t>
      </w:r>
    </w:p>
    <w:p>
      <w:pPr>
        <w:pStyle w:val="Heading2"/>
        <w:rPr/>
      </w:pPr>
      <w:r>
        <w:rPr/>
        <w:t>2.3 — The Real Discovery: Confirmation Was Optional, Not Mandatory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is the insight that matters most. The strategy code contained a “V-bottom confirmation” check — requiring price to have actually turned and recovered for at least one candle before entering — but it was implemented as one of two alternative paths to entry, not a requirement. An RSI-extreme reading alone, even without any confirmed turn, was sufficient to trigger an entry.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In practice, this meant the system could enter a LONG position in the middle of an ongoing decline, simply because RSI happened to read “extreme” — which it can do repeatedly during a single multi-stage drop, not just once at the true bottom.</w:t>
      </w:r>
    </w:p>
    <w:p>
      <w:pPr>
        <w:pStyle w:val="Normal"/>
        <w:pBdr>
          <w:left w:val="single" w:sz="18" w:space="8" w:color="1F4E79"/>
        </w:pBdr>
        <w:spacing w:lineRule="auto" w:line="300" w:before="80" w:after="160"/>
        <w:ind w:start="480"/>
        <w:rPr/>
      </w:pPr>
      <w:r>
        <w:rPr>
          <w:color w:val="595959"/>
          <w:sz w:val="22"/>
          <w:szCs w:val="22"/>
        </w:rPr>
        <w:t>“</w:t>
      </w:r>
      <w:r>
        <w:rPr>
          <w:color w:val="595959"/>
          <w:sz w:val="22"/>
          <w:szCs w:val="22"/>
        </w:rPr>
        <w:t>We entered LONG at the top of a Short-V. Visually it was obvious — price had made a lower high and was clearly continuing down — but the algorithm didn’t require that confirmation.” — Meir Niv, reviewing the live chart in real time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Fix: V-bottom (and V-top) confirmation — two consecutive candles establishing a genuine reversal — is now mandatory for every entry, on every symbol, not just NVDA.</w:t>
      </w:r>
    </w:p>
    <w:p>
      <w:pPr>
        <w:pStyle w:val="Heading1"/>
        <w:rPr/>
      </w:pPr>
      <w:r>
        <w:rPr/>
        <w:t>3. The Turnaround: Same Day Validation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Within hours of deploying the confirmation fix, the system opened two new trades under the corrected logic:</w:t>
      </w:r>
    </w:p>
    <w:p>
      <w:pPr>
        <w:pStyle w:val="ListParagraph"/>
        <w:numPr>
          <w:ilvl w:val="0"/>
          <w:numId w:val="4"/>
        </w:numPr>
        <w:spacing w:lineRule="auto" w:line="281" w:before="0" w:after="80"/>
        <w:rPr/>
      </w:pPr>
      <w:r>
        <w:rPr>
          <w:sz w:val="22"/>
          <w:szCs w:val="22"/>
        </w:rPr>
        <w:t>ETH/USD LONG — exited via trailing stop at +1.83% (peak 2.06%)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BTC/USD LONG — exited via decay/gate logic at +1.24%</w:t>
      </w:r>
    </w:p>
    <w:p>
      <w:pPr>
        <w:pStyle w:val="Normal"/>
        <w:spacing w:lineRule="auto" w:line="300" w:before="0" w:after="160"/>
        <w:rPr/>
      </w:pPr>
      <w:r>
        <w:rPr>
          <w:b/>
          <w:bCs/>
          <w:color w:val="000000"/>
          <w:sz w:val="22"/>
          <w:szCs w:val="22"/>
        </w:rPr>
        <w:t>Combined with the resolution of the legacy (pre-fix) position, total portfolio P&amp;L recovered from +5.09% to +8.02% — a +2.93% net gain from two trades, both opened after the fix and both winners.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More importantly than the dollar figure: this is direct, same-day empirical evidence that “confirmed reversal” entries materially outperform “extreme reading alone” entries on crypto — exactly matching what a visual chart-reader would have concluded by eye.</w:t>
      </w:r>
    </w:p>
    <w:p>
      <w:pPr>
        <w:pStyle w:val="Heading1"/>
        <w:rPr/>
      </w:pPr>
      <w:r>
        <w:rPr/>
        <w:t>4. The Proposal: AI Visual Pattern Confirmation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The bug we just fixed was a rule-based approximation of something a human trader does instinctively: look at the chart and ask, “has this thing actually turned, or is it still falling?” Our fix encodes one specific, narrow version of that judgment (2-candle reversal confirmation).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We propose going further: building a vision-AI confirmation layer that looks at the actual chart — candles, volume, recent structure — the way an experienced trader does, and renders a judgment before any high-conviction entry is taken.</w:t>
      </w:r>
    </w:p>
    <w:p>
      <w:pPr>
        <w:pStyle w:val="Heading2"/>
        <w:rPr/>
      </w:pPr>
      <w:r>
        <w:rPr/>
        <w:t>4.1 — How It Would Work</w:t>
      </w:r>
    </w:p>
    <w:p>
      <w:pPr>
        <w:pStyle w:val="ListParagraph"/>
        <w:numPr>
          <w:ilvl w:val="0"/>
          <w:numId w:val="5"/>
        </w:numPr>
        <w:spacing w:lineRule="auto" w:line="281" w:before="0" w:after="80"/>
        <w:rPr/>
      </w:pPr>
      <w:r>
        <w:rPr>
          <w:sz w:val="22"/>
          <w:szCs w:val="22"/>
        </w:rPr>
        <w:t>Signal Generation (unchanged): The existing rule-based engine continues to scan for RSI/MACD/volume conditions exactly as today — this remains the first-pass filter and the system’s safety net.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Chart Snapshot: When a candidate entry signal fires, the system renders a chart image of the relevant symbol and timeframe — the same view a trader would pull up.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AI Vision Review: The chart image is sent to a vision-capable AI model with a structured prompt: “Is this a confirmed reversal with at least two candles of follow-through, or is this still mid-move? Respond CONFIRMED / NOT_CONFIRMED / UNCLEAR with a brief rationale.”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Gated Execution: The trade proceeds only if both the rule-based filter AND the AI vision review agree. Disagreements are logged for ongoing calibration.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Continuous Calibration: Every signal — confirmed or rejected — is logged with its eventual outcome, building a growing dataset that lets us measure (and improve) how often AI vision review adds value over rules alone.</w:t>
      </w:r>
    </w:p>
    <w:p>
      <w:pPr>
        <w:pStyle w:val="Heading2"/>
        <w:rPr/>
      </w:pPr>
      <w:r>
        <w:rPr/>
        <w:t>4.2 — Why This Is the Right Next Step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It directly extends a fix we already validated worked — we are scaling up a proven concept, not speculating on an untested one.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It is naturally a premium feature: a free tier runs on rules alone (as today); a premium tier adds AI visual confirmation — “an AI literally looks at the chart like an experienced trader before risking your capital.”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It is incremental and safe to roll out: the rule-based system remains the foundation and fallback at every step; AI vision can only ADD a confirmation gate, never bypass existing risk controls.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It generalizes across instruments: the same visual-confirmation question (“has this reversed, or is it still moving?”) applies whether we are looking at NVDA, BTC, oil (USO), or any future instrument — unlike instrument-specific numerical thresholds, which require constant re-tuning.</w:t>
      </w:r>
    </w:p>
    <w:p>
      <w:pPr>
        <w:pStyle w:val="Heading2"/>
        <w:rPr/>
      </w:pPr>
      <w:r>
        <w:rPr/>
        <w:t>4.3 — Practical Considerations &amp; Phased Rollout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7200"/>
      </w:tblGrid>
      <w:tr>
        <w:trPr/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0. Shadow Mode</w:t>
            </w:r>
          </w:p>
        </w:tc>
        <w:tc>
          <w:tcPr>
            <w:tcW w:w="7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AI vision review runs alongside live trading but does not block entries. We log agreement/disagreement rates with the rule-based system and, retrospectively, with actual outcomes. Zero execution risk.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1. Slower Timeframes</w:t>
            </w:r>
          </w:p>
        </w:tc>
        <w:tc>
          <w:tcPr>
            <w:tcW w:w="7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Enable as a live gate on 30m/1hr signals first, where 1–3 second AI latency is immaterial relative to the holding period.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2. Premium Tier Launch</w:t>
            </w:r>
          </w:p>
        </w:tc>
        <w:tc>
          <w:tcPr>
            <w:tcW w:w="7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Package as a subscription add-on: “AI Vision Confirmation”, marketed with real before/after data from this very weekend’s turnaround.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3. Faster Timeframes</w:t>
            </w:r>
          </w:p>
        </w:tc>
        <w:tc>
          <w:tcPr>
            <w:tcW w:w="7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Once latency and cost are well understood, extend to 5m/1m signals where appropriate, potentially via lighter-weight or cached vision evaluation.</w:t>
            </w:r>
          </w:p>
        </w:tc>
      </w:tr>
    </w:tbl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Cost and latency are the primary engineering considerations: each AI vision call carries a small per-call cost and 1–3 seconds of latency. For 30-minute-and-longer signals (where our strongest tuned strategies already live — see Section 5), this is negligible relative to the holding period and is easily justified by the premium pricing model.</w:t>
      </w:r>
    </w:p>
    <w:p>
      <w:pPr>
        <w:pStyle w:val="Heading1"/>
        <w:rPr/>
      </w:pPr>
      <w:r>
        <w:rPr/>
        <w:t>5. Supporting Evidence: The Data Already Points This Way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During this same debugging session, we audited and cleaned up the crypto strategy set, removing dead and underperforming configurations. What remained tells its own story: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12 active crypto strategies retained, all with backtested profit factors of 1.25% or higher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The strongest performers — BTC SHORT 30m (7.08), ETH LONG 30m (3.99), SOL LONG 1hr (3.33), BTC LONG 1hr (2.79) — are concentrated on 30-minute and 1-hour timeframes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Weaker performers (BTC LONG 1m, BTC SHORT 1m, and several 2-hour configurations) were removed entirely — they had zero validated profitability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pattern — longer timeframes outperforming shorter ones in crypto — is consistent with the core finding of this document: crypto price moves unfold over a longer, more multi-staged process than NVDA’s sharp, fast V-patterns, which is precisely the regime where visual confirmation (“has the move actually turned, with follow-through?”) adds the most value relative to instantaneous numerical readings.</w:t>
      </w:r>
    </w:p>
    <w:p>
      <w:pPr>
        <w:pStyle w:val="Heading1"/>
        <w:rPr/>
      </w:pPr>
      <w:r>
        <w:rPr/>
        <w:t>6. The Bigger Picture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AiMN’s broader mission is to generate consistent trading returns that reduce dependency on outside capital while funding HaGOLEM, a humanoid robotics operating system platform. Every improvement to AiMN’s reliability and edge directly extends the runway for that mission.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weekend’s events — a real drawdown, root-caused in detail, fixed, and validated same-day — are exactly the kind of operational discipline and rapid iteration that turns a promising algorithmic system into an institutional-grade one. The AI Visual Pattern Confirmation initiative proposed here is the natural, evidence-backed next step in that progression.</w:t>
      </w:r>
    </w:p>
    <w:p>
      <w:pPr>
        <w:pStyle w:val="Normal"/>
        <w:pBdr>
          <w:left w:val="single" w:sz="18" w:space="8" w:color="1F4E79"/>
        </w:pBdr>
        <w:spacing w:lineRule="auto" w:line="300" w:before="80" w:after="160"/>
        <w:ind w:start="480"/>
        <w:rPr/>
      </w:pPr>
      <w:r>
        <w:rPr>
          <w:color w:val="595959"/>
          <w:sz w:val="22"/>
          <w:szCs w:val="22"/>
        </w:rPr>
        <w:t>“</w:t>
      </w:r>
      <w:r>
        <w:rPr>
          <w:color w:val="595959"/>
          <w:sz w:val="22"/>
          <w:szCs w:val="22"/>
        </w:rPr>
        <w:t>There is always hope.”</w:t>
      </w:r>
    </w:p>
    <w:p>
      <w:pPr>
        <w:pStyle w:val="Heading1"/>
        <w:rPr/>
      </w:pPr>
      <w:r>
        <w:rPr/>
        <w:t>7. Next Steps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Deploy Shadow Mode AI vision logging across all active strategies (estimated 1–2 weeks of development)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Collect 2–4 weeks of shadow-mode agreement/outcome data across NVDA, BTC, ETH, and SOL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Review results and determine go-live gating for 30m/1hr signals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Package premium tier and prepare go-to-market materials, leveraging this weekend’s documented turnaround as a proof point</w:t>
      </w:r>
    </w:p>
    <w:p>
      <w:pPr>
        <w:pStyle w:val="Normal"/>
        <w:spacing w:lineRule="auto" w:line="300" w:before="0" w:after="200"/>
        <w:rPr/>
      </w:pPr>
      <w:r>
        <w:rPr/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595959"/>
          <w:sz w:val="18"/>
          <w:szCs w:val="18"/>
        </w:rPr>
        <w:t>Prepared in collaboration with Claude (Anthropic) as part of AiMN’s ongoing development process.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595959"/>
        <w:sz w:val="16"/>
        <w:szCs w:val="16"/>
      </w:rPr>
      <w:t>AiMN V3.1 — AI Trade Vision Initiative</w:t>
      <w:tab/>
      <w:t xml:space="preserve">Page </w:t>
    </w:r>
    <w:r>
      <w:rPr>
        <w:b w:val="false"/>
        <w:bCs w:val="false"/>
        <w:color w:val="595959"/>
        <w:sz w:val="18"/>
        <w:szCs w:val="18"/>
      </w:rPr>
      <w:fldChar w:fldCharType="begin"/>
    </w:r>
    <w:r>
      <w:rPr>
        <w:b w:val="false"/>
        <w:bCs w:val="false"/>
        <w:color w:val="595959"/>
        <w:sz w:val="18"/>
        <w:szCs w:val="18"/>
      </w:rPr>
      <w:instrText xml:space="preserve"> PAGE </w:instrText>
    </w:r>
    <w:r>
      <w:rPr>
        <w:b w:val="false"/>
        <w:bCs w:val="false"/>
        <w:color w:val="595959"/>
        <w:sz w:val="18"/>
        <w:szCs w:val="18"/>
      </w:rPr>
      <w:fldChar w:fldCharType="separate"/>
    </w:r>
    <w:r>
      <w:rPr>
        <w:b w:val="false"/>
        <w:bCs w:val="false"/>
        <w:color w:val="595959"/>
        <w:sz w:val="18"/>
        <w:szCs w:val="18"/>
      </w:rPr>
      <w:t>5</w:t>
    </w:r>
    <w:r>
      <w:rPr>
        <w:b w:val="false"/>
        <w:bCs w:val="false"/>
        <w:color w:val="595959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595959"/>
        <w:sz w:val="16"/>
        <w:szCs w:val="16"/>
      </w:rPr>
      <w:t>AiMN V3.1 — AI Trade Vision Initiative</w:t>
      <w:tab/>
      <w:t xml:space="preserve">Page </w:t>
    </w:r>
    <w:r>
      <w:rPr>
        <w:b w:val="false"/>
        <w:bCs w:val="false"/>
        <w:color w:val="595959"/>
        <w:sz w:val="18"/>
        <w:szCs w:val="18"/>
      </w:rPr>
      <w:fldChar w:fldCharType="begin"/>
    </w:r>
    <w:r>
      <w:rPr>
        <w:b w:val="false"/>
        <w:bCs w:val="false"/>
        <w:color w:val="595959"/>
        <w:sz w:val="18"/>
        <w:szCs w:val="18"/>
      </w:rPr>
      <w:instrText xml:space="preserve"> PAGE </w:instrText>
    </w:r>
    <w:r>
      <w:rPr>
        <w:b w:val="false"/>
        <w:bCs w:val="false"/>
        <w:color w:val="595959"/>
        <w:sz w:val="18"/>
        <w:szCs w:val="18"/>
      </w:rPr>
      <w:fldChar w:fldCharType="separate"/>
    </w:r>
    <w:r>
      <w:rPr>
        <w:b w:val="false"/>
        <w:bCs w:val="false"/>
        <w:color w:val="595959"/>
        <w:sz w:val="18"/>
        <w:szCs w:val="18"/>
      </w:rPr>
      <w:t>5</w:t>
    </w:r>
    <w:r>
      <w:rPr>
        <w:b w:val="false"/>
        <w:bCs w:val="false"/>
        <w:color w:val="595959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E6F2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6"/>
        <w:szCs w:val="16"/>
      </w:rPr>
      <w:t>AiMN — Automated Intelligent Money Navigator</w:t>
    </w:r>
    <w:r>
      <w:rPr>
        <w:color w:val="595959"/>
        <w:sz w:val="16"/>
        <w:szCs w:val="16"/>
      </w:rPr>
      <w:tab/>
      <w:t>Proprietary &amp;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E6F2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6"/>
        <w:szCs w:val="16"/>
      </w:rPr>
      <w:t>AiMN — Automated Intelligent Money Navigator</w:t>
    </w:r>
    <w:r>
      <w:rPr>
        <w:color w:val="595959"/>
        <w:sz w:val="16"/>
        <w:szCs w:val="16"/>
      </w:rPr>
      <w:tab/>
      <w:t>Proprietary &amp;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1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textFit" w:percent="18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D9E6F2"/>
      </w:pBd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0" w:after="80"/>
    </w:pPr>
    <w:rPr>
      <w:rFonts w:ascii="Arial" w:hAnsi="Arial" w:eastAsia="Arial" w:cs="Arial"/>
      <w:b/>
      <w:bCs/>
      <w:color w:val="1F4E79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qFormat/>
    <w:pPr>
      <w:spacing w:before="0" w:after="360"/>
    </w:pPr>
    <w:rPr>
      <w:rFonts w:ascii="Arial" w:hAnsi="Arial" w:eastAsia="Arial" w:cs="Arial"/>
      <w:color w:val="595959"/>
      <w:sz w:val="26"/>
      <w:szCs w:val="2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LibreOffice/25.8.6.1$Windows_X86_64 LibreOffice_project/85297ec6e49ec4e6faaa6f11880d49294fc70e60</Application>
  <AppVersion>15.0000</AppVersion>
  <Pages>2</Pages>
  <Words>1694</Words>
  <Characters>9367</Characters>
  <CharactersWithSpaces>10989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2026-06-15T02:01:55Z</dcterms:created>
  <dc:creator>Un-named</dc:creator>
  <dc:description/>
  <dc:language>en-US</dc:language>
  <cp:lastModifiedBy>Un-named</cp:lastModifiedBy>
  <dcterms:modified xsi:type="dcterms:W3CDTF">2026-06-15T02:01:55Z</dcterms:modified>
  <cp:revision>1</cp:revision>
  <dc:subject/>
  <dc:title/>
</cp:coreProperties>
</file>