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jc w:val="center"/>
      </w:pPr>
      <w:r>
        <w:rPr>
          <w:rFonts w:ascii="Arial" w:cs="Arial" w:eastAsia="Arial" w:hAnsi="Arial"/>
          <w:b/>
          <w:bCs/>
          <w:caps/>
          <w:color w:val="047857"/>
          <w:sz w:val="28"/>
          <w:szCs w:val="28"/>
        </w:rPr>
        <w:t xml:space="preserve">mathsedu.org</w:t>
      </w:r>
    </w:p>
    <w:p>
      <w:pPr>
        <w:spacing w:before="80" w:after="80"/>
        <w:jc w:val="center"/>
      </w:pPr>
      <w:r>
        <w:rPr>
          <w:rFonts w:ascii="Arial" w:cs="Arial" w:eastAsia="Arial" w:hAnsi="Arial"/>
          <w:color w:val="6b7280"/>
          <w:sz w:val="24"/>
          <w:szCs w:val="24"/>
        </w:rPr>
        <w:t xml:space="preserve">Quantitative Finance Series</w:t>
      </w:r>
    </w:p>
    <w:p>
      <w:pPr>
        <w:pBdr>
          <w:bottom w:val="single" w:color="047857" w:sz="6" w:space="1"/>
        </w:pBdr>
        <w:spacing w:before="320" w:after="120"/>
        <w:jc w:val="center"/>
      </w:pPr>
      <w:r>
        <w:rPr>
          <w:rFonts w:ascii="Arial" w:cs="Arial" w:eastAsia="Arial" w:hAnsi="Arial"/>
          <w:b/>
          <w:bCs/>
          <w:color w:val="0f172a"/>
          <w:sz w:val="52"/>
          <w:szCs w:val="52"/>
        </w:rPr>
        <w:t xml:space="preserve">Market Conventions &amp; Quant Language</w:t>
      </w:r>
    </w:p>
    <w:p>
      <w:pPr>
        <w:spacing w:before="160" w:after="80"/>
        <w:jc w:val="center"/>
      </w:pPr>
      <w:r>
        <w:rPr>
          <w:rFonts w:ascii="Arial" w:cs="Arial" w:eastAsia="Arial" w:hAnsi="Arial"/>
          <w:color w:val="6b7280"/>
          <w:sz w:val="28"/>
          <w:szCs w:val="28"/>
        </w:rPr>
        <w:t xml:space="preserve">A Comprehensive Build Specification</w:t>
      </w:r>
    </w:p>
    <w:p>
      <w:pPr>
        <w:spacing w:before="480" w:after="40"/>
        <w:jc w:val="center"/>
      </w:pPr>
      <w:r>
        <w:rPr>
          <w:rFonts w:ascii="Arial" w:cs="Arial" w:eastAsia="Arial" w:hAnsi="Arial"/>
          <w:b/>
          <w:bCs/>
          <w:color w:val="047857"/>
          <w:sz w:val="24"/>
          <w:szCs w:val="24"/>
        </w:rPr>
        <w:t xml:space="preserve">How Markets Speak. How Quants Think. The Bridge Between.</w:t>
      </w:r>
    </w:p>
    <w:p>
      <w:r>
        <w:t xml:space="preserve"/>
      </w:r>
    </w:p>
    <w:p>
      <w:r>
        <w:t xml:space="preserve"/>
      </w:r>
    </w:p>
    <w:p>
      <w:pPr>
        <w:spacing w:before="40" w:after="40"/>
        <w:jc w:val="center"/>
      </w:pPr>
      <w:r>
        <w:rPr>
          <w:rFonts w:ascii="Arial" w:cs="Arial" w:eastAsia="Arial" w:hAnsi="Arial"/>
          <w:color w:val="6b7280"/>
          <w:sz w:val="20"/>
          <w:szCs w:val="20"/>
        </w:rPr>
        <w:t xml:space="preserve">Prepared: 27 March 2026</w:t>
      </w:r>
    </w:p>
    <w:p>
      <w:pPr>
        <w:jc w:val="center"/>
      </w:pPr>
      <w:r>
        <w:rPr>
          <w:rFonts w:ascii="Arial" w:cs="Arial" w:eastAsia="Arial" w:hAnsi="Arial"/>
          <w:color w:val="6b7280"/>
          <w:sz w:val="20"/>
          <w:szCs w:val="20"/>
        </w:rPr>
        <w:t xml:space="preserve">Version 1.0  |  7 Modules  |  Full Derivations + Interactive Converters</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1. Series Philosophy &amp; Design Rationale</w:t>
      </w:r>
    </w:p>
    <w:p>
      <w:pPr>
        <w:spacing w:before="60" w:after="60"/>
      </w:pPr>
      <w:r>
        <w:rPr>
          <w:rFonts w:ascii="Arial" w:cs="Arial" w:eastAsia="Arial" w:hAnsi="Arial"/>
          <w:b w:val="false"/>
          <w:bCs w:val="false"/>
          <w:color w:val="1a1a2e"/>
          <w:sz w:val="22"/>
          <w:szCs w:val="22"/>
        </w:rPr>
        <w:t xml:space="preserve">Every derivatives desk has a version of this conversation on day one. The new quant, fresh from a mathematics PhD, sees a Bloomberg screen quoting FX options in terms of "25-delta risk reversals" and asks: what is a 25-delta risk reversal? The trader replies: it's the vol at 25 delta minus the vol at 25 delta put. The quant asks: which delta convention? Premium-included or excluded? The trader stares.</w:t>
      </w:r>
    </w:p>
    <w:p>
      <w:pPr>
        <w:spacing w:before="60" w:after="60"/>
      </w:pPr>
      <w:r>
        <w:rPr>
          <w:rFonts w:ascii="Arial" w:cs="Arial" w:eastAsia="Arial" w:hAnsi="Arial"/>
          <w:b w:val="false"/>
          <w:bCs w:val="false"/>
          <w:color w:val="1a1a2e"/>
          <w:sz w:val="22"/>
          <w:szCs w:val="22"/>
        </w:rPr>
        <w:t xml:space="preserve">This series bridges that gap systematically. It is not a theoretical treatise, nor a trader's cheat sheet. It is a principled translation manual — showing precisely why markets adopted certain quoting conventions, what mathematical transformation is required to convert them into model-ready inputs, and why both representations are necessary.</w:t>
      </w:r>
    </w:p>
    <w:p>
      <w:r>
        <w:t xml:space="preserve"/>
      </w:r>
    </w:p>
    <w:p>
      <w:pPr>
        <w:pStyle w:val="Heading2"/>
        <w:spacing w:before="280" w:after="100"/>
      </w:pPr>
      <w:r>
        <w:rPr>
          <w:rFonts w:ascii="Arial" w:cs="Arial" w:eastAsia="Arial" w:hAnsi="Arial"/>
          <w:b/>
          <w:bCs/>
          <w:color w:val="047857"/>
          <w:sz w:val="28"/>
          <w:szCs w:val="28"/>
        </w:rPr>
        <w:t xml:space="preserve">1.1 The Core Tension</w:t>
      </w:r>
    </w:p>
    <w:p>
      <w:pPr>
        <w:spacing w:before="60" w:after="60"/>
      </w:pPr>
      <w:r>
        <w:rPr>
          <w:rFonts w:ascii="Arial" w:cs="Arial" w:eastAsia="Arial" w:hAnsi="Arial"/>
          <w:b w:val="false"/>
          <w:bCs w:val="false"/>
          <w:color w:val="1a1a2e"/>
          <w:sz w:val="22"/>
          <w:szCs w:val="22"/>
        </w:rPr>
        <w:t xml:space="preserve">Markets evolved their conventions under three pressures that have nothing to do with mathematical elegance:</w:t>
      </w:r>
    </w:p>
    <w:p>
      <w:pPr>
        <w:pStyle w:val="ListParagraph"/>
        <w:numPr>
          <w:ilvl w:val="0"/>
          <w:numId w:val="2"/>
        </w:numPr>
        <w:spacing w:before="40" w:after="40"/>
      </w:pPr>
      <w:r>
        <w:rPr>
          <w:rFonts w:ascii="Arial" w:cs="Arial" w:eastAsia="Arial" w:hAnsi="Arial"/>
          <w:color w:val="1a1a2e"/>
          <w:sz w:val="22"/>
          <w:szCs w:val="22"/>
        </w:rPr>
        <w:t xml:space="preserve">Speed: a trader quoting "vol" rather than "the annualised standard deviation of the log-return process" saves time across ten thousand transactions per day.</w:t>
      </w:r>
    </w:p>
    <w:p>
      <w:pPr>
        <w:pStyle w:val="ListParagraph"/>
        <w:numPr>
          <w:ilvl w:val="0"/>
          <w:numId w:val="2"/>
        </w:numPr>
        <w:spacing w:before="40" w:after="40"/>
      </w:pPr>
      <w:r>
        <w:rPr>
          <w:rFonts w:ascii="Arial" w:cs="Arial" w:eastAsia="Arial" w:hAnsi="Arial"/>
          <w:color w:val="1a1a2e"/>
          <w:sz w:val="22"/>
          <w:szCs w:val="22"/>
        </w:rPr>
        <w:t xml:space="preserve">Legacy: the 360-day year exists because Roman bankers divided months into 30 days for mental arithmetic. We still price T-bills this way.</w:t>
      </w:r>
    </w:p>
    <w:p>
      <w:pPr>
        <w:pStyle w:val="ListParagraph"/>
        <w:numPr>
          <w:ilvl w:val="0"/>
          <w:numId w:val="2"/>
        </w:numPr>
        <w:spacing w:before="40" w:after="40"/>
      </w:pPr>
      <w:r>
        <w:rPr>
          <w:rFonts w:ascii="Arial" w:cs="Arial" w:eastAsia="Arial" w:hAnsi="Arial"/>
          <w:color w:val="1a1a2e"/>
          <w:sz w:val="22"/>
          <w:szCs w:val="22"/>
        </w:rPr>
        <w:t xml:space="preserve">Intuition: delta is more intuitive to a trader than moneyness; basis points convey magnitude more immediately than percentage of par.</w:t>
      </w:r>
    </w:p>
    <w:p>
      <w:pPr>
        <w:spacing w:before="60" w:after="60"/>
      </w:pPr>
      <w:r>
        <w:rPr>
          <w:rFonts w:ascii="Arial" w:cs="Arial" w:eastAsia="Arial" w:hAnsi="Arial"/>
          <w:b w:val="false"/>
          <w:bCs w:val="false"/>
          <w:color w:val="1a1a2e"/>
          <w:sz w:val="22"/>
          <w:szCs w:val="22"/>
        </w:rPr>
        <w:t xml:space="preserve">Quants, by contrast, need representations that are:</w:t>
      </w:r>
    </w:p>
    <w:p>
      <w:pPr>
        <w:pStyle w:val="ListParagraph"/>
        <w:numPr>
          <w:ilvl w:val="0"/>
          <w:numId w:val="2"/>
        </w:numPr>
        <w:spacing w:before="40" w:after="40"/>
      </w:pPr>
      <w:r>
        <w:rPr>
          <w:rFonts w:ascii="Arial" w:cs="Arial" w:eastAsia="Arial" w:hAnsi="Arial"/>
          <w:color w:val="1a1a2e"/>
          <w:sz w:val="22"/>
          <w:szCs w:val="22"/>
        </w:rPr>
        <w:t xml:space="preserve">Internally consistent: no arbitrage conditions must be verifiable.</w:t>
      </w:r>
    </w:p>
    <w:p>
      <w:pPr>
        <w:pStyle w:val="ListParagraph"/>
        <w:numPr>
          <w:ilvl w:val="0"/>
          <w:numId w:val="2"/>
        </w:numPr>
        <w:spacing w:before="40" w:after="40"/>
      </w:pPr>
      <w:r>
        <w:rPr>
          <w:rFonts w:ascii="Arial" w:cs="Arial" w:eastAsia="Arial" w:hAnsi="Arial"/>
          <w:color w:val="1a1a2e"/>
          <w:sz w:val="22"/>
          <w:szCs w:val="22"/>
        </w:rPr>
        <w:t xml:space="preserve">Model-ready: formulae must accept well-defined inputs without ambiguity.</w:t>
      </w:r>
    </w:p>
    <w:p>
      <w:pPr>
        <w:pStyle w:val="ListParagraph"/>
        <w:numPr>
          <w:ilvl w:val="0"/>
          <w:numId w:val="2"/>
        </w:numPr>
        <w:spacing w:before="40" w:after="40"/>
      </w:pPr>
      <w:r>
        <w:rPr>
          <w:rFonts w:ascii="Arial" w:cs="Arial" w:eastAsia="Arial" w:hAnsi="Arial"/>
          <w:color w:val="1a1a2e"/>
          <w:sz w:val="22"/>
          <w:szCs w:val="22"/>
        </w:rPr>
        <w:t xml:space="preserve">Mathematically continuous: interpolation, differentiation, and integration must behave sensibly.</w:t>
      </w:r>
    </w:p>
    <w:p>
      <w:pPr>
        <w:pBdr>
          <w:left w:val="single" w:color="fbbf24" w:sz="4" w:space="8"/>
        </w:pBdr>
        <w:spacing w:before="80" w:after="80"/>
        <w:ind w:left="720" w:right="360"/>
      </w:pPr>
      <w:r>
        <w:rPr>
          <w:rFonts w:ascii="Arial" w:cs="Arial" w:eastAsia="Arial" w:hAnsi="Arial"/>
          <w:color w:val="374151"/>
          <w:sz w:val="21"/>
          <w:szCs w:val="21"/>
        </w:rPr>
        <w:t xml:space="preserve">The gap between these two worlds is not a flaw — it is a feature. Markets need fast, communicable conventions. Models need rigorous mathematics. Understanding both, and the transformation between them, is the mark of a complete quantitative practitioner.</w:t>
      </w:r>
    </w:p>
    <w:p>
      <w:r>
        <w:t xml:space="preserve"/>
      </w:r>
    </w:p>
    <w:p>
      <w:pPr>
        <w:pStyle w:val="Heading2"/>
        <w:spacing w:before="280" w:after="100"/>
      </w:pPr>
      <w:r>
        <w:rPr>
          <w:rFonts w:ascii="Arial" w:cs="Arial" w:eastAsia="Arial" w:hAnsi="Arial"/>
          <w:b/>
          <w:bCs/>
          <w:color w:val="047857"/>
          <w:sz w:val="28"/>
          <w:szCs w:val="28"/>
        </w:rPr>
        <w:t xml:space="preserve">1.2 Series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Audience</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What This Series Gives Them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Junior Quants / New Joiners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The "why" behind conventions they encounter on day one; derivations they can verify; converters they can check against pricing systems.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Traders Wanting the Maths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The mathematical structure underlying the conventions they use daily; an appreciation of where model assumptions enter.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Risk Managers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Understanding of where conventions create comparability problems (e.g. vol basis points vs percentage vols across asset classes); consistent frameworks for stress testing.</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Students &amp; Academics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practitioner-grounded complement to textbook theory; worked examples calibrated to real market data.</w:t>
            </w:r>
          </w:p>
        </w:tc>
      </w:tr>
    </w:tbl>
    <w:p>
      <w:r>
        <w:t xml:space="preserve"/>
      </w:r>
    </w:p>
    <w:p>
      <w:pPr>
        <w:pStyle w:val="Heading2"/>
        <w:spacing w:before="280" w:after="100"/>
      </w:pPr>
      <w:r>
        <w:rPr>
          <w:rFonts w:ascii="Arial" w:cs="Arial" w:eastAsia="Arial" w:hAnsi="Arial"/>
          <w:b/>
          <w:bCs/>
          <w:color w:val="047857"/>
          <w:sz w:val="28"/>
          <w:szCs w:val="28"/>
        </w:rPr>
        <w:t xml:space="preserve">1.3 How Each Module Is Structured</w:t>
      </w:r>
    </w:p>
    <w:p>
      <w:pPr>
        <w:spacing w:before="60" w:after="60"/>
      </w:pPr>
      <w:r>
        <w:rPr>
          <w:rFonts w:ascii="Arial" w:cs="Arial" w:eastAsia="Arial" w:hAnsi="Arial"/>
          <w:b w:val="false"/>
          <w:bCs w:val="false"/>
          <w:color w:val="1a1a2e"/>
          <w:sz w:val="22"/>
          <w:szCs w:val="22"/>
        </w:rPr>
        <w:t xml:space="preserve">Every module follows the same five-section architecture:</w:t>
      </w:r>
    </w:p>
    <w:p>
      <w:pPr>
        <w:pStyle w:val="ListParagraph"/>
        <w:numPr>
          <w:ilvl w:val="0"/>
          <w:numId w:val="3"/>
        </w:numPr>
        <w:spacing w:before="40" w:after="40"/>
      </w:pPr>
      <w:r>
        <w:rPr>
          <w:rFonts w:ascii="Arial" w:cs="Arial" w:eastAsia="Arial" w:hAnsi="Arial"/>
          <w:color w:val="1a1a2e"/>
          <w:sz w:val="22"/>
          <w:szCs w:val="22"/>
        </w:rPr>
        <w:t xml:space="preserve">The Market Convention — how practitioners quote this quantity and why this convention arose historically.</w:t>
      </w:r>
    </w:p>
    <w:p>
      <w:pPr>
        <w:pStyle w:val="ListParagraph"/>
        <w:numPr>
          <w:ilvl w:val="0"/>
          <w:numId w:val="3"/>
        </w:numPr>
        <w:spacing w:before="40" w:after="40"/>
      </w:pPr>
      <w:r>
        <w:rPr>
          <w:rFonts w:ascii="Arial" w:cs="Arial" w:eastAsia="Arial" w:hAnsi="Arial"/>
          <w:color w:val="1a1a2e"/>
          <w:sz w:val="22"/>
          <w:szCs w:val="22"/>
        </w:rPr>
        <w:t xml:space="preserve">The Mathematical Representation — the rigorous form required by pricing models, with full derivations.</w:t>
      </w:r>
    </w:p>
    <w:p>
      <w:pPr>
        <w:pStyle w:val="ListParagraph"/>
        <w:numPr>
          <w:ilvl w:val="0"/>
          <w:numId w:val="3"/>
        </w:numPr>
        <w:spacing w:before="40" w:after="40"/>
      </w:pPr>
      <w:r>
        <w:rPr>
          <w:rFonts w:ascii="Arial" w:cs="Arial" w:eastAsia="Arial" w:hAnsi="Arial"/>
          <w:color w:val="1a1a2e"/>
          <w:sz w:val="22"/>
          <w:szCs w:val="22"/>
        </w:rPr>
        <w:t xml:space="preserve">The Conversion — step-by-step transformation from market quote to model input, with worked numerical examples.</w:t>
      </w:r>
    </w:p>
    <w:p>
      <w:pPr>
        <w:pStyle w:val="ListParagraph"/>
        <w:numPr>
          <w:ilvl w:val="0"/>
          <w:numId w:val="3"/>
        </w:numPr>
        <w:spacing w:before="40" w:after="40"/>
      </w:pPr>
      <w:r>
        <w:rPr>
          <w:rFonts w:ascii="Arial" w:cs="Arial" w:eastAsia="Arial" w:hAnsi="Arial"/>
          <w:color w:val="1a1a2e"/>
          <w:sz w:val="22"/>
          <w:szCs w:val="22"/>
        </w:rPr>
        <w:t xml:space="preserve">Interactive Converter — a live tool allowing users to enter real market quotes and see the model-ready output, with intermediate steps shown.</w:t>
      </w:r>
    </w:p>
    <w:p>
      <w:pPr>
        <w:pStyle w:val="ListParagraph"/>
        <w:numPr>
          <w:ilvl w:val="0"/>
          <w:numId w:val="3"/>
        </w:numPr>
        <w:spacing w:before="40" w:after="40"/>
      </w:pPr>
      <w:r>
        <w:rPr>
          <w:rFonts w:ascii="Arial" w:cs="Arial" w:eastAsia="Arial" w:hAnsi="Arial"/>
          <w:color w:val="1a1a2e"/>
          <w:sz w:val="22"/>
          <w:szCs w:val="22"/>
        </w:rPr>
        <w:t xml:space="preserve">Where It Matters in Risk &amp; Pricing — specific model contexts (Black-Scholes, SABR, Black-76, Bachelier, CDS pricing) where the correct convention is critical.</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2. Module Overview — Seven Modules</w:t>
      </w:r>
    </w:p>
    <w:p>
      <w:pPr>
        <w:spacing w:before="60" w:after="60"/>
      </w:pPr>
      <w:r>
        <w:rPr>
          <w:rFonts w:ascii="Arial" w:cs="Arial" w:eastAsia="Arial" w:hAnsi="Arial"/>
          <w:b w:val="false"/>
          <w:bCs w:val="false"/>
          <w:color w:val="1a1a2e"/>
          <w:sz w:val="22"/>
          <w:szCs w:val="22"/>
        </w:rPr>
        <w:t xml:space="preserve">The series is organised in seven modules, grouped by asset class. The ordering reflects pedagogical dependency: each module builds on concepts introduced in earlier 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1400"/>
        <w:gridCol w:w="4060"/>
      </w:tblGrid>
      <w:tr>
        <w:tc>
          <w:tcPr>
            <w:tcW w:type="dxa" w:w="9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Working Title</w:t>
            </w:r>
          </w:p>
        </w:tc>
        <w:tc>
          <w:tcPr>
            <w:tcW w:type="dxa" w:w="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Asset Class</w:t>
            </w:r>
          </w:p>
        </w:tc>
        <w:tc>
          <w:tcPr>
            <w:tcW w:type="dxa" w:w="40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Conversions Covered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MC-1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Day Count &amp; Compounding Conventions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Foundation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Act/360 ↔ Act/365 ↔ 30/360; Simple ↔ Annual ↔ Semi-annual ↔ Continuous</w:t>
            </w:r>
          </w:p>
        </w:tc>
      </w:tr>
      <w:tr>
        <w:tc>
          <w:tcPr>
            <w:tcW w:type="dxa" w:w="9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MC-2</w:t>
            </w:r>
          </w:p>
        </w:tc>
        <w:tc>
          <w:tcPr>
            <w:tcW w:type="dxa" w:w="22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Volatility Quoting: Surface to Model Input</w:t>
            </w:r>
          </w:p>
        </w:tc>
        <w:tc>
          <w:tcPr>
            <w:tcW w:type="dxa" w:w="8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Core</w:t>
            </w:r>
          </w:p>
        </w:tc>
        <w:tc>
          <w:tcPr>
            <w:tcW w:type="dxa" w:w="14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Equity, FX, Rates</w:t>
            </w:r>
          </w:p>
        </w:tc>
        <w:tc>
          <w:tcPr>
            <w:tcW w:type="dxa" w:w="40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Strike ↔ Delta ↔ Moneyness; % vol to lognormal model input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MC-3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FX Options: Delta Conventions &amp; Vol Pillars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25Δ RR + 10Δ BF → vol surface; ATM-DN vs ATM-F vs ATM-S; prem-incl/excl delta</w:t>
            </w:r>
          </w:p>
        </w:tc>
      </w:tr>
      <w:tr>
        <w:tc>
          <w:tcPr>
            <w:tcW w:type="dxa" w:w="9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MC-4</w:t>
            </w:r>
          </w:p>
        </w:tc>
        <w:tc>
          <w:tcPr>
            <w:tcW w:type="dxa" w:w="22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Interest Rate Vol: Normal vs Lognormal</w:t>
            </w:r>
          </w:p>
        </w:tc>
        <w:tc>
          <w:tcPr>
            <w:tcW w:type="dxa" w:w="8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Core</w:t>
            </w:r>
          </w:p>
        </w:tc>
        <w:tc>
          <w:tcPr>
            <w:tcW w:type="dxa" w:w="14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Rates</w:t>
            </w:r>
          </w:p>
        </w:tc>
        <w:tc>
          <w:tcPr>
            <w:tcW w:type="dxa" w:w="40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 vol ↔ bp vol (normal vol); Black ↔ Bachelier; SABR calibration conventions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MC-5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Credit Derivatives: Spread to Upfront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Applied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Credit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Par spread ↔ Upfront + std coupon; ISDA conventions; bootstrapping hazard rates</w:t>
            </w:r>
          </w:p>
        </w:tc>
      </w:tr>
      <w:tr>
        <w:tc>
          <w:tcPr>
            <w:tcW w:type="dxa" w:w="9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MC-6</w:t>
            </w:r>
          </w:p>
        </w:tc>
        <w:tc>
          <w:tcPr>
            <w:tcW w:type="dxa" w:w="22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Commodity Options &amp; Black-76</w:t>
            </w:r>
          </w:p>
        </w:tc>
        <w:tc>
          <w:tcPr>
            <w:tcW w:type="dxa" w:w="8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Applied</w:t>
            </w:r>
          </w:p>
        </w:tc>
        <w:tc>
          <w:tcPr>
            <w:tcW w:type="dxa" w:w="14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Commodities</w:t>
            </w:r>
          </w:p>
        </w:tc>
        <w:tc>
          <w:tcPr>
            <w:tcW w:type="dxa" w:w="40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Spot vs forward premium; Black-76 inputs from futures prices; Asian option fixings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MC-7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Swap Bootstrapping &amp; Curve Construction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Applied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Rates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Par swap rates → zero rates → discount factors; OIS vs IBOR; multi-curve world</w:t>
            </w:r>
          </w:p>
        </w:tc>
      </w:tr>
    </w:tbl>
    <w:p>
      <w:r>
        <w:t xml:space="preserve"/>
      </w:r>
    </w:p>
    <w:p>
      <w:r>
        <w:t xml:space="preserve"/>
      </w:r>
    </w:p>
    <w:p>
      <w:pPr>
        <w:pBdr>
          <w:left w:val="single" w:color="fbbf24" w:sz="4" w:space="8"/>
        </w:pBdr>
        <w:spacing w:before="80" w:after="80"/>
        <w:ind w:left="720" w:right="360"/>
      </w:pPr>
      <w:r>
        <w:rPr>
          <w:rFonts w:ascii="Arial" w:cs="Arial" w:eastAsia="Arial" w:hAnsi="Arial"/>
          <w:color w:val="374151"/>
          <w:sz w:val="21"/>
          <w:szCs w:val="21"/>
        </w:rPr>
        <w:t xml:space="preserve">MC-1 is a genuine prerequisite for all subsequent modules — the day count and compounding conventions underpin every rate and volatility conversion that follows. We recommend building and publishing MC-1 first, then MC-2 and MC-3 in parallel, then the remaining modules.</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3. MC-1: Day Count &amp; Compounding Conventions</w:t>
      </w:r>
    </w:p>
    <w:p>
      <w:pPr>
        <w:pStyle w:val="Heading2"/>
        <w:spacing w:before="280" w:after="100"/>
      </w:pPr>
      <w:r>
        <w:rPr>
          <w:rFonts w:ascii="Arial" w:cs="Arial" w:eastAsia="Arial" w:hAnsi="Arial"/>
          <w:b/>
          <w:bCs/>
          <w:color w:val="047857"/>
          <w:sz w:val="28"/>
          <w:szCs w:val="28"/>
        </w:rPr>
        <w:t xml:space="preserve">3.1 The Problem This Module Solves</w:t>
      </w:r>
    </w:p>
    <w:p>
      <w:pPr>
        <w:spacing w:before="60" w:after="60"/>
      </w:pPr>
      <w:r>
        <w:rPr>
          <w:rFonts w:ascii="Arial" w:cs="Arial" w:eastAsia="Arial" w:hAnsi="Arial"/>
          <w:b w:val="false"/>
          <w:bCs w:val="false"/>
          <w:color w:val="1a1a2e"/>
          <w:sz w:val="22"/>
          <w:szCs w:val="22"/>
        </w:rPr>
        <w:t xml:space="preserve">Two bonds both quote a yield of "5%". One uses Act/365 with annual compounding; the other uses Act/360 with semi-annual compounding. They are not offering the same return. This module establishes the mathematical machinery to compare them.</w:t>
      </w:r>
    </w:p>
    <w:p>
      <w:r>
        <w:t xml:space="preserve"/>
      </w:r>
    </w:p>
    <w:p>
      <w:pPr>
        <w:pStyle w:val="Heading2"/>
        <w:spacing w:before="280" w:after="100"/>
      </w:pPr>
      <w:r>
        <w:rPr>
          <w:rFonts w:ascii="Arial" w:cs="Arial" w:eastAsia="Arial" w:hAnsi="Arial"/>
          <w:b/>
          <w:bCs/>
          <w:color w:val="047857"/>
          <w:sz w:val="28"/>
          <w:szCs w:val="28"/>
        </w:rPr>
        <w:t xml:space="preserve">3.2 Day Count Conventions</w:t>
      </w:r>
    </w:p>
    <w:p>
      <w:pPr>
        <w:pStyle w:val="Heading3"/>
        <w:spacing w:before="200" w:after="80"/>
      </w:pPr>
      <w:r>
        <w:rPr>
          <w:rFonts w:ascii="Arial" w:cs="Arial" w:eastAsia="Arial" w:hAnsi="Arial"/>
          <w:b/>
          <w:bCs/>
          <w:color w:val="374151"/>
          <w:sz w:val="24"/>
          <w:szCs w:val="24"/>
        </w:rPr>
        <w:t xml:space="preserve">3.2.1 Market Conventions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Convention</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Market / Instrument Usage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Actual/Actual (ISDA)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Government bonds (US Treasuries, UK Gilts); most liquid fixed income globally.</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Actual/360</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Money market instruments: T-bills, CP, repos, LIBOR-based instruments.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Actual/365 Fixed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Sterling money markets; many Asian markets; some GBP swaps.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30/360 (Bond Basis)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US corporate and municipal bonds; Eurobonds.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30E/360 (Eurobond Basis)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European fixed income; covered bonds.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Actual/Actual (ICMA)</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Coupon payments on bonds where coupon period = regular interval.</w:t>
            </w:r>
          </w:p>
        </w:tc>
      </w:tr>
    </w:tbl>
    <w:p>
      <w:r>
        <w:t xml:space="preserve"/>
      </w:r>
    </w:p>
    <w:p>
      <w:pPr>
        <w:pStyle w:val="Heading3"/>
        <w:spacing w:before="200" w:after="80"/>
      </w:pPr>
      <w:r>
        <w:rPr>
          <w:rFonts w:ascii="Arial" w:cs="Arial" w:eastAsia="Arial" w:hAnsi="Arial"/>
          <w:b/>
          <w:bCs/>
          <w:color w:val="374151"/>
          <w:sz w:val="24"/>
          <w:szCs w:val="24"/>
        </w:rPr>
        <w:t xml:space="preserve">3.2.2 Mathematical Definition</w:t>
      </w:r>
    </w:p>
    <w:p>
      <w:pPr>
        <w:spacing w:before="60" w:after="60"/>
      </w:pPr>
      <w:r>
        <w:rPr>
          <w:rFonts w:ascii="Arial" w:cs="Arial" w:eastAsia="Arial" w:hAnsi="Arial"/>
          <w:b w:val="false"/>
          <w:bCs w:val="false"/>
          <w:color w:val="1a1a2e"/>
          <w:sz w:val="22"/>
          <w:szCs w:val="22"/>
        </w:rPr>
        <w:t xml:space="preserve">For a period from date d1 to date d2, the day count fraction (DCF) is:</w:t>
      </w:r>
    </w:p>
    <w:p>
      <w:pPr>
        <w:pBdr>
          <w:left w:val="single" w:color="fbbf24" w:sz="4" w:space="8"/>
        </w:pBdr>
        <w:spacing w:before="80" w:after="80"/>
        <w:ind w:left="720" w:right="360"/>
      </w:pPr>
      <w:r>
        <w:rPr>
          <w:rFonts w:ascii="Arial" w:cs="Arial" w:eastAsia="Arial" w:hAnsi="Arial"/>
          <w:color w:val="374151"/>
          <w:sz w:val="21"/>
          <w:szCs w:val="21"/>
        </w:rPr>
        <w:t xml:space="preserve">DCF = (Number of days counted using the convention) ÷ (Day count denominator)</w:t>
      </w:r>
    </w:p>
    <w:p>
      <w:pPr>
        <w:spacing w:before="60" w:after="60"/>
      </w:pPr>
      <w:r>
        <w:rPr>
          <w:rFonts w:ascii="Arial" w:cs="Arial" w:eastAsia="Arial" w:hAnsi="Arial"/>
          <w:b w:val="false"/>
          <w:bCs w:val="false"/>
          <w:color w:val="1a1a2e"/>
          <w:sz w:val="22"/>
          <w:szCs w:val="22"/>
        </w:rPr>
        <w:t xml:space="preserve">Actual/360: DCF = (d2 − d1) ÷ 360, where d2 − d1 is the actual calendar count.</w:t>
      </w:r>
    </w:p>
    <w:p>
      <w:pPr>
        <w:spacing w:before="60" w:after="60"/>
      </w:pPr>
      <w:r>
        <w:rPr>
          <w:rFonts w:ascii="Arial" w:cs="Arial" w:eastAsia="Arial" w:hAnsi="Arial"/>
          <w:b w:val="false"/>
          <w:bCs w:val="false"/>
          <w:color w:val="1a1a2e"/>
          <w:sz w:val="22"/>
          <w:szCs w:val="22"/>
        </w:rPr>
        <w:t xml:space="preserve">Actual/365: DCF = (d2 − d1) ÷ 365, always 365 regardless of leap years.</w:t>
      </w:r>
    </w:p>
    <w:p>
      <w:pPr>
        <w:spacing w:before="60" w:after="60"/>
      </w:pPr>
      <w:r>
        <w:rPr>
          <w:rFonts w:ascii="Arial" w:cs="Arial" w:eastAsia="Arial" w:hAnsi="Arial"/>
          <w:b w:val="false"/>
          <w:bCs w:val="false"/>
          <w:color w:val="1a1a2e"/>
          <w:sz w:val="22"/>
          <w:szCs w:val="22"/>
        </w:rPr>
        <w:t xml:space="preserve">30/360: Each month is treated as 30 days. DCF = [360(Y2−Y1) + 30(M2−M1) + (D2−D1)] ÷ 360, where end-of-month adjustments apply.</w:t>
      </w:r>
    </w:p>
    <w:p>
      <w:pPr>
        <w:spacing w:before="60" w:after="60"/>
      </w:pPr>
      <w:r>
        <w:rPr>
          <w:rFonts w:ascii="Arial" w:cs="Arial" w:eastAsia="Arial" w:hAnsi="Arial"/>
          <w:b w:val="false"/>
          <w:bCs w:val="false"/>
          <w:color w:val="1a1a2e"/>
          <w:sz w:val="22"/>
          <w:szCs w:val="22"/>
        </w:rPr>
        <w:t xml:space="preserve">Actual/Actual ISDA: Leap-year days are divided by 366, non-leap-year days by 365, and the fractions are summed.</w:t>
      </w:r>
    </w:p>
    <w:p>
      <w:r>
        <w:t xml:space="preserve"/>
      </w:r>
    </w:p>
    <w:p>
      <w:pPr>
        <w:pStyle w:val="Heading3"/>
        <w:spacing w:before="200" w:after="80"/>
      </w:pPr>
      <w:r>
        <w:rPr>
          <w:rFonts w:ascii="Arial" w:cs="Arial" w:eastAsia="Arial" w:hAnsi="Arial"/>
          <w:b/>
          <w:bCs/>
          <w:color w:val="374151"/>
          <w:sz w:val="24"/>
          <w:szCs w:val="24"/>
        </w:rPr>
        <w:t xml:space="preserve">3.2.3 Conversion Across Conventions</w:t>
      </w:r>
    </w:p>
    <w:p>
      <w:pPr>
        <w:spacing w:before="60" w:after="60"/>
      </w:pPr>
      <w:r>
        <w:rPr>
          <w:rFonts w:ascii="Arial" w:cs="Arial" w:eastAsia="Arial" w:hAnsi="Arial"/>
          <w:b w:val="false"/>
          <w:bCs w:val="false"/>
          <w:color w:val="1a1a2e"/>
          <w:sz w:val="22"/>
          <w:szCs w:val="22"/>
        </w:rPr>
        <w:t xml:space="preserve">A rate r₁ quoted under convention DCF₁ can be converted to an equivalent rate r₂ under DCF₂ using the identity that the accrued amount must be equal:</w:t>
      </w:r>
    </w:p>
    <w:p>
      <w:pPr>
        <w:pBdr>
          <w:left w:val="single" w:color="fbbf24" w:sz="4" w:space="8"/>
        </w:pBdr>
        <w:spacing w:before="80" w:after="80"/>
        <w:ind w:left="720" w:right="360"/>
      </w:pPr>
      <w:r>
        <w:rPr>
          <w:rFonts w:ascii="Arial" w:cs="Arial" w:eastAsia="Arial" w:hAnsi="Arial"/>
          <w:color w:val="374151"/>
          <w:sz w:val="21"/>
          <w:szCs w:val="21"/>
        </w:rPr>
        <w:t xml:space="preserve">1 + r₁ × DCF₁ = 1 + r₂ × DCF₂  →  r₂ = r₁ × (DCF₁ / DCF₂)</w:t>
      </w:r>
    </w:p>
    <w:p>
      <w:pPr>
        <w:spacing w:before="60" w:after="60"/>
      </w:pPr>
      <w:r>
        <w:rPr>
          <w:rFonts w:ascii="Arial" w:cs="Arial" w:eastAsia="Arial" w:hAnsi="Arial"/>
          <w:b w:val="false"/>
          <w:bCs w:val="false"/>
          <w:color w:val="1a1a2e"/>
          <w:sz w:val="22"/>
          <w:szCs w:val="22"/>
        </w:rPr>
        <w:t xml:space="preserve">Example: A 5.00% rate on Act/360 basis for a 90-day period. To convert to Act/365:</w:t>
      </w:r>
    </w:p>
    <w:p>
      <w:pPr>
        <w:pStyle w:val="ListParagraph"/>
        <w:numPr>
          <w:ilvl w:val="0"/>
          <w:numId w:val="2"/>
        </w:numPr>
        <w:spacing w:before="40" w:after="40"/>
      </w:pPr>
      <w:r>
        <w:rPr>
          <w:rFonts w:ascii="Arial" w:cs="Arial" w:eastAsia="Arial" w:hAnsi="Arial"/>
          <w:color w:val="1a1a2e"/>
          <w:sz w:val="22"/>
          <w:szCs w:val="22"/>
        </w:rPr>
        <w:t xml:space="preserve">DCF (Act/360) = 90/360 = 0.2500</w:t>
      </w:r>
    </w:p>
    <w:p>
      <w:pPr>
        <w:pStyle w:val="ListParagraph"/>
        <w:numPr>
          <w:ilvl w:val="0"/>
          <w:numId w:val="2"/>
        </w:numPr>
        <w:spacing w:before="40" w:after="40"/>
      </w:pPr>
      <w:r>
        <w:rPr>
          <w:rFonts w:ascii="Arial" w:cs="Arial" w:eastAsia="Arial" w:hAnsi="Arial"/>
          <w:color w:val="1a1a2e"/>
          <w:sz w:val="22"/>
          <w:szCs w:val="22"/>
        </w:rPr>
        <w:t xml:space="preserve">DCF (Act/365) = 90/365 = 0.2466</w:t>
      </w:r>
    </w:p>
    <w:p>
      <w:pPr>
        <w:pStyle w:val="ListParagraph"/>
        <w:numPr>
          <w:ilvl w:val="0"/>
          <w:numId w:val="2"/>
        </w:numPr>
        <w:spacing w:before="40" w:after="40"/>
      </w:pPr>
      <w:r>
        <w:rPr>
          <w:rFonts w:ascii="Arial" w:cs="Arial" w:eastAsia="Arial" w:hAnsi="Arial"/>
          <w:color w:val="1a1a2e"/>
          <w:sz w:val="22"/>
          <w:szCs w:val="22"/>
        </w:rPr>
        <w:t xml:space="preserve">r₂ = 5.00% × (0.2500 / 0.2466) = 5.069%</w:t>
      </w:r>
    </w:p>
    <w:p>
      <w:pPr>
        <w:spacing w:before="60" w:after="60"/>
      </w:pPr>
      <w:r>
        <w:rPr>
          <w:rFonts w:ascii="Arial" w:cs="Arial" w:eastAsia="Arial" w:hAnsi="Arial"/>
          <w:b w:val="false"/>
          <w:bCs w:val="false"/>
          <w:color w:val="1a1a2e"/>
          <w:sz w:val="22"/>
          <w:szCs w:val="22"/>
        </w:rPr>
        <w:t xml:space="preserve">This 6.9bp difference on a USD 1 billion position represents approximately USD 172,000 — a meaningful amount at any scale.</w:t>
      </w:r>
    </w:p>
    <w:p>
      <w:r>
        <w:t xml:space="preserve"/>
      </w:r>
    </w:p>
    <w:p>
      <w:pPr>
        <w:pStyle w:val="Heading2"/>
        <w:spacing w:before="280" w:after="100"/>
      </w:pPr>
      <w:r>
        <w:rPr>
          <w:rFonts w:ascii="Arial" w:cs="Arial" w:eastAsia="Arial" w:hAnsi="Arial"/>
          <w:b/>
          <w:bCs/>
          <w:color w:val="047857"/>
          <w:sz w:val="28"/>
          <w:szCs w:val="28"/>
        </w:rPr>
        <w:t xml:space="preserve">3.3 Compounding Conventions</w:t>
      </w:r>
    </w:p>
    <w:p>
      <w:pPr>
        <w:pStyle w:val="Heading3"/>
        <w:spacing w:before="200" w:after="80"/>
      </w:pPr>
      <w:r>
        <w:rPr>
          <w:rFonts w:ascii="Arial" w:cs="Arial" w:eastAsia="Arial" w:hAnsi="Arial"/>
          <w:b/>
          <w:bCs/>
          <w:color w:val="374151"/>
          <w:sz w:val="24"/>
          <w:szCs w:val="24"/>
        </w:rPr>
        <w:t xml:space="preserve">3.3.1 The Four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Compounding</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Formula for Growth of 1 Unit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Simple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 + r × T  (used for money market instruments &lt; 1 year)</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Annual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 + r)^T  (used for bond yields, annual swap rates)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Semi-annual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 + r/2)^(2T)  (US Treasuries, most US fixed income)</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Continuous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e^(rT)  (used in all derivatives models, Black-Scholes, risk-neutral pricing)</w:t>
            </w:r>
          </w:p>
        </w:tc>
      </w:tr>
    </w:tbl>
    <w:p>
      <w:r>
        <w:t xml:space="preserve"/>
      </w:r>
    </w:p>
    <w:p>
      <w:pPr>
        <w:pStyle w:val="Heading3"/>
        <w:spacing w:before="200" w:after="80"/>
      </w:pPr>
      <w:r>
        <w:rPr>
          <w:rFonts w:ascii="Arial" w:cs="Arial" w:eastAsia="Arial" w:hAnsi="Arial"/>
          <w:b/>
          <w:bCs/>
          <w:color w:val="374151"/>
          <w:sz w:val="24"/>
          <w:szCs w:val="24"/>
        </w:rPr>
        <w:t xml:space="preserve">3.3.2 Derivation of Equivalence</w:t>
      </w:r>
    </w:p>
    <w:p>
      <w:pPr>
        <w:spacing w:before="60" w:after="60"/>
      </w:pPr>
      <w:r>
        <w:rPr>
          <w:rFonts w:ascii="Arial" w:cs="Arial" w:eastAsia="Arial" w:hAnsi="Arial"/>
          <w:b w:val="false"/>
          <w:bCs w:val="false"/>
          <w:color w:val="1a1a2e"/>
          <w:sz w:val="22"/>
          <w:szCs w:val="22"/>
        </w:rPr>
        <w:t xml:space="preserve">All four conventions must produce the same terminal value for equivalent rates. Setting terminal values equal and solving for the continuous rate r_c given semi-annual rate r_s:</w:t>
      </w:r>
    </w:p>
    <w:p>
      <w:pPr>
        <w:pBdr>
          <w:left w:val="single" w:color="fbbf24" w:sz="4" w:space="8"/>
        </w:pBdr>
        <w:spacing w:before="80" w:after="80"/>
        <w:ind w:left="720" w:right="360"/>
      </w:pPr>
      <w:r>
        <w:rPr>
          <w:rFonts w:ascii="Arial" w:cs="Arial" w:eastAsia="Arial" w:hAnsi="Arial"/>
          <w:color w:val="374151"/>
          <w:sz w:val="21"/>
          <w:szCs w:val="21"/>
        </w:rPr>
        <w:t xml:space="preserve">(1 + r_s/2)^(2T) = e^(r_c × T)  →  r_c = 2 × ln(1 + r_s/2)</w:t>
      </w:r>
    </w:p>
    <w:p>
      <w:pPr>
        <w:spacing w:before="60" w:after="60"/>
      </w:pPr>
      <w:r>
        <w:rPr>
          <w:rFonts w:ascii="Arial" w:cs="Arial" w:eastAsia="Arial" w:hAnsi="Arial"/>
          <w:b w:val="false"/>
          <w:bCs w:val="false"/>
          <w:color w:val="1a1a2e"/>
          <w:sz w:val="22"/>
          <w:szCs w:val="22"/>
        </w:rPr>
        <w:t xml:space="preserve">For annual rate r_a: r_c = ln(1 + r_a)</w:t>
      </w:r>
    </w:p>
    <w:p>
      <w:pPr>
        <w:spacing w:before="60" w:after="60"/>
      </w:pPr>
      <w:r>
        <w:rPr>
          <w:rFonts w:ascii="Arial" w:cs="Arial" w:eastAsia="Arial" w:hAnsi="Arial"/>
          <w:b w:val="false"/>
          <w:bCs w:val="false"/>
          <w:color w:val="1a1a2e"/>
          <w:sz w:val="22"/>
          <w:szCs w:val="22"/>
        </w:rPr>
        <w:t xml:space="preserve">For simple rate r_simple (with DCF = T): r_c = ln(1 + r_simple × T) / T</w:t>
      </w:r>
    </w:p>
    <w:p>
      <w:pPr>
        <w:spacing w:before="60" w:after="60"/>
      </w:pPr>
      <w:r>
        <w:rPr>
          <w:rFonts w:ascii="Arial" w:cs="Arial" w:eastAsia="Arial" w:hAnsi="Arial"/>
          <w:b w:val="false"/>
          <w:bCs w:val="false"/>
          <w:color w:val="1a1a2e"/>
          <w:sz w:val="22"/>
          <w:szCs w:val="22"/>
        </w:rPr>
        <w:t xml:space="preserve">The continuous compounding convention is used in all derivatives mathematics because: (i) it converts multiplication of growth factors to addition of exponents; (ii) it is the natural limit of more frequent compounding; (iii) it aligns with the stochastic calculus framework (Itô's lemma operates on continuous processes).</w:t>
      </w:r>
    </w:p>
    <w:p>
      <w:r>
        <w:t xml:space="preserve"/>
      </w:r>
    </w:p>
    <w:p>
      <w:pPr>
        <w:pStyle w:val="Heading2"/>
        <w:spacing w:before="280" w:after="100"/>
      </w:pPr>
      <w:r>
        <w:rPr>
          <w:rFonts w:ascii="Arial" w:cs="Arial" w:eastAsia="Arial" w:hAnsi="Arial"/>
          <w:b/>
          <w:bCs/>
          <w:color w:val="047857"/>
          <w:sz w:val="28"/>
          <w:szCs w:val="28"/>
        </w:rPr>
        <w:t xml:space="preserve">3.4 Interactive Elements</w:t>
      </w:r>
    </w:p>
    <w:p>
      <w:pPr>
        <w:pStyle w:val="ListParagraph"/>
        <w:numPr>
          <w:ilvl w:val="0"/>
          <w:numId w:val="2"/>
        </w:numPr>
        <w:spacing w:before="40" w:after="40"/>
      </w:pPr>
      <w:r>
        <w:rPr>
          <w:rFonts w:ascii="Arial" w:cs="Arial" w:eastAsia="Arial" w:hAnsi="Arial"/>
          <w:color w:val="1a1a2e"/>
          <w:sz w:val="22"/>
          <w:szCs w:val="22"/>
        </w:rPr>
        <w:t xml:space="preserve">Rate Converter: input a rate, select source convention (day count + compounding), select target convention; output shows step-by-step conversion with intermediate values.</w:t>
      </w:r>
    </w:p>
    <w:p>
      <w:pPr>
        <w:pStyle w:val="ListParagraph"/>
        <w:numPr>
          <w:ilvl w:val="0"/>
          <w:numId w:val="2"/>
        </w:numPr>
        <w:spacing w:before="40" w:after="40"/>
      </w:pPr>
      <w:r>
        <w:rPr>
          <w:rFonts w:ascii="Arial" w:cs="Arial" w:eastAsia="Arial" w:hAnsi="Arial"/>
          <w:color w:val="1a1a2e"/>
          <w:sz w:val="22"/>
          <w:szCs w:val="22"/>
        </w:rPr>
        <w:t xml:space="preserve">Timeline Visualiser: select two dates; see how each day count convention counts the intervening period.</w:t>
      </w:r>
    </w:p>
    <w:p>
      <w:pPr>
        <w:pStyle w:val="ListParagraph"/>
        <w:numPr>
          <w:ilvl w:val="0"/>
          <w:numId w:val="2"/>
        </w:numPr>
        <w:spacing w:before="40" w:after="40"/>
      </w:pPr>
      <w:r>
        <w:rPr>
          <w:rFonts w:ascii="Arial" w:cs="Arial" w:eastAsia="Arial" w:hAnsi="Arial"/>
          <w:color w:val="1a1a2e"/>
          <w:sz w:val="22"/>
          <w:szCs w:val="22"/>
        </w:rPr>
        <w:t xml:space="preserve">Compounding Growth Chart: animated comparison of how USD 1 grows under each compounding regime for a given rate.</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4. MC-2: Volatility Quoting — Surface to Model Input</w:t>
      </w:r>
    </w:p>
    <w:p>
      <w:pPr>
        <w:pStyle w:val="Heading2"/>
        <w:spacing w:before="280" w:after="100"/>
      </w:pPr>
      <w:r>
        <w:rPr>
          <w:rFonts w:ascii="Arial" w:cs="Arial" w:eastAsia="Arial" w:hAnsi="Arial"/>
          <w:b/>
          <w:bCs/>
          <w:color w:val="047857"/>
          <w:sz w:val="28"/>
          <w:szCs w:val="28"/>
        </w:rPr>
        <w:t xml:space="preserve">4.1 The Problem</w:t>
      </w:r>
    </w:p>
    <w:p>
      <w:pPr>
        <w:spacing w:before="60" w:after="60"/>
      </w:pPr>
      <w:r>
        <w:rPr>
          <w:rFonts w:ascii="Arial" w:cs="Arial" w:eastAsia="Arial" w:hAnsi="Arial"/>
          <w:b w:val="false"/>
          <w:bCs w:val="false"/>
          <w:color w:val="1a1a2e"/>
          <w:sz w:val="22"/>
          <w:szCs w:val="22"/>
        </w:rPr>
        <w:t xml:space="preserve">Options are quoted in implied volatility, not price. But "implied volatility" can mean five different things depending on who you ask, and the model you use to imply it changes the answer. This module establishes a common framework and derives the transformations required.</w:t>
      </w:r>
    </w:p>
    <w:p>
      <w:r>
        <w:t xml:space="preserve"/>
      </w:r>
    </w:p>
    <w:p>
      <w:pPr>
        <w:pStyle w:val="Heading2"/>
        <w:spacing w:before="280" w:after="100"/>
      </w:pPr>
      <w:r>
        <w:rPr>
          <w:rFonts w:ascii="Arial" w:cs="Arial" w:eastAsia="Arial" w:hAnsi="Arial"/>
          <w:b/>
          <w:bCs/>
          <w:color w:val="047857"/>
          <w:sz w:val="28"/>
          <w:szCs w:val="28"/>
        </w:rPr>
        <w:t xml:space="preserve">4.2 Why Markets Quote Vol, Not Price</w:t>
      </w:r>
    </w:p>
    <w:p>
      <w:pPr>
        <w:spacing w:before="60" w:after="60"/>
      </w:pPr>
      <w:r>
        <w:rPr>
          <w:rFonts w:ascii="Arial" w:cs="Arial" w:eastAsia="Arial" w:hAnsi="Arial"/>
          <w:b w:val="false"/>
          <w:bCs w:val="false"/>
          <w:color w:val="1a1a2e"/>
          <w:sz w:val="22"/>
          <w:szCs w:val="22"/>
        </w:rPr>
        <w:t xml:space="preserve">Option prices are not directly comparable across strikes, maturities, or underlyings. A USD 2.50 option on Apple and a USD 2.50 option on crude oil convey no comparative information. Implied volatility normalises by removing the directional, time, and magnitude effects of the underlying — what remains is the market's estimate of uncertainty.</w:t>
      </w:r>
    </w:p>
    <w:p>
      <w:pPr>
        <w:pBdr>
          <w:left w:val="single" w:color="fbbf24" w:sz="4" w:space="8"/>
        </w:pBdr>
        <w:spacing w:before="80" w:after="80"/>
        <w:ind w:left="720" w:right="360"/>
      </w:pPr>
      <w:r>
        <w:rPr>
          <w:rFonts w:ascii="Arial" w:cs="Arial" w:eastAsia="Arial" w:hAnsi="Arial"/>
          <w:color w:val="374151"/>
          <w:sz w:val="21"/>
          <w:szCs w:val="21"/>
        </w:rPr>
        <w:t xml:space="preserve">Implied volatility is the value of σ that, when substituted into Black-Scholes, equates the theoretical price to the observed market price. It is not a model prediction — it is a market quote expressed in a convenient unit.</w:t>
      </w:r>
    </w:p>
    <w:p>
      <w:r>
        <w:t xml:space="preserve"/>
      </w:r>
    </w:p>
    <w:p>
      <w:pPr>
        <w:pStyle w:val="Heading2"/>
        <w:spacing w:before="280" w:after="100"/>
      </w:pPr>
      <w:r>
        <w:rPr>
          <w:rFonts w:ascii="Arial" w:cs="Arial" w:eastAsia="Arial" w:hAnsi="Arial"/>
          <w:b/>
          <w:bCs/>
          <w:color w:val="047857"/>
          <w:sz w:val="28"/>
          <w:szCs w:val="28"/>
        </w:rPr>
        <w:t xml:space="preserve">4.3 Strike Representations</w:t>
      </w:r>
    </w:p>
    <w:p>
      <w:pPr>
        <w:pStyle w:val="Heading3"/>
        <w:spacing w:before="200" w:after="80"/>
      </w:pPr>
      <w:r>
        <w:rPr>
          <w:rFonts w:ascii="Arial" w:cs="Arial" w:eastAsia="Arial" w:hAnsi="Arial"/>
          <w:b/>
          <w:bCs/>
          <w:color w:val="374151"/>
          <w:sz w:val="24"/>
          <w:szCs w:val="24"/>
        </w:rPr>
        <w:t xml:space="preserve">4.3.1 The Problem of Comparing Strikes</w:t>
      </w:r>
    </w:p>
    <w:p>
      <w:pPr>
        <w:spacing w:before="60" w:after="60"/>
      </w:pPr>
      <w:r>
        <w:rPr>
          <w:rFonts w:ascii="Arial" w:cs="Arial" w:eastAsia="Arial" w:hAnsi="Arial"/>
          <w:b w:val="false"/>
          <w:bCs w:val="false"/>
          <w:color w:val="1a1a2e"/>
          <w:sz w:val="22"/>
          <w:szCs w:val="22"/>
        </w:rPr>
        <w:t xml:space="preserve">The same degree of "out-of-the-moneyness" corresponds to very different strikes depending on the underlying level and the time to expiry. Markets have developed several normalised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Representation</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Definition &amp; When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Absolute Strike (K)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Actual price level. Used in equity options, physically settled options. Not comparable across time or underlyings.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Moneyness (K/S or K/F)</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Strike divided by spot (K/S) or forward (K/F). Dimensionless ratio. Log-moneyness ln(K/F) is used in SABR and many models.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Delta (Δ)</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The Black-Scholes delta of the option at that strike. 50Δ ≈ ATM; 25Δ OTM put used as the standard risk-reversal reference.</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Standard Deviations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Distance from ATM in units of σ√T. Model-consistent but not directly observable without vol.</w:t>
            </w:r>
          </w:p>
        </w:tc>
      </w:tr>
    </w:tbl>
    <w:p>
      <w:r>
        <w:t xml:space="preserve"/>
      </w:r>
    </w:p>
    <w:p>
      <w:pPr>
        <w:pStyle w:val="Heading3"/>
        <w:spacing w:before="200" w:after="80"/>
      </w:pPr>
      <w:r>
        <w:rPr>
          <w:rFonts w:ascii="Arial" w:cs="Arial" w:eastAsia="Arial" w:hAnsi="Arial"/>
          <w:b/>
          <w:bCs/>
          <w:color w:val="374151"/>
          <w:sz w:val="24"/>
          <w:szCs w:val="24"/>
        </w:rPr>
        <w:t xml:space="preserve">4.3.2 Converting Delta to Strike</w:t>
      </w:r>
    </w:p>
    <w:p>
      <w:pPr>
        <w:spacing w:before="60" w:after="60"/>
      </w:pPr>
      <w:r>
        <w:rPr>
          <w:rFonts w:ascii="Arial" w:cs="Arial" w:eastAsia="Arial" w:hAnsi="Arial"/>
          <w:b w:val="false"/>
          <w:bCs w:val="false"/>
          <w:color w:val="1a1a2e"/>
          <w:sz w:val="22"/>
          <w:szCs w:val="22"/>
        </w:rPr>
        <w:t xml:space="preserve">Given implied vol σ, maturity T, forward F, and risk-free rate r, the strike corresponding to delta Δ_call is found by inverting the Black-Scholes formula:</w:t>
      </w:r>
    </w:p>
    <w:p>
      <w:pPr>
        <w:pBdr>
          <w:left w:val="single" w:color="fbbf24" w:sz="4" w:space="8"/>
        </w:pBdr>
        <w:spacing w:before="80" w:after="80"/>
        <w:ind w:left="720" w:right="360"/>
      </w:pPr>
      <w:r>
        <w:rPr>
          <w:rFonts w:ascii="Arial" w:cs="Arial" w:eastAsia="Arial" w:hAnsi="Arial"/>
          <w:color w:val="374151"/>
          <w:sz w:val="21"/>
          <w:szCs w:val="21"/>
        </w:rPr>
        <w:t xml:space="preserve">K = F × exp(−N⁻¹(Δ_call) × σ√T + ½σ²T)</w:t>
      </w:r>
    </w:p>
    <w:p>
      <w:pPr>
        <w:spacing w:before="60" w:after="60"/>
      </w:pPr>
      <w:r>
        <w:rPr>
          <w:rFonts w:ascii="Arial" w:cs="Arial" w:eastAsia="Arial" w:hAnsi="Arial"/>
          <w:b w:val="false"/>
          <w:bCs w:val="false"/>
          <w:color w:val="1a1a2e"/>
          <w:sz w:val="22"/>
          <w:szCs w:val="22"/>
        </w:rPr>
        <w:t xml:space="preserve">where N⁻¹ is the inverse cumulative normal function. For a 25-delta call, Δ_call = 0.25, giving N⁻¹(0.25) = −0.6745. This derivation is fully worked in the module.</w:t>
      </w:r>
    </w:p>
    <w:p>
      <w:r>
        <w:t xml:space="preserve"/>
      </w:r>
    </w:p>
    <w:p>
      <w:pPr>
        <w:pStyle w:val="Heading2"/>
        <w:spacing w:before="280" w:after="100"/>
      </w:pPr>
      <w:r>
        <w:rPr>
          <w:rFonts w:ascii="Arial" w:cs="Arial" w:eastAsia="Arial" w:hAnsi="Arial"/>
          <w:b/>
          <w:bCs/>
          <w:color w:val="047857"/>
          <w:sz w:val="28"/>
          <w:szCs w:val="28"/>
        </w:rPr>
        <w:t xml:space="preserve">4.4 The Vol Surface</w:t>
      </w:r>
    </w:p>
    <w:p>
      <w:pPr>
        <w:spacing w:before="60" w:after="60"/>
      </w:pPr>
      <w:r>
        <w:rPr>
          <w:rFonts w:ascii="Arial" w:cs="Arial" w:eastAsia="Arial" w:hAnsi="Arial"/>
          <w:b w:val="false"/>
          <w:bCs w:val="false"/>
          <w:color w:val="1a1a2e"/>
          <w:sz w:val="22"/>
          <w:szCs w:val="22"/>
        </w:rPr>
        <w:t xml:space="preserve">The Black-Scholes model assumes flat vol across strikes and maturities — a single σ for all K and T. Markets consistently reject this. The vol surface σ(K,T) describes the full strike and term structure of implied vols. Two key features:</w:t>
      </w:r>
    </w:p>
    <w:p>
      <w:pPr>
        <w:pStyle w:val="ListParagraph"/>
        <w:numPr>
          <w:ilvl w:val="0"/>
          <w:numId w:val="2"/>
        </w:numPr>
        <w:spacing w:before="40" w:after="40"/>
      </w:pPr>
      <w:r>
        <w:rPr>
          <w:rFonts w:ascii="Arial" w:cs="Arial" w:eastAsia="Arial" w:hAnsi="Arial"/>
          <w:color w:val="1a1a2e"/>
          <w:sz w:val="22"/>
          <w:szCs w:val="22"/>
        </w:rPr>
        <w:t xml:space="preserve">Volatility Skew (or Smile): σ varies with strike. Equity markets exhibit a pronounced downward skew (OTM puts have higher vol than OTM calls). FX markets exhibit a symmetric smile. Commodity markets vary by product.</w:t>
      </w:r>
    </w:p>
    <w:p>
      <w:pPr>
        <w:pStyle w:val="ListParagraph"/>
        <w:numPr>
          <w:ilvl w:val="0"/>
          <w:numId w:val="2"/>
        </w:numPr>
        <w:spacing w:before="40" w:after="40"/>
      </w:pPr>
      <w:r>
        <w:rPr>
          <w:rFonts w:ascii="Arial" w:cs="Arial" w:eastAsia="Arial" w:hAnsi="Arial"/>
          <w:color w:val="1a1a2e"/>
          <w:sz w:val="22"/>
          <w:szCs w:val="22"/>
        </w:rPr>
        <w:t xml:space="preserve">Term Structure: σ varies with maturity, typically with mean reversion — near-dated vols spike more during stress events.</w:t>
      </w:r>
    </w:p>
    <w:p>
      <w:r>
        <w:t xml:space="preserve"/>
      </w:r>
    </w:p>
    <w:p>
      <w:pPr>
        <w:pStyle w:val="Heading2"/>
        <w:spacing w:before="280" w:after="100"/>
      </w:pPr>
      <w:r>
        <w:rPr>
          <w:rFonts w:ascii="Arial" w:cs="Arial" w:eastAsia="Arial" w:hAnsi="Arial"/>
          <w:b/>
          <w:bCs/>
          <w:color w:val="047857"/>
          <w:sz w:val="28"/>
          <w:szCs w:val="28"/>
        </w:rPr>
        <w:t xml:space="preserve">4.5 Interactive Elements</w:t>
      </w:r>
    </w:p>
    <w:p>
      <w:pPr>
        <w:pStyle w:val="ListParagraph"/>
        <w:numPr>
          <w:ilvl w:val="0"/>
          <w:numId w:val="2"/>
        </w:numPr>
        <w:spacing w:before="40" w:after="40"/>
      </w:pPr>
      <w:r>
        <w:rPr>
          <w:rFonts w:ascii="Arial" w:cs="Arial" w:eastAsia="Arial" w:hAnsi="Arial"/>
          <w:color w:val="1a1a2e"/>
          <w:sz w:val="22"/>
          <w:szCs w:val="22"/>
        </w:rPr>
        <w:t xml:space="preserve">Strike Converter: input delta, spot/forward, vol, maturity → output absolute strike and log-moneyness, with the N⁻¹ calculation shown.</w:t>
      </w:r>
    </w:p>
    <w:p>
      <w:pPr>
        <w:pStyle w:val="ListParagraph"/>
        <w:numPr>
          <w:ilvl w:val="0"/>
          <w:numId w:val="2"/>
        </w:numPr>
        <w:spacing w:before="40" w:after="40"/>
      </w:pPr>
      <w:r>
        <w:rPr>
          <w:rFonts w:ascii="Arial" w:cs="Arial" w:eastAsia="Arial" w:hAnsi="Arial"/>
          <w:color w:val="1a1a2e"/>
          <w:sz w:val="22"/>
          <w:szCs w:val="22"/>
        </w:rPr>
        <w:t xml:space="preserve">Vol Surface Explorer: enter ATM vol, skew, and smile parameters → render the 3D surface with the ability to hover over any point to see the implied vol.</w:t>
      </w:r>
    </w:p>
    <w:p>
      <w:pPr>
        <w:spacing w:before="60" w:after="60"/>
      </w:pPr>
      <w:r>
        <w:rPr>
          <w:rFonts w:ascii="Arial" w:cs="Arial" w:eastAsia="Arial" w:hAnsi="Arial"/>
          <w:b w:val="false"/>
          <w:bCs w:val="false"/>
          <w:color w:val="1a1a2e"/>
          <w:sz w:val="22"/>
          <w:szCs w:val="22"/>
        </w:rPr>
        <w:t xml:space="preserve">Cross-links: Volatility Smiles &amp; Surfaces page (already built); Black-Scholes page (already built).</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5. MC-3: FX Options — Delta Conventions &amp; Vol Pillars</w:t>
      </w:r>
    </w:p>
    <w:p>
      <w:pPr>
        <w:pStyle w:val="Heading2"/>
        <w:spacing w:before="280" w:after="100"/>
      </w:pPr>
      <w:r>
        <w:rPr>
          <w:rFonts w:ascii="Arial" w:cs="Arial" w:eastAsia="Arial" w:hAnsi="Arial"/>
          <w:b/>
          <w:bCs/>
          <w:color w:val="047857"/>
          <w:sz w:val="28"/>
          <w:szCs w:val="28"/>
        </w:rPr>
        <w:t xml:space="preserve">5.1 Why FX Is Its Own World</w:t>
      </w:r>
    </w:p>
    <w:p>
      <w:pPr>
        <w:spacing w:before="60" w:after="60"/>
      </w:pPr>
      <w:r>
        <w:rPr>
          <w:rFonts w:ascii="Arial" w:cs="Arial" w:eastAsia="Arial" w:hAnsi="Arial"/>
          <w:b w:val="false"/>
          <w:bCs w:val="false"/>
          <w:color w:val="1a1a2e"/>
          <w:sz w:val="22"/>
          <w:szCs w:val="22"/>
        </w:rPr>
        <w:t xml:space="preserve">FX options have a quoting convention so distinct that practitioners refer to it simply as "the FX vol market convention." What appears to be a description of a single volatility is actually a compressed description of an entire vol surface, parameterised in terms of the most liquid instruments traded.</w:t>
      </w:r>
    </w:p>
    <w:p>
      <w:r>
        <w:t xml:space="preserve"/>
      </w:r>
    </w:p>
    <w:p>
      <w:pPr>
        <w:pStyle w:val="Heading2"/>
        <w:spacing w:before="280" w:after="100"/>
      </w:pPr>
      <w:r>
        <w:rPr>
          <w:rFonts w:ascii="Arial" w:cs="Arial" w:eastAsia="Arial" w:hAnsi="Arial"/>
          <w:b/>
          <w:bCs/>
          <w:color w:val="047857"/>
          <w:sz w:val="28"/>
          <w:szCs w:val="28"/>
        </w:rPr>
        <w:t xml:space="preserve">5.2 The Three Pillars of an FX Vol Surface</w:t>
      </w:r>
    </w:p>
    <w:p>
      <w:pPr>
        <w:spacing w:before="60" w:after="60"/>
      </w:pPr>
      <w:r>
        <w:rPr>
          <w:rFonts w:ascii="Arial" w:cs="Arial" w:eastAsia="Arial" w:hAnsi="Arial"/>
          <w:b w:val="false"/>
          <w:bCs w:val="false"/>
          <w:color w:val="1a1a2e"/>
          <w:sz w:val="22"/>
          <w:szCs w:val="22"/>
        </w:rPr>
        <w:t xml:space="preserve">Any FX vol surface is defined by three market quotes per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Pillar</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Market Notation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ATM Straddle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ATM or σ_ATM</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Risk Reversal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25Δ RR or RR25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Butterfly (Strangle)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25Δ BF or Fly25</w:t>
            </w:r>
          </w:p>
        </w:tc>
      </w:tr>
    </w:tbl>
    <w:p>
      <w:pPr>
        <w:spacing w:before="60" w:after="60"/>
      </w:pPr>
      <w:r>
        <w:rPr>
          <w:rFonts w:ascii="Arial" w:cs="Arial" w:eastAsia="Arial" w:hAnsi="Arial"/>
          <w:b w:val="false"/>
          <w:bCs w:val="false"/>
          <w:color w:val="1a1a2e"/>
          <w:sz w:val="22"/>
          <w:szCs w:val="22"/>
        </w:rPr>
        <w:t xml:space="preserve">From these three quotes, the vols at the four standard strikes (25Δ call, 25Δ put, 10Δ call, 10Δ put) can be recovered:</w:t>
      </w:r>
    </w:p>
    <w:p>
      <w:pPr>
        <w:pBdr>
          <w:left w:val="single" w:color="fbbf24" w:sz="4" w:space="8"/>
        </w:pBdr>
        <w:spacing w:before="80" w:after="80"/>
        <w:ind w:left="720" w:right="360"/>
      </w:pPr>
      <w:r>
        <w:rPr>
          <w:rFonts w:ascii="Arial" w:cs="Arial" w:eastAsia="Arial" w:hAnsi="Arial"/>
          <w:color w:val="374151"/>
          <w:sz w:val="21"/>
          <w:szCs w:val="21"/>
        </w:rPr>
        <w:t xml:space="preserve">σ_call(25Δ) = σ_ATM + BF25 + ½ × RR25</w:t>
      </w:r>
    </w:p>
    <w:p>
      <w:pPr>
        <w:pBdr>
          <w:left w:val="single" w:color="fbbf24" w:sz="4" w:space="8"/>
        </w:pBdr>
        <w:spacing w:before="80" w:after="80"/>
        <w:ind w:left="720" w:right="360"/>
      </w:pPr>
      <w:r>
        <w:rPr>
          <w:rFonts w:ascii="Arial" w:cs="Arial" w:eastAsia="Arial" w:hAnsi="Arial"/>
          <w:color w:val="374151"/>
          <w:sz w:val="21"/>
          <w:szCs w:val="21"/>
        </w:rPr>
        <w:t xml:space="preserve">σ_put(25Δ)  = σ_ATM + BF25 − ½ × RR25</w:t>
      </w:r>
    </w:p>
    <w:p>
      <w:r>
        <w:t xml:space="preserve"/>
      </w:r>
    </w:p>
    <w:p>
      <w:pPr>
        <w:pStyle w:val="Heading2"/>
        <w:spacing w:before="280" w:after="100"/>
      </w:pPr>
      <w:r>
        <w:rPr>
          <w:rFonts w:ascii="Arial" w:cs="Arial" w:eastAsia="Arial" w:hAnsi="Arial"/>
          <w:b/>
          <w:bCs/>
          <w:color w:val="047857"/>
          <w:sz w:val="28"/>
          <w:szCs w:val="28"/>
        </w:rPr>
        <w:t xml:space="preserve">5.3 The ATM Convention Problem</w:t>
      </w:r>
    </w:p>
    <w:p>
      <w:pPr>
        <w:spacing w:before="60" w:after="60"/>
      </w:pPr>
      <w:r>
        <w:rPr>
          <w:rFonts w:ascii="Arial" w:cs="Arial" w:eastAsia="Arial" w:hAnsi="Arial"/>
          <w:b w:val="false"/>
          <w:bCs w:val="false"/>
          <w:color w:val="1a1a2e"/>
          <w:sz w:val="22"/>
          <w:szCs w:val="22"/>
        </w:rPr>
        <w:t xml:space="preserve">The ATM strike is ambiguous in FX. Three conventions are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ATM Convention</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Definition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Delta-Neutral Straddle (DNS)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 such that Δ_call(K) + Δ_put(K) = 0. This is the convention in most major currency pairs.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ATM Forward (ATMF)</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 = F (the outright forward). Simple to compute but not hedging-neutral.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ATM Spot (ATMS)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 = S (spot rate). Only correct when T → 0.</w:t>
            </w:r>
          </w:p>
        </w:tc>
      </w:tr>
    </w:tbl>
    <w:p>
      <w:pPr>
        <w:spacing w:before="60" w:after="60"/>
      </w:pPr>
      <w:r>
        <w:rPr>
          <w:rFonts w:ascii="Arial" w:cs="Arial" w:eastAsia="Arial" w:hAnsi="Arial"/>
          <w:b w:val="false"/>
          <w:bCs w:val="false"/>
          <w:color w:val="1a1a2e"/>
          <w:sz w:val="22"/>
          <w:szCs w:val="22"/>
        </w:rPr>
        <w:t xml:space="preserve">The DNS condition for log-normal vol gives: K_DNS = F × exp(½σ²T), which is slightly above the forward — the ATM straddle strike must be adjusted for the skewness of the lognormal distribution.</w:t>
      </w:r>
    </w:p>
    <w:p>
      <w:r>
        <w:t xml:space="preserve"/>
      </w:r>
    </w:p>
    <w:p>
      <w:pPr>
        <w:pStyle w:val="Heading2"/>
        <w:spacing w:before="280" w:after="100"/>
      </w:pPr>
      <w:r>
        <w:rPr>
          <w:rFonts w:ascii="Arial" w:cs="Arial" w:eastAsia="Arial" w:hAnsi="Arial"/>
          <w:b/>
          <w:bCs/>
          <w:color w:val="047857"/>
          <w:sz w:val="28"/>
          <w:szCs w:val="28"/>
        </w:rPr>
        <w:t xml:space="preserve">5.4 The Premium Convention Problem</w:t>
      </w:r>
    </w:p>
    <w:p>
      <w:pPr>
        <w:spacing w:before="60" w:after="60"/>
      </w:pPr>
      <w:r>
        <w:rPr>
          <w:rFonts w:ascii="Arial" w:cs="Arial" w:eastAsia="Arial" w:hAnsi="Arial"/>
          <w:b w:val="false"/>
          <w:bCs w:val="false"/>
          <w:color w:val="1a1a2e"/>
          <w:sz w:val="22"/>
          <w:szCs w:val="22"/>
        </w:rPr>
        <w:t xml:space="preserve">In FX, the option premium can be expressed in either currency, and the delta must be adjusted accordingly. This creates two delta conventions:</w:t>
      </w:r>
    </w:p>
    <w:p>
      <w:pPr>
        <w:pStyle w:val="ListParagraph"/>
        <w:numPr>
          <w:ilvl w:val="0"/>
          <w:numId w:val="2"/>
        </w:numPr>
        <w:spacing w:before="40" w:after="40"/>
      </w:pPr>
      <w:r>
        <w:rPr>
          <w:rFonts w:ascii="Arial" w:cs="Arial" w:eastAsia="Arial" w:hAnsi="Arial"/>
          <w:color w:val="1a1a2e"/>
          <w:sz w:val="22"/>
          <w:szCs w:val="22"/>
        </w:rPr>
        <w:t xml:space="preserve">Premium-Excluded Delta (the standard Black-Scholes delta): Δ = ∂C/∂S. Measures sensitivity of the option value (in foreign currency terms) to spot.</w:t>
      </w:r>
    </w:p>
    <w:p>
      <w:pPr>
        <w:pStyle w:val="ListParagraph"/>
        <w:numPr>
          <w:ilvl w:val="0"/>
          <w:numId w:val="2"/>
        </w:numPr>
        <w:spacing w:before="40" w:after="40"/>
      </w:pPr>
      <w:r>
        <w:rPr>
          <w:rFonts w:ascii="Arial" w:cs="Arial" w:eastAsia="Arial" w:hAnsi="Arial"/>
          <w:color w:val="1a1a2e"/>
          <w:sz w:val="22"/>
          <w:szCs w:val="22"/>
        </w:rPr>
        <w:t xml:space="preserve">Premium-Included Delta: Δ_prem = Δ − C/S. Used in markets where the premium is paid in the foreign currency (notably USDJPY where the premium is paid in USD).</w:t>
      </w:r>
    </w:p>
    <w:p>
      <w:pPr>
        <w:pBdr>
          <w:left w:val="single" w:color="fbbf24" w:sz="4" w:space="8"/>
        </w:pBdr>
        <w:spacing w:before="80" w:after="80"/>
        <w:ind w:left="720" w:right="360"/>
      </w:pPr>
      <w:r>
        <w:rPr>
          <w:rFonts w:ascii="Arial" w:cs="Arial" w:eastAsia="Arial" w:hAnsi="Arial"/>
          <w:color w:val="374151"/>
          <w:sz w:val="21"/>
          <w:szCs w:val="21"/>
        </w:rPr>
        <w:t xml:space="preserve">A 25-delta option in premium-excluded terms is not the same strike as a 25-delta option in premium-included terms. The difference can be 2–4 delta points for typical 1-year maturities, representing a non-trivial strike difference.</w:t>
      </w:r>
    </w:p>
    <w:p>
      <w:r>
        <w:t xml:space="preserve"/>
      </w:r>
    </w:p>
    <w:p>
      <w:pPr>
        <w:pStyle w:val="Heading2"/>
        <w:spacing w:before="280" w:after="100"/>
      </w:pPr>
      <w:r>
        <w:rPr>
          <w:rFonts w:ascii="Arial" w:cs="Arial" w:eastAsia="Arial" w:hAnsi="Arial"/>
          <w:b/>
          <w:bCs/>
          <w:color w:val="047857"/>
          <w:sz w:val="28"/>
          <w:szCs w:val="28"/>
        </w:rPr>
        <w:t xml:space="preserve">5.5 Full Derivation: Surface Recovery from Three Pillars</w:t>
      </w:r>
    </w:p>
    <w:p>
      <w:pPr>
        <w:spacing w:before="60" w:after="60"/>
      </w:pPr>
      <w:r>
        <w:rPr>
          <w:rFonts w:ascii="Arial" w:cs="Arial" w:eastAsia="Arial" w:hAnsi="Arial"/>
          <w:b w:val="false"/>
          <w:bCs w:val="false"/>
          <w:color w:val="1a1a2e"/>
          <w:sz w:val="22"/>
          <w:szCs w:val="22"/>
        </w:rPr>
        <w:t xml:space="preserve">The module will contain the complete derivation, proceeding in four steps:</w:t>
      </w:r>
    </w:p>
    <w:p>
      <w:pPr>
        <w:pStyle w:val="ListParagraph"/>
        <w:numPr>
          <w:ilvl w:val="0"/>
          <w:numId w:val="3"/>
        </w:numPr>
        <w:spacing w:before="40" w:after="40"/>
      </w:pPr>
      <w:r>
        <w:rPr>
          <w:rFonts w:ascii="Arial" w:cs="Arial" w:eastAsia="Arial" w:hAnsi="Arial"/>
          <w:color w:val="1a1a2e"/>
          <w:sz w:val="22"/>
          <w:szCs w:val="22"/>
        </w:rPr>
        <w:t xml:space="preserve">Recover σ at the four standard delta strikes using the RR/BF formulae above.</w:t>
      </w:r>
    </w:p>
    <w:p>
      <w:pPr>
        <w:pStyle w:val="ListParagraph"/>
        <w:numPr>
          <w:ilvl w:val="0"/>
          <w:numId w:val="3"/>
        </w:numPr>
        <w:spacing w:before="40" w:after="40"/>
      </w:pPr>
      <w:r>
        <w:rPr>
          <w:rFonts w:ascii="Arial" w:cs="Arial" w:eastAsia="Arial" w:hAnsi="Arial"/>
          <w:color w:val="1a1a2e"/>
          <w:sz w:val="22"/>
          <w:szCs w:val="22"/>
        </w:rPr>
        <w:t xml:space="preserve">Convert delta strikes to absolute strikes K using the delta-to-strike formula from MC-2.</w:t>
      </w:r>
    </w:p>
    <w:p>
      <w:pPr>
        <w:pStyle w:val="ListParagraph"/>
        <w:numPr>
          <w:ilvl w:val="0"/>
          <w:numId w:val="3"/>
        </w:numPr>
        <w:spacing w:before="40" w:after="40"/>
      </w:pPr>
      <w:r>
        <w:rPr>
          <w:rFonts w:ascii="Arial" w:cs="Arial" w:eastAsia="Arial" w:hAnsi="Arial"/>
          <w:color w:val="1a1a2e"/>
          <w:sz w:val="22"/>
          <w:szCs w:val="22"/>
        </w:rPr>
        <w:t xml:space="preserve">Fit an interpolating function (e.g. SABR, cubic spline in log-strike) through the five points (4 wing strikes + ATM).</w:t>
      </w:r>
    </w:p>
    <w:p>
      <w:pPr>
        <w:pStyle w:val="ListParagraph"/>
        <w:numPr>
          <w:ilvl w:val="0"/>
          <w:numId w:val="3"/>
        </w:numPr>
        <w:spacing w:before="40" w:after="40"/>
      </w:pPr>
      <w:r>
        <w:rPr>
          <w:rFonts w:ascii="Arial" w:cs="Arial" w:eastAsia="Arial" w:hAnsi="Arial"/>
          <w:color w:val="1a1a2e"/>
          <w:sz w:val="22"/>
          <w:szCs w:val="22"/>
        </w:rPr>
        <w:t xml:space="preserve">Output: the full σ(K) smile for this maturity.</w:t>
      </w:r>
    </w:p>
    <w:p>
      <w:r>
        <w:t xml:space="preserve"/>
      </w:r>
    </w:p>
    <w:p>
      <w:pPr>
        <w:pStyle w:val="Heading2"/>
        <w:spacing w:before="280" w:after="100"/>
      </w:pPr>
      <w:r>
        <w:rPr>
          <w:rFonts w:ascii="Arial" w:cs="Arial" w:eastAsia="Arial" w:hAnsi="Arial"/>
          <w:b/>
          <w:bCs/>
          <w:color w:val="047857"/>
          <w:sz w:val="28"/>
          <w:szCs w:val="28"/>
        </w:rPr>
        <w:t xml:space="preserve">5.6 Interactive Elements</w:t>
      </w:r>
    </w:p>
    <w:p>
      <w:pPr>
        <w:pStyle w:val="ListParagraph"/>
        <w:numPr>
          <w:ilvl w:val="0"/>
          <w:numId w:val="2"/>
        </w:numPr>
        <w:spacing w:before="40" w:after="40"/>
      </w:pPr>
      <w:r>
        <w:rPr>
          <w:rFonts w:ascii="Arial" w:cs="Arial" w:eastAsia="Arial" w:hAnsi="Arial"/>
          <w:color w:val="1a1a2e"/>
          <w:sz w:val="22"/>
          <w:szCs w:val="22"/>
        </w:rPr>
        <w:t xml:space="preserve">FX Vol Surface Builder: enter ATM, RR25, BF25 (and optionally RR10, BF10) → live rendering of the vol smile with labelled strikes.</w:t>
      </w:r>
    </w:p>
    <w:p>
      <w:pPr>
        <w:pStyle w:val="ListParagraph"/>
        <w:numPr>
          <w:ilvl w:val="0"/>
          <w:numId w:val="2"/>
        </w:numPr>
        <w:spacing w:before="40" w:after="40"/>
      </w:pPr>
      <w:r>
        <w:rPr>
          <w:rFonts w:ascii="Arial" w:cs="Arial" w:eastAsia="Arial" w:hAnsi="Arial"/>
          <w:color w:val="1a1a2e"/>
          <w:sz w:val="22"/>
          <w:szCs w:val="22"/>
        </w:rPr>
        <w:t xml:space="preserve">Delta Convention Toggle: show how the smile shifts when switching between premium-included and premium-excluded delta.</w:t>
      </w:r>
    </w:p>
    <w:p>
      <w:pPr>
        <w:pStyle w:val="ListParagraph"/>
        <w:numPr>
          <w:ilvl w:val="0"/>
          <w:numId w:val="2"/>
        </w:numPr>
        <w:spacing w:before="40" w:after="40"/>
      </w:pPr>
      <w:r>
        <w:rPr>
          <w:rFonts w:ascii="Arial" w:cs="Arial" w:eastAsia="Arial" w:hAnsi="Arial"/>
          <w:color w:val="1a1a2e"/>
          <w:sz w:val="22"/>
          <w:szCs w:val="22"/>
        </w:rPr>
        <w:t xml:space="preserve">ATM Convention Comparison: show the three ATM strikes side by side for given inputs, with the numerical difference.</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6. MC-4: Interest Rate Vol — Normal vs Lognormal</w:t>
      </w:r>
    </w:p>
    <w:p>
      <w:pPr>
        <w:pStyle w:val="Heading2"/>
        <w:spacing w:before="280" w:after="100"/>
      </w:pPr>
      <w:r>
        <w:rPr>
          <w:rFonts w:ascii="Arial" w:cs="Arial" w:eastAsia="Arial" w:hAnsi="Arial"/>
          <w:b/>
          <w:bCs/>
          <w:color w:val="047857"/>
          <w:sz w:val="28"/>
          <w:szCs w:val="28"/>
        </w:rPr>
        <w:t xml:space="preserve">6.1 The Problem That Broke Black's Model</w:t>
      </w:r>
    </w:p>
    <w:p>
      <w:pPr>
        <w:spacing w:before="60" w:after="60"/>
      </w:pPr>
      <w:r>
        <w:rPr>
          <w:rFonts w:ascii="Arial" w:cs="Arial" w:eastAsia="Arial" w:hAnsi="Arial"/>
          <w:b w:val="false"/>
          <w:bCs w:val="false"/>
          <w:color w:val="1a1a2e"/>
          <w:sz w:val="22"/>
          <w:szCs w:val="22"/>
        </w:rPr>
        <w:t xml:space="preserve">In 2014, Swiss franc interest rates went negative. The Black model — which assumes rates follow a lognormal process and therefore cannot go negative — broke down completely. The same year, EUR rates entered negative territory. The industry had to adopt the Bachelier (normal) model as a practical alternative, and with it came a new quoting convention: basis-point (bp) volatility.</w:t>
      </w:r>
    </w:p>
    <w:p>
      <w:pPr>
        <w:spacing w:before="60" w:after="60"/>
      </w:pPr>
      <w:r>
        <w:rPr>
          <w:rFonts w:ascii="Arial" w:cs="Arial" w:eastAsia="Arial" w:hAnsi="Arial"/>
          <w:b w:val="false"/>
          <w:bCs w:val="false"/>
          <w:color w:val="1a1a2e"/>
          <w:sz w:val="22"/>
          <w:szCs w:val="22"/>
        </w:rPr>
        <w:t xml:space="preserve">Today, practitioners routinely quote IR options in both percentage-vol (the lognormal convention) and bp-vol (the normal convention). This module derives the relationship between them.</w:t>
      </w:r>
    </w:p>
    <w:p>
      <w:r>
        <w:t xml:space="preserve"/>
      </w:r>
    </w:p>
    <w:p>
      <w:pPr>
        <w:pStyle w:val="Heading2"/>
        <w:spacing w:before="280" w:after="100"/>
      </w:pPr>
      <w:r>
        <w:rPr>
          <w:rFonts w:ascii="Arial" w:cs="Arial" w:eastAsia="Arial" w:hAnsi="Arial"/>
          <w:b/>
          <w:bCs/>
          <w:color w:val="047857"/>
          <w:sz w:val="28"/>
          <w:szCs w:val="28"/>
        </w:rPr>
        <w:t xml:space="preserve">6.2 Two Models, Two Vol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Attribute</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Black Model (Lognormal)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dF = σ_ln × F × dW (rate × vol)</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Distribution</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Lognormal: F always positive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Vol Unit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 (percentage of rate level)</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ATM Option Price</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 × σ_ln × √(T/2π)</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When to Use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Rates clearly positive; caps/floors pre-2014</w:t>
            </w:r>
          </w:p>
        </w:tc>
      </w:tr>
    </w:tbl>
    <w:p>
      <w:r>
        <w:t xml:space="preserve"/>
      </w:r>
    </w:p>
    <w:p>
      <w:pPr>
        <w:pStyle w:val="Heading2"/>
        <w:spacing w:before="280" w:after="100"/>
      </w:pPr>
      <w:r>
        <w:rPr>
          <w:rFonts w:ascii="Arial" w:cs="Arial" w:eastAsia="Arial" w:hAnsi="Arial"/>
          <w:b/>
          <w:bCs/>
          <w:color w:val="047857"/>
          <w:sz w:val="28"/>
          <w:szCs w:val="28"/>
        </w:rPr>
        <w:t xml:space="preserve">6.3 Approximate Conversion Formula</w:t>
      </w:r>
    </w:p>
    <w:p>
      <w:pPr>
        <w:spacing w:before="60" w:after="60"/>
      </w:pPr>
      <w:r>
        <w:rPr>
          <w:rFonts w:ascii="Arial" w:cs="Arial" w:eastAsia="Arial" w:hAnsi="Arial"/>
          <w:b w:val="false"/>
          <w:bCs w:val="false"/>
          <w:color w:val="1a1a2e"/>
          <w:sz w:val="22"/>
          <w:szCs w:val="22"/>
        </w:rPr>
        <w:t xml:space="preserve">For at-the-money (ATM) options, the relationship between lognormal vol σ_ln and normal vol σ_n (in the same units, annualised) is approximately:</w:t>
      </w:r>
    </w:p>
    <w:p>
      <w:pPr>
        <w:pBdr>
          <w:left w:val="single" w:color="fbbf24" w:sz="4" w:space="8"/>
        </w:pBdr>
        <w:spacing w:before="80" w:after="80"/>
        <w:ind w:left="720" w:right="360"/>
      </w:pPr>
      <w:r>
        <w:rPr>
          <w:rFonts w:ascii="Arial" w:cs="Arial" w:eastAsia="Arial" w:hAnsi="Arial"/>
          <w:color w:val="374151"/>
          <w:sz w:val="21"/>
          <w:szCs w:val="21"/>
        </w:rPr>
        <w:t xml:space="preserve">σ_n ≈ σ_ln × F   (bp vol ≈ % vol × rate level)</w:t>
      </w:r>
    </w:p>
    <w:p>
      <w:pPr>
        <w:spacing w:before="60" w:after="60"/>
      </w:pPr>
      <w:r>
        <w:rPr>
          <w:rFonts w:ascii="Arial" w:cs="Arial" w:eastAsia="Arial" w:hAnsi="Arial"/>
          <w:b w:val="false"/>
          <w:bCs w:val="false"/>
          <w:color w:val="1a1a2e"/>
          <w:sz w:val="22"/>
          <w:szCs w:val="22"/>
        </w:rPr>
        <w:t xml:space="preserve">Example: A 10y swap ATM at F = 3.00%. If σ_ln = 30% (lognormal vol), then:</w:t>
      </w:r>
    </w:p>
    <w:p>
      <w:pPr>
        <w:pBdr>
          <w:left w:val="single" w:color="fbbf24" w:sz="4" w:space="8"/>
        </w:pBdr>
        <w:spacing w:before="80" w:after="80"/>
        <w:ind w:left="720" w:right="360"/>
      </w:pPr>
      <w:r>
        <w:rPr>
          <w:rFonts w:ascii="Arial" w:cs="Arial" w:eastAsia="Arial" w:hAnsi="Arial"/>
          <w:color w:val="374151"/>
          <w:sz w:val="21"/>
          <w:szCs w:val="21"/>
        </w:rPr>
        <w:t xml:space="preserve">σ_n ≈ 30% × 3.00% × 10,000 = 90 bp/year</w:t>
      </w:r>
    </w:p>
    <w:p>
      <w:pPr>
        <w:spacing w:before="60" w:after="60"/>
      </w:pPr>
      <w:r>
        <w:rPr>
          <w:rFonts w:ascii="Arial" w:cs="Arial" w:eastAsia="Arial" w:hAnsi="Arial"/>
          <w:b w:val="false"/>
          <w:bCs w:val="false"/>
          <w:color w:val="1a1a2e"/>
          <w:sz w:val="22"/>
          <w:szCs w:val="22"/>
        </w:rPr>
        <w:t xml:space="preserve">The factor of 10,000 converts from decimal to basis-point units. This is an approximation; the exact relationship depends on the full distribution and involves a correction term that grows with vol and maturity.</w:t>
      </w:r>
    </w:p>
    <w:p>
      <w:r>
        <w:t xml:space="preserve"/>
      </w:r>
    </w:p>
    <w:p>
      <w:pPr>
        <w:pStyle w:val="Heading2"/>
        <w:spacing w:before="280" w:after="100"/>
      </w:pPr>
      <w:r>
        <w:rPr>
          <w:rFonts w:ascii="Arial" w:cs="Arial" w:eastAsia="Arial" w:hAnsi="Arial"/>
          <w:b/>
          <w:bCs/>
          <w:color w:val="047857"/>
          <w:sz w:val="28"/>
          <w:szCs w:val="28"/>
        </w:rPr>
        <w:t xml:space="preserve">6.4 Exact Conversion via SABR</w:t>
      </w:r>
    </w:p>
    <w:p>
      <w:pPr>
        <w:spacing w:before="60" w:after="60"/>
      </w:pPr>
      <w:r>
        <w:rPr>
          <w:rFonts w:ascii="Arial" w:cs="Arial" w:eastAsia="Arial" w:hAnsi="Arial"/>
          <w:b w:val="false"/>
          <w:bCs w:val="false"/>
          <w:color w:val="1a1a2e"/>
          <w:sz w:val="22"/>
          <w:szCs w:val="22"/>
        </w:rPr>
        <w:t xml:space="preserve">In practice, the conversion is done within the SABR stochastic volatility model framework. SABR's key advantage is that it can be calibrated in either vol convention and produces consistent smile shapes. The SABR parameters {α, β, ρ, ν} generate a vol smile in either convention via closed-form approximations. The module will derive:</w:t>
      </w:r>
    </w:p>
    <w:p>
      <w:pPr>
        <w:pStyle w:val="ListParagraph"/>
        <w:numPr>
          <w:ilvl w:val="0"/>
          <w:numId w:val="2"/>
        </w:numPr>
        <w:spacing w:before="40" w:after="40"/>
      </w:pPr>
      <w:r>
        <w:rPr>
          <w:rFonts w:ascii="Arial" w:cs="Arial" w:eastAsia="Arial" w:hAnsi="Arial"/>
          <w:color w:val="1a1a2e"/>
          <w:sz w:val="22"/>
          <w:szCs w:val="22"/>
        </w:rPr>
        <w:t xml:space="preserve">The SABR implied lognormal vol formula (Hagan et al. 2002)</w:t>
      </w:r>
    </w:p>
    <w:p>
      <w:pPr>
        <w:pStyle w:val="ListParagraph"/>
        <w:numPr>
          <w:ilvl w:val="0"/>
          <w:numId w:val="2"/>
        </w:numPr>
        <w:spacing w:before="40" w:after="40"/>
      </w:pPr>
      <w:r>
        <w:rPr>
          <w:rFonts w:ascii="Arial" w:cs="Arial" w:eastAsia="Arial" w:hAnsi="Arial"/>
          <w:color w:val="1a1a2e"/>
          <w:sz w:val="22"/>
          <w:szCs w:val="22"/>
        </w:rPr>
        <w:t xml:space="preserve">The SABR implied normal vol formula (commonly used post-2014 in rates markets)</w:t>
      </w:r>
    </w:p>
    <w:p>
      <w:pPr>
        <w:pStyle w:val="ListParagraph"/>
        <w:numPr>
          <w:ilvl w:val="0"/>
          <w:numId w:val="2"/>
        </w:numPr>
        <w:spacing w:before="40" w:after="40"/>
      </w:pPr>
      <w:r>
        <w:rPr>
          <w:rFonts w:ascii="Arial" w:cs="Arial" w:eastAsia="Arial" w:hAnsi="Arial"/>
          <w:color w:val="1a1a2e"/>
          <w:sz w:val="22"/>
          <w:szCs w:val="22"/>
        </w:rPr>
        <w:t xml:space="preserve">The β parameter as the interpolation between lognormal (β=1) and normal (β=0) behaviour</w:t>
      </w:r>
    </w:p>
    <w:p>
      <w:r>
        <w:t xml:space="preserve"/>
      </w:r>
    </w:p>
    <w:p>
      <w:pPr>
        <w:pStyle w:val="Heading2"/>
        <w:spacing w:before="280" w:after="100"/>
      </w:pPr>
      <w:r>
        <w:rPr>
          <w:rFonts w:ascii="Arial" w:cs="Arial" w:eastAsia="Arial" w:hAnsi="Arial"/>
          <w:b/>
          <w:bCs/>
          <w:color w:val="047857"/>
          <w:sz w:val="28"/>
          <w:szCs w:val="28"/>
        </w:rPr>
        <w:t xml:space="preserve">6.5 Swaption Convention Details</w:t>
      </w:r>
    </w:p>
    <w:p>
      <w:pPr>
        <w:spacing w:before="60" w:after="60"/>
      </w:pPr>
      <w:r>
        <w:rPr>
          <w:rFonts w:ascii="Arial" w:cs="Arial" w:eastAsia="Arial" w:hAnsi="Arial"/>
          <w:b w:val="false"/>
          <w:bCs w:val="false"/>
          <w:color w:val="1a1a2e"/>
          <w:sz w:val="22"/>
          <w:szCs w:val="22"/>
        </w:rPr>
        <w:t xml:space="preserve">Swaptions have an additional layer of convention complexity:</w:t>
      </w:r>
    </w:p>
    <w:p>
      <w:pPr>
        <w:pStyle w:val="ListParagraph"/>
        <w:numPr>
          <w:ilvl w:val="0"/>
          <w:numId w:val="2"/>
        </w:numPr>
        <w:spacing w:before="40" w:after="40"/>
      </w:pPr>
      <w:r>
        <w:rPr>
          <w:rFonts w:ascii="Arial" w:cs="Arial" w:eastAsia="Arial" w:hAnsi="Arial"/>
          <w:color w:val="1a1a2e"/>
          <w:sz w:val="22"/>
          <w:szCs w:val="22"/>
        </w:rPr>
        <w:t xml:space="preserve">Physical vs Cash Settlement: a physically settled swaption delivers an actual swap on exercise. A cash-settled swaption pays the NPV of the swap. Cash-settled swaptions require a different annuity convention in the pricing formula.</w:t>
      </w:r>
    </w:p>
    <w:p>
      <w:pPr>
        <w:pStyle w:val="ListParagraph"/>
        <w:numPr>
          <w:ilvl w:val="0"/>
          <w:numId w:val="2"/>
        </w:numPr>
        <w:spacing w:before="40" w:after="40"/>
      </w:pPr>
      <w:r>
        <w:rPr>
          <w:rFonts w:ascii="Arial" w:cs="Arial" w:eastAsia="Arial" w:hAnsi="Arial"/>
          <w:color w:val="1a1a2e"/>
          <w:sz w:val="22"/>
          <w:szCs w:val="22"/>
        </w:rPr>
        <w:t xml:space="preserve">PVBP Annuity: the "price" of the swaption depends on the swap's annuity factor (PVBP), which itself depends on the discount curve. Different discounting assumptions (OIS vs IBOR) give different PVBP values.</w:t>
      </w:r>
    </w:p>
    <w:p>
      <w:pPr>
        <w:pStyle w:val="ListParagraph"/>
        <w:numPr>
          <w:ilvl w:val="0"/>
          <w:numId w:val="2"/>
        </w:numPr>
        <w:spacing w:before="40" w:after="40"/>
      </w:pPr>
      <w:r>
        <w:rPr>
          <w:rFonts w:ascii="Arial" w:cs="Arial" w:eastAsia="Arial" w:hAnsi="Arial"/>
          <w:color w:val="1a1a2e"/>
          <w:sz w:val="22"/>
          <w:szCs w:val="22"/>
        </w:rPr>
        <w:t xml:space="preserve">Coterminal vs Constant Maturity: a 1y×10y swaption (1 year to expiry, 10 year underlying swap) versus a 10y CMS cap — different payoff structures with different vol inputs required.</w:t>
      </w:r>
    </w:p>
    <w:p>
      <w:r>
        <w:t xml:space="preserve"/>
      </w:r>
    </w:p>
    <w:p>
      <w:pPr>
        <w:pStyle w:val="Heading2"/>
        <w:spacing w:before="280" w:after="100"/>
      </w:pPr>
      <w:r>
        <w:rPr>
          <w:rFonts w:ascii="Arial" w:cs="Arial" w:eastAsia="Arial" w:hAnsi="Arial"/>
          <w:b/>
          <w:bCs/>
          <w:color w:val="047857"/>
          <w:sz w:val="28"/>
          <w:szCs w:val="28"/>
        </w:rPr>
        <w:t xml:space="preserve">6.6 Interactive Elements</w:t>
      </w:r>
    </w:p>
    <w:p>
      <w:pPr>
        <w:pStyle w:val="ListParagraph"/>
        <w:numPr>
          <w:ilvl w:val="0"/>
          <w:numId w:val="2"/>
        </w:numPr>
        <w:spacing w:before="40" w:after="40"/>
      </w:pPr>
      <w:r>
        <w:rPr>
          <w:rFonts w:ascii="Arial" w:cs="Arial" w:eastAsia="Arial" w:hAnsi="Arial"/>
          <w:color w:val="1a1a2e"/>
          <w:sz w:val="22"/>
          <w:szCs w:val="22"/>
        </w:rPr>
        <w:t xml:space="preserve">Vol Converter: enter ATM rate, lognormal vol → output normal vol (bp), with the approximation error shown.</w:t>
      </w:r>
    </w:p>
    <w:p>
      <w:pPr>
        <w:pStyle w:val="ListParagraph"/>
        <w:numPr>
          <w:ilvl w:val="0"/>
          <w:numId w:val="2"/>
        </w:numPr>
        <w:spacing w:before="40" w:after="40"/>
      </w:pPr>
      <w:r>
        <w:rPr>
          <w:rFonts w:ascii="Arial" w:cs="Arial" w:eastAsia="Arial" w:hAnsi="Arial"/>
          <w:color w:val="1a1a2e"/>
          <w:sz w:val="22"/>
          <w:szCs w:val="22"/>
        </w:rPr>
        <w:t xml:space="preserve">Bachelier vs Black Price Comparison: for a given option, show how the two models price it and how the prices diverge as rates approach zero.</w:t>
      </w:r>
    </w:p>
    <w:p>
      <w:pPr>
        <w:pStyle w:val="ListParagraph"/>
        <w:numPr>
          <w:ilvl w:val="0"/>
          <w:numId w:val="2"/>
        </w:numPr>
        <w:spacing w:before="40" w:after="40"/>
      </w:pPr>
      <w:r>
        <w:rPr>
          <w:rFonts w:ascii="Arial" w:cs="Arial" w:eastAsia="Arial" w:hAnsi="Arial"/>
          <w:color w:val="1a1a2e"/>
          <w:sz w:val="22"/>
          <w:szCs w:val="22"/>
        </w:rPr>
        <w:t xml:space="preserve">SABR Calibration Tool: enter the three standard strikes (ATM, RR, BF equivalent) → output SABR parameters and the fitted smile in both vol conventions.</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7. MC-5: Credit Derivatives — Spread to Upfront</w:t>
      </w:r>
    </w:p>
    <w:p>
      <w:pPr>
        <w:pStyle w:val="Heading2"/>
        <w:spacing w:before="280" w:after="100"/>
      </w:pPr>
      <w:r>
        <w:rPr>
          <w:rFonts w:ascii="Arial" w:cs="Arial" w:eastAsia="Arial" w:hAnsi="Arial"/>
          <w:b/>
          <w:bCs/>
          <w:color w:val="047857"/>
          <w:sz w:val="28"/>
          <w:szCs w:val="28"/>
        </w:rPr>
        <w:t xml:space="preserve">7.1 Historical Background</w:t>
      </w:r>
    </w:p>
    <w:p>
      <w:pPr>
        <w:spacing w:before="60" w:after="60"/>
      </w:pPr>
      <w:r>
        <w:rPr>
          <w:rFonts w:ascii="Arial" w:cs="Arial" w:eastAsia="Arial" w:hAnsi="Arial"/>
          <w:b w:val="false"/>
          <w:bCs w:val="false"/>
          <w:color w:val="1a1a2e"/>
          <w:sz w:val="22"/>
          <w:szCs w:val="22"/>
        </w:rPr>
        <w:t xml:space="preserve">Before 2009, CDS contracts were quoted as running spreads: the protection buyer paid a continuous coupon (expressed in basis points per annum) until maturity or a credit event. This was the par spread — the spread at which the upfront payment was zero.</w:t>
      </w:r>
    </w:p>
    <w:p>
      <w:pPr>
        <w:spacing w:before="60" w:after="60"/>
      </w:pPr>
      <w:r>
        <w:rPr>
          <w:rFonts w:ascii="Arial" w:cs="Arial" w:eastAsia="Arial" w:hAnsi="Arial"/>
          <w:b w:val="false"/>
          <w:bCs w:val="false"/>
          <w:color w:val="1a1a2e"/>
          <w:sz w:val="22"/>
          <w:szCs w:val="22"/>
        </w:rPr>
        <w:t xml:space="preserve">After the 2009 ISDA Big Bang (North American names) and Small Bang (European names), CDS were standardised to fixed coupons of 100bp or 500bp, with an upfront payment at initiation to adjust for any difference between the fixed coupon and the fair market spread. This mirrors how bonds trade at prices rather than at par.</w:t>
      </w:r>
    </w:p>
    <w:p>
      <w:pPr>
        <w:pBdr>
          <w:left w:val="single" w:color="fbbf24" w:sz="4" w:space="8"/>
        </w:pBdr>
        <w:spacing w:before="80" w:after="80"/>
        <w:ind w:left="720" w:right="360"/>
      </w:pPr>
      <w:r>
        <w:rPr>
          <w:rFonts w:ascii="Arial" w:cs="Arial" w:eastAsia="Arial" w:hAnsi="Arial"/>
          <w:color w:val="374151"/>
          <w:sz w:val="21"/>
          <w:szCs w:val="21"/>
        </w:rPr>
        <w:t xml:space="preserve">The fundamental change: from "what spread makes this zero-cost?" to "what upfront payment, given this standard coupon, makes this zero-cost?"</w:t>
      </w:r>
    </w:p>
    <w:p>
      <w:r>
        <w:t xml:space="preserve"/>
      </w:r>
    </w:p>
    <w:p>
      <w:pPr>
        <w:pStyle w:val="Heading2"/>
        <w:spacing w:before="280" w:after="100"/>
      </w:pPr>
      <w:r>
        <w:rPr>
          <w:rFonts w:ascii="Arial" w:cs="Arial" w:eastAsia="Arial" w:hAnsi="Arial"/>
          <w:b/>
          <w:bCs/>
          <w:color w:val="047857"/>
          <w:sz w:val="28"/>
          <w:szCs w:val="28"/>
        </w:rPr>
        <w:t xml:space="preserve">7.2 The Survival Probability Framework</w:t>
      </w:r>
    </w:p>
    <w:p>
      <w:pPr>
        <w:spacing w:before="60" w:after="60"/>
      </w:pPr>
      <w:r>
        <w:rPr>
          <w:rFonts w:ascii="Arial" w:cs="Arial" w:eastAsia="Arial" w:hAnsi="Arial"/>
          <w:b w:val="false"/>
          <w:bCs w:val="false"/>
          <w:color w:val="1a1a2e"/>
          <w:sz w:val="22"/>
          <w:szCs w:val="22"/>
        </w:rPr>
        <w:t xml:space="preserve">All CDS pricing rests on the survival probability curve Q(t) — the risk-neutral probability that the reference entity survives until time t. The hazard rate h(t) is the instantaneous default intensity:</w:t>
      </w:r>
    </w:p>
    <w:p>
      <w:pPr>
        <w:pBdr>
          <w:left w:val="single" w:color="fbbf24" w:sz="4" w:space="8"/>
        </w:pBdr>
        <w:spacing w:before="80" w:after="80"/>
        <w:ind w:left="720" w:right="360"/>
      </w:pPr>
      <w:r>
        <w:rPr>
          <w:rFonts w:ascii="Arial" w:cs="Arial" w:eastAsia="Arial" w:hAnsi="Arial"/>
          <w:color w:val="374151"/>
          <w:sz w:val="21"/>
          <w:szCs w:val="21"/>
        </w:rPr>
        <w:t xml:space="preserve">Q(t) = exp(−∫₀ᵗ h(s) ds)</w:t>
      </w:r>
    </w:p>
    <w:p>
      <w:pPr>
        <w:spacing w:before="60" w:after="60"/>
      </w:pPr>
      <w:r>
        <w:rPr>
          <w:rFonts w:ascii="Arial" w:cs="Arial" w:eastAsia="Arial" w:hAnsi="Arial"/>
          <w:b w:val="false"/>
          <w:bCs w:val="false"/>
          <w:color w:val="1a1a2e"/>
          <w:sz w:val="22"/>
          <w:szCs w:val="22"/>
        </w:rPr>
        <w:t xml:space="preserve">For a piecewise-constant hazard rate h between tenor points t_i and t_{i+1}:</w:t>
      </w:r>
    </w:p>
    <w:p>
      <w:pPr>
        <w:pBdr>
          <w:left w:val="single" w:color="fbbf24" w:sz="4" w:space="8"/>
        </w:pBdr>
        <w:spacing w:before="80" w:after="80"/>
        <w:ind w:left="720" w:right="360"/>
      </w:pPr>
      <w:r>
        <w:rPr>
          <w:rFonts w:ascii="Arial" w:cs="Arial" w:eastAsia="Arial" w:hAnsi="Arial"/>
          <w:color w:val="374151"/>
          <w:sz w:val="21"/>
          <w:szCs w:val="21"/>
        </w:rPr>
        <w:t xml:space="preserve">Q(t_{i+1}) = Q(t_i) × exp(−h_i × (t_{i+1} − t_i))</w:t>
      </w:r>
    </w:p>
    <w:p>
      <w:pPr>
        <w:spacing w:before="60" w:after="60"/>
      </w:pPr>
      <w:r>
        <w:rPr>
          <w:rFonts w:ascii="Arial" w:cs="Arial" w:eastAsia="Arial" w:hAnsi="Arial"/>
          <w:b w:val="false"/>
          <w:bCs w:val="false"/>
          <w:color w:val="1a1a2e"/>
          <w:sz w:val="22"/>
          <w:szCs w:val="22"/>
        </w:rPr>
        <w:t xml:space="preserve">The bootstrapping procedure extracts h_i sequentially from market CDS spreads, exactly analogous to bootstrapping discount factors from swap rates (covered in MC-7).</w:t>
      </w:r>
    </w:p>
    <w:p>
      <w:r>
        <w:t xml:space="preserve"/>
      </w:r>
    </w:p>
    <w:p>
      <w:pPr>
        <w:pStyle w:val="Heading2"/>
        <w:spacing w:before="280" w:after="100"/>
      </w:pPr>
      <w:r>
        <w:rPr>
          <w:rFonts w:ascii="Arial" w:cs="Arial" w:eastAsia="Arial" w:hAnsi="Arial"/>
          <w:b/>
          <w:bCs/>
          <w:color w:val="047857"/>
          <w:sz w:val="28"/>
          <w:szCs w:val="28"/>
        </w:rPr>
        <w:t xml:space="preserve">7.3 Par Spread Formula</w:t>
      </w:r>
    </w:p>
    <w:p>
      <w:pPr>
        <w:spacing w:before="60" w:after="60"/>
      </w:pPr>
      <w:r>
        <w:rPr>
          <w:rFonts w:ascii="Arial" w:cs="Arial" w:eastAsia="Arial" w:hAnsi="Arial"/>
          <w:b w:val="false"/>
          <w:bCs w:val="false"/>
          <w:color w:val="1a1a2e"/>
          <w:sz w:val="22"/>
          <w:szCs w:val="22"/>
        </w:rPr>
        <w:t xml:space="preserve">The par spread s_par is the running coupon that makes the CDS fair at initiation. It balances the risky annuity (the PV of coupon payments, received only if the name survives) against the expected protection leg (the PV of the contingent payment on default):</w:t>
      </w:r>
    </w:p>
    <w:p>
      <w:pPr>
        <w:pBdr>
          <w:left w:val="single" w:color="fbbf24" w:sz="4" w:space="8"/>
        </w:pBdr>
        <w:spacing w:before="80" w:after="80"/>
        <w:ind w:left="720" w:right="360"/>
      </w:pPr>
      <w:r>
        <w:rPr>
          <w:rFonts w:ascii="Arial" w:cs="Arial" w:eastAsia="Arial" w:hAnsi="Arial"/>
          <w:color w:val="374151"/>
          <w:sz w:val="21"/>
          <w:szCs w:val="21"/>
        </w:rPr>
        <w:t xml:space="preserve">s_par = Protection Leg PV / Risky Annuity (RPV01)</w:t>
      </w:r>
    </w:p>
    <w:p>
      <w:pPr>
        <w:spacing w:before="60" w:after="60"/>
      </w:pPr>
      <w:r>
        <w:rPr>
          <w:rFonts w:ascii="Arial" w:cs="Arial" w:eastAsia="Arial" w:hAnsi="Arial"/>
          <w:b w:val="false"/>
          <w:bCs w:val="false"/>
          <w:color w:val="1a1a2e"/>
          <w:sz w:val="22"/>
          <w:szCs w:val="22"/>
        </w:rPr>
        <w:t xml:space="preserve">where:</w:t>
      </w:r>
    </w:p>
    <w:p>
      <w:pPr>
        <w:pStyle w:val="ListParagraph"/>
        <w:numPr>
          <w:ilvl w:val="0"/>
          <w:numId w:val="2"/>
        </w:numPr>
        <w:spacing w:before="40" w:after="40"/>
      </w:pPr>
      <w:r>
        <w:rPr>
          <w:rFonts w:ascii="Arial" w:cs="Arial" w:eastAsia="Arial" w:hAnsi="Arial"/>
          <w:color w:val="1a1a2e"/>
          <w:sz w:val="22"/>
          <w:szCs w:val="22"/>
        </w:rPr>
        <w:t xml:space="preserve">Protection Leg PV = (1 − R) × ∫₀ᵀ D(t) × (−dQ(t)), R = recovery rate (market standard 40%)</w:t>
      </w:r>
    </w:p>
    <w:p>
      <w:pPr>
        <w:pStyle w:val="ListParagraph"/>
        <w:numPr>
          <w:ilvl w:val="0"/>
          <w:numId w:val="2"/>
        </w:numPr>
        <w:spacing w:before="40" w:after="40"/>
      </w:pPr>
      <w:r>
        <w:rPr>
          <w:rFonts w:ascii="Arial" w:cs="Arial" w:eastAsia="Arial" w:hAnsi="Arial"/>
          <w:color w:val="1a1a2e"/>
          <w:sz w:val="22"/>
          <w:szCs w:val="22"/>
        </w:rPr>
        <w:t xml:space="preserve">Risky Annuity (RPV01) = Σ D(t_i) × Q(t_i) × Δt_i, summed over coupon dates</w:t>
      </w:r>
    </w:p>
    <w:p>
      <w:r>
        <w:t xml:space="preserve"/>
      </w:r>
    </w:p>
    <w:p>
      <w:pPr>
        <w:pStyle w:val="Heading2"/>
        <w:spacing w:before="280" w:after="100"/>
      </w:pPr>
      <w:r>
        <w:rPr>
          <w:rFonts w:ascii="Arial" w:cs="Arial" w:eastAsia="Arial" w:hAnsi="Arial"/>
          <w:b/>
          <w:bCs/>
          <w:color w:val="047857"/>
          <w:sz w:val="28"/>
          <w:szCs w:val="28"/>
        </w:rPr>
        <w:t xml:space="preserve">7.4 Upfront Conversion</w:t>
      </w:r>
    </w:p>
    <w:p>
      <w:pPr>
        <w:spacing w:before="60" w:after="60"/>
      </w:pPr>
      <w:r>
        <w:rPr>
          <w:rFonts w:ascii="Arial" w:cs="Arial" w:eastAsia="Arial" w:hAnsi="Arial"/>
          <w:b w:val="false"/>
          <w:bCs w:val="false"/>
          <w:color w:val="1a1a2e"/>
          <w:sz w:val="22"/>
          <w:szCs w:val="22"/>
        </w:rPr>
        <w:t xml:space="preserve">Given standardised coupon C_std (100bp or 500bp) and the par spread s_par, the upfront payment U is:</w:t>
      </w:r>
    </w:p>
    <w:p>
      <w:pPr>
        <w:pBdr>
          <w:left w:val="single" w:color="fbbf24" w:sz="4" w:space="8"/>
        </w:pBdr>
        <w:spacing w:before="80" w:after="80"/>
        <w:ind w:left="720" w:right="360"/>
      </w:pPr>
      <w:r>
        <w:rPr>
          <w:rFonts w:ascii="Arial" w:cs="Arial" w:eastAsia="Arial" w:hAnsi="Arial"/>
          <w:color w:val="374151"/>
          <w:sz w:val="21"/>
          <w:szCs w:val="21"/>
        </w:rPr>
        <w:t xml:space="preserve">U = (s_par − C_std) × RPV01</w:t>
      </w:r>
    </w:p>
    <w:p>
      <w:pPr>
        <w:spacing w:before="60" w:after="60"/>
      </w:pPr>
      <w:r>
        <w:rPr>
          <w:rFonts w:ascii="Arial" w:cs="Arial" w:eastAsia="Arial" w:hAnsi="Arial"/>
          <w:b w:val="false"/>
          <w:bCs w:val="false"/>
          <w:color w:val="1a1a2e"/>
          <w:sz w:val="22"/>
          <w:szCs w:val="22"/>
        </w:rPr>
        <w:t xml:space="preserve">Positive U means the protection buyer pays upfront (spread &gt; coupon). Negative U means the protection seller pays upfront (spread &lt; coupon). Market convention quotes U as a percentage of notional, called the "clean price" or "points upfront."</w:t>
      </w:r>
    </w:p>
    <w:p>
      <w:pPr>
        <w:spacing w:before="60" w:after="60"/>
      </w:pPr>
      <w:r>
        <w:rPr>
          <w:rFonts w:ascii="Arial" w:cs="Arial" w:eastAsia="Arial" w:hAnsi="Arial"/>
          <w:b w:val="false"/>
          <w:bCs w:val="false"/>
          <w:color w:val="1a1a2e"/>
          <w:sz w:val="22"/>
          <w:szCs w:val="22"/>
        </w:rPr>
        <w:t xml:space="preserve">Note: the market convention also adjusts for accrued interest — the accrued portion of the standard coupon since the last coupon date is added to arrive at the full (dirty) upfront amount.</w:t>
      </w:r>
    </w:p>
    <w:p>
      <w:r>
        <w:t xml:space="preserve"/>
      </w:r>
    </w:p>
    <w:p>
      <w:pPr>
        <w:pStyle w:val="Heading2"/>
        <w:spacing w:before="280" w:after="100"/>
      </w:pPr>
      <w:r>
        <w:rPr>
          <w:rFonts w:ascii="Arial" w:cs="Arial" w:eastAsia="Arial" w:hAnsi="Arial"/>
          <w:b/>
          <w:bCs/>
          <w:color w:val="047857"/>
          <w:sz w:val="28"/>
          <w:szCs w:val="28"/>
        </w:rPr>
        <w:t xml:space="preserve">7.5 Interactive Elements</w:t>
      </w:r>
    </w:p>
    <w:p>
      <w:pPr>
        <w:pStyle w:val="ListParagraph"/>
        <w:numPr>
          <w:ilvl w:val="0"/>
          <w:numId w:val="2"/>
        </w:numPr>
        <w:spacing w:before="40" w:after="40"/>
      </w:pPr>
      <w:r>
        <w:rPr>
          <w:rFonts w:ascii="Arial" w:cs="Arial" w:eastAsia="Arial" w:hAnsi="Arial"/>
          <w:color w:val="1a1a2e"/>
          <w:sz w:val="22"/>
          <w:szCs w:val="22"/>
        </w:rPr>
        <w:t xml:space="preserve">CDS Calculator: enter par spread (or upfront), recovery rate, discount curve → output upfront (or par spread), RPV01, and survival probabilities at each tenor.</w:t>
      </w:r>
    </w:p>
    <w:p>
      <w:pPr>
        <w:pStyle w:val="ListParagraph"/>
        <w:numPr>
          <w:ilvl w:val="0"/>
          <w:numId w:val="2"/>
        </w:numPr>
        <w:spacing w:before="40" w:after="40"/>
      </w:pPr>
      <w:r>
        <w:rPr>
          <w:rFonts w:ascii="Arial" w:cs="Arial" w:eastAsia="Arial" w:hAnsi="Arial"/>
          <w:color w:val="1a1a2e"/>
          <w:sz w:val="22"/>
          <w:szCs w:val="22"/>
        </w:rPr>
        <w:t xml:space="preserve">Hazard Rate Bootstrapper: enter a set of CDS quotes across tenors → output the piecewise-constant hazard rate curve and survival probability curve.</w:t>
      </w:r>
    </w:p>
    <w:p>
      <w:pPr>
        <w:pStyle w:val="ListParagraph"/>
        <w:numPr>
          <w:ilvl w:val="0"/>
          <w:numId w:val="2"/>
        </w:numPr>
        <w:spacing w:before="40" w:after="40"/>
      </w:pPr>
      <w:r>
        <w:rPr>
          <w:rFonts w:ascii="Arial" w:cs="Arial" w:eastAsia="Arial" w:hAnsi="Arial"/>
          <w:color w:val="1a1a2e"/>
          <w:sz w:val="22"/>
          <w:szCs w:val="22"/>
        </w:rPr>
        <w:t xml:space="preserve">Sensitivity to Recovery: show how the upfront/spread relationship changes for different recovery rate assumptions.</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8. MC-6: Commodity Options &amp; Black-76</w:t>
      </w:r>
    </w:p>
    <w:p>
      <w:pPr>
        <w:pStyle w:val="Heading2"/>
        <w:spacing w:before="280" w:after="100"/>
      </w:pPr>
      <w:r>
        <w:rPr>
          <w:rFonts w:ascii="Arial" w:cs="Arial" w:eastAsia="Arial" w:hAnsi="Arial"/>
          <w:b/>
          <w:bCs/>
          <w:color w:val="047857"/>
          <w:sz w:val="28"/>
          <w:szCs w:val="28"/>
        </w:rPr>
        <w:t xml:space="preserve">8.1 Why Commodities Are Different</w:t>
      </w:r>
    </w:p>
    <w:p>
      <w:pPr>
        <w:spacing w:before="60" w:after="60"/>
      </w:pPr>
      <w:r>
        <w:rPr>
          <w:rFonts w:ascii="Arial" w:cs="Arial" w:eastAsia="Arial" w:hAnsi="Arial"/>
          <w:b w:val="false"/>
          <w:bCs w:val="false"/>
          <w:color w:val="1a1a2e"/>
          <w:sz w:val="22"/>
          <w:szCs w:val="22"/>
        </w:rPr>
        <w:t xml:space="preserve">Commodity options are nearly always written on futures prices, not spot prices. This distinction has a fundamental consequence for the pricing framework: the "cost-of-carry" arbitrage relationship between spot and forward does not hold in the same form for commodities that are costly or inconvenient to store (oil, gas, power) or that are seasonally produced (agricultural products).</w:t>
      </w:r>
    </w:p>
    <w:p>
      <w:pPr>
        <w:spacing w:before="60" w:after="60"/>
      </w:pPr>
      <w:r>
        <w:rPr>
          <w:rFonts w:ascii="Arial" w:cs="Arial" w:eastAsia="Arial" w:hAnsi="Arial"/>
          <w:b w:val="false"/>
          <w:bCs w:val="false"/>
          <w:color w:val="1a1a2e"/>
          <w:sz w:val="22"/>
          <w:szCs w:val="22"/>
        </w:rPr>
        <w:t xml:space="preserve">The Black-76 model (Fischer Black, 1976) prices European options on futures contracts directly, treating the futures price F as the underlying without assuming any particular cost-of-carry relationship.</w:t>
      </w:r>
    </w:p>
    <w:p>
      <w:r>
        <w:t xml:space="preserve"/>
      </w:r>
    </w:p>
    <w:p>
      <w:pPr>
        <w:pStyle w:val="Heading2"/>
        <w:spacing w:before="280" w:after="100"/>
      </w:pPr>
      <w:r>
        <w:rPr>
          <w:rFonts w:ascii="Arial" w:cs="Arial" w:eastAsia="Arial" w:hAnsi="Arial"/>
          <w:b/>
          <w:bCs/>
          <w:color w:val="047857"/>
          <w:sz w:val="28"/>
          <w:szCs w:val="28"/>
        </w:rPr>
        <w:t xml:space="preserve">8.2 Black-76 vs Black-Scholes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Attribute</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Black-Scholes (1973)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Underlying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Spot price 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Drift</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Risk-free rate r (under risk-neutral measure)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Call Formula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S·N(d₁) − K·e^(−rT)·N(d₂)</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d₁</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[ln(S/K) + (r + ½σ²)T] / (σ√T)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Key Simplification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Requires assumption about cost of carry</w:t>
            </w:r>
          </w:p>
        </w:tc>
      </w:tr>
    </w:tbl>
    <w:p>
      <w:r>
        <w:t xml:space="preserve"/>
      </w:r>
    </w:p>
    <w:p>
      <w:pPr>
        <w:pStyle w:val="Heading2"/>
        <w:spacing w:before="280" w:after="100"/>
      </w:pPr>
      <w:r>
        <w:rPr>
          <w:rFonts w:ascii="Arial" w:cs="Arial" w:eastAsia="Arial" w:hAnsi="Arial"/>
          <w:b/>
          <w:bCs/>
          <w:color w:val="047857"/>
          <w:sz w:val="28"/>
          <w:szCs w:val="28"/>
        </w:rPr>
        <w:t xml:space="preserve">8.3 Commodity Option Quoting Conventions</w:t>
      </w:r>
    </w:p>
    <w:p>
      <w:pPr>
        <w:pStyle w:val="Heading3"/>
        <w:spacing w:before="200" w:after="80"/>
      </w:pPr>
      <w:r>
        <w:rPr>
          <w:rFonts w:ascii="Arial" w:cs="Arial" w:eastAsia="Arial" w:hAnsi="Arial"/>
          <w:b/>
          <w:bCs/>
          <w:color w:val="374151"/>
          <w:sz w:val="24"/>
          <w:szCs w:val="24"/>
        </w:rPr>
        <w:t xml:space="preserve">8.3.1 Premium Currency and Basis</w:t>
      </w:r>
    </w:p>
    <w:p>
      <w:pPr>
        <w:spacing w:before="60" w:after="60"/>
      </w:pPr>
      <w:r>
        <w:rPr>
          <w:rFonts w:ascii="Arial" w:cs="Arial" w:eastAsia="Arial" w:hAnsi="Arial"/>
          <w:b w:val="false"/>
          <w:bCs w:val="false"/>
          <w:color w:val="1a1a2e"/>
          <w:sz w:val="22"/>
          <w:szCs w:val="22"/>
        </w:rPr>
        <w:t xml:space="preserve">Commodity options present additional quoting complexity because of the unit of the underlying: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Commodity</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Typical Quote Basis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Crude Oil (WTI/Brent)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$/barrel, lots of 1,000 bbl</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Natural Gas (Henry Hub)</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$/MMBtu, lots of 10,000 MMBtu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Gold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$/troy oz, lots of 100 oz</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Agricultural (Wheat, Corn)</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Cents/bushel, lots of 5,000 bu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Power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$/MWh, variable notional</w:t>
            </w:r>
          </w:p>
        </w:tc>
      </w:tr>
    </w:tbl>
    <w:p>
      <w:r>
        <w:t xml:space="preserve"/>
      </w:r>
    </w:p>
    <w:p>
      <w:pPr>
        <w:pStyle w:val="Heading3"/>
        <w:spacing w:before="200" w:after="80"/>
      </w:pPr>
      <w:r>
        <w:rPr>
          <w:rFonts w:ascii="Arial" w:cs="Arial" w:eastAsia="Arial" w:hAnsi="Arial"/>
          <w:b/>
          <w:bCs/>
          <w:color w:val="374151"/>
          <w:sz w:val="24"/>
          <w:szCs w:val="24"/>
        </w:rPr>
        <w:t xml:space="preserve">8.3.2 Asian Options (Average Price Options)</w:t>
      </w:r>
    </w:p>
    <w:p>
      <w:pPr>
        <w:spacing w:before="60" w:after="60"/>
      </w:pPr>
      <w:r>
        <w:rPr>
          <w:rFonts w:ascii="Arial" w:cs="Arial" w:eastAsia="Arial" w:hAnsi="Arial"/>
          <w:b w:val="false"/>
          <w:bCs w:val="false"/>
          <w:color w:val="1a1a2e"/>
          <w:sz w:val="22"/>
          <w:szCs w:val="22"/>
        </w:rPr>
        <w:t xml:space="preserve">Power and gas markets frequently trade Asian options, where the payoff is based on the average of the underlying price over a fixing period rather than a single final price. This is particularly common because:</w:t>
      </w:r>
    </w:p>
    <w:p>
      <w:pPr>
        <w:pStyle w:val="ListParagraph"/>
        <w:numPr>
          <w:ilvl w:val="0"/>
          <w:numId w:val="2"/>
        </w:numPr>
        <w:spacing w:before="40" w:after="40"/>
      </w:pPr>
      <w:r>
        <w:rPr>
          <w:rFonts w:ascii="Arial" w:cs="Arial" w:eastAsia="Arial" w:hAnsi="Arial"/>
          <w:color w:val="1a1a2e"/>
          <w:sz w:val="22"/>
          <w:szCs w:val="22"/>
        </w:rPr>
        <w:t xml:space="preserve">Energy consumers need hedges against average prices they pay over a month or year, not just the price at a single expiry.</w:t>
      </w:r>
    </w:p>
    <w:p>
      <w:pPr>
        <w:pStyle w:val="ListParagraph"/>
        <w:numPr>
          <w:ilvl w:val="0"/>
          <w:numId w:val="2"/>
        </w:numPr>
        <w:spacing w:before="40" w:after="40"/>
      </w:pPr>
      <w:r>
        <w:rPr>
          <w:rFonts w:ascii="Arial" w:cs="Arial" w:eastAsia="Arial" w:hAnsi="Arial"/>
          <w:color w:val="1a1a2e"/>
          <w:sz w:val="22"/>
          <w:szCs w:val="22"/>
        </w:rPr>
        <w:t xml:space="preserve">Average-price structures are cheaper than vanilla options (averaging reduces variance, reducing option cost).</w:t>
      </w:r>
    </w:p>
    <w:p>
      <w:pPr>
        <w:spacing w:before="60" w:after="60"/>
      </w:pPr>
      <w:r>
        <w:rPr>
          <w:rFonts w:ascii="Arial" w:cs="Arial" w:eastAsia="Arial" w:hAnsi="Arial"/>
          <w:b w:val="false"/>
          <w:bCs w:val="false"/>
          <w:color w:val="1a1a2e"/>
          <w:sz w:val="22"/>
          <w:szCs w:val="22"/>
        </w:rPr>
        <w:t xml:space="preserve">The Black-76 formula does not directly apply to Asian options. Approximation methods are required:</w:t>
      </w:r>
    </w:p>
    <w:p>
      <w:pPr>
        <w:pStyle w:val="ListParagraph"/>
        <w:numPr>
          <w:ilvl w:val="0"/>
          <w:numId w:val="2"/>
        </w:numPr>
        <w:spacing w:before="40" w:after="40"/>
      </w:pPr>
      <w:r>
        <w:rPr>
          <w:rFonts w:ascii="Arial" w:cs="Arial" w:eastAsia="Arial" w:hAnsi="Arial"/>
          <w:color w:val="1a1a2e"/>
          <w:sz w:val="22"/>
          <w:szCs w:val="22"/>
        </w:rPr>
        <w:t xml:space="preserve">Moment-Matching: match the mean and variance of the average to a lognormal distribution and use a modified Black formula. The effective vol σ_eff satisfies: σ_eff²T_eff = Var(ln A), where A is the arithmetic average.</w:t>
      </w:r>
    </w:p>
    <w:p>
      <w:pPr>
        <w:pStyle w:val="ListParagraph"/>
        <w:numPr>
          <w:ilvl w:val="0"/>
          <w:numId w:val="2"/>
        </w:numPr>
        <w:spacing w:before="40" w:after="40"/>
      </w:pPr>
      <w:r>
        <w:rPr>
          <w:rFonts w:ascii="Arial" w:cs="Arial" w:eastAsia="Arial" w:hAnsi="Arial"/>
          <w:color w:val="1a1a2e"/>
          <w:sz w:val="22"/>
          <w:szCs w:val="22"/>
        </w:rPr>
        <w:t xml:space="preserve">Exact methods: Monte Carlo simulation; fast Fourier transform methods for discrete fixings.</w:t>
      </w:r>
    </w:p>
    <w:p>
      <w:pPr>
        <w:pBdr>
          <w:left w:val="single" w:color="fbbf24" w:sz="4" w:space="8"/>
        </w:pBdr>
        <w:spacing w:before="80" w:after="80"/>
        <w:ind w:left="720" w:right="360"/>
      </w:pPr>
      <w:r>
        <w:rPr>
          <w:rFonts w:ascii="Arial" w:cs="Arial" w:eastAsia="Arial" w:hAnsi="Arial"/>
          <w:color w:val="374151"/>
          <w:sz w:val="21"/>
          <w:szCs w:val="21"/>
        </w:rPr>
        <w:t xml:space="preserve">Market practitioners often quote Asian option vol using the "effective vol" — the vol that, when substituted into the standard Black-76 formula with the time to expiry of the last fixing date, produces the correct Asian option price. This is analogous to implied vol in vanilla markets.</w:t>
      </w:r>
    </w:p>
    <w:p>
      <w:r>
        <w:t xml:space="preserve"/>
      </w:r>
    </w:p>
    <w:p>
      <w:pPr>
        <w:pStyle w:val="Heading2"/>
        <w:spacing w:before="280" w:after="100"/>
      </w:pPr>
      <w:r>
        <w:rPr>
          <w:rFonts w:ascii="Arial" w:cs="Arial" w:eastAsia="Arial" w:hAnsi="Arial"/>
          <w:b/>
          <w:bCs/>
          <w:color w:val="047857"/>
          <w:sz w:val="28"/>
          <w:szCs w:val="28"/>
        </w:rPr>
        <w:t xml:space="preserve">8.4 Interactive Elements</w:t>
      </w:r>
    </w:p>
    <w:p>
      <w:pPr>
        <w:pStyle w:val="ListParagraph"/>
        <w:numPr>
          <w:ilvl w:val="0"/>
          <w:numId w:val="2"/>
        </w:numPr>
        <w:spacing w:before="40" w:after="40"/>
      </w:pPr>
      <w:r>
        <w:rPr>
          <w:rFonts w:ascii="Arial" w:cs="Arial" w:eastAsia="Arial" w:hAnsi="Arial"/>
          <w:color w:val="1a1a2e"/>
          <w:sz w:val="22"/>
          <w:szCs w:val="22"/>
        </w:rPr>
        <w:t xml:space="preserve">Black-76 Calculator: enter futures price, strike, vol, maturity, rate → output call/put price, all Greeks. Toggle to show Black-Scholes comparison for equivalent spot/forward relationship.</w:t>
      </w:r>
    </w:p>
    <w:p>
      <w:pPr>
        <w:pStyle w:val="ListParagraph"/>
        <w:numPr>
          <w:ilvl w:val="0"/>
          <w:numId w:val="2"/>
        </w:numPr>
        <w:spacing w:before="40" w:after="40"/>
      </w:pPr>
      <w:r>
        <w:rPr>
          <w:rFonts w:ascii="Arial" w:cs="Arial" w:eastAsia="Arial" w:hAnsi="Arial"/>
          <w:color w:val="1a1a2e"/>
          <w:sz w:val="22"/>
          <w:szCs w:val="22"/>
        </w:rPr>
        <w:t xml:space="preserve">Asian Option Pricer: enter fixing schedule, current futures price, vol → output Asian option price using moment-matching and Monte Carlo; show the "effective vol."</w:t>
      </w:r>
    </w:p>
    <w:p>
      <w:pPr>
        <w:pStyle w:val="ListParagraph"/>
        <w:numPr>
          <w:ilvl w:val="0"/>
          <w:numId w:val="2"/>
        </w:numPr>
        <w:spacing w:before="40" w:after="40"/>
      </w:pPr>
      <w:r>
        <w:rPr>
          <w:rFonts w:ascii="Arial" w:cs="Arial" w:eastAsia="Arial" w:hAnsi="Arial"/>
          <w:color w:val="1a1a2e"/>
          <w:sz w:val="22"/>
          <w:szCs w:val="22"/>
        </w:rPr>
        <w:t xml:space="preserve">Cost-of-Carry Explorer: show how the Black-76 price relates to Black-Scholes price as the cost-of-carry assumption varies.</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9. MC-7: Swap Bootstrapping &amp; Curve Construction</w:t>
      </w:r>
    </w:p>
    <w:p>
      <w:pPr>
        <w:pStyle w:val="Heading2"/>
        <w:spacing w:before="280" w:after="100"/>
      </w:pPr>
      <w:r>
        <w:rPr>
          <w:rFonts w:ascii="Arial" w:cs="Arial" w:eastAsia="Arial" w:hAnsi="Arial"/>
          <w:b/>
          <w:bCs/>
          <w:color w:val="047857"/>
          <w:sz w:val="28"/>
          <w:szCs w:val="28"/>
        </w:rPr>
        <w:t xml:space="preserve">9.1 Why This Is Central</w:t>
      </w:r>
    </w:p>
    <w:p>
      <w:pPr>
        <w:spacing w:before="60" w:after="60"/>
      </w:pPr>
      <w:r>
        <w:rPr>
          <w:rFonts w:ascii="Arial" w:cs="Arial" w:eastAsia="Arial" w:hAnsi="Arial"/>
          <w:b w:val="false"/>
          <w:bCs w:val="false"/>
          <w:color w:val="1a1a2e"/>
          <w:sz w:val="22"/>
          <w:szCs w:val="22"/>
        </w:rPr>
        <w:t xml:space="preserve">Virtually every fixed income derivative — interest rate swaps, cross-currency swaps, interest rate options, bond pricing — requires a discount factor curve as an input. The market does not quote discount factors directly. It quotes par swap rates, which must be converted (bootstrapped) into discount factors.</w:t>
      </w:r>
    </w:p>
    <w:p>
      <w:pPr>
        <w:spacing w:before="60" w:after="60"/>
      </w:pPr>
      <w:r>
        <w:rPr>
          <w:rFonts w:ascii="Arial" w:cs="Arial" w:eastAsia="Arial" w:hAnsi="Arial"/>
          <w:b w:val="false"/>
          <w:bCs w:val="false"/>
          <w:color w:val="1a1a2e"/>
          <w:sz w:val="22"/>
          <w:szCs w:val="22"/>
        </w:rPr>
        <w:t xml:space="preserve">The multi-curve world (post-2008 basis crisis) requires careful distinction between the OIS curve (used for discounting) and the IBOR/SOFR curve (used for projecting floating cash flows). This module covers both.</w:t>
      </w:r>
    </w:p>
    <w:p>
      <w:r>
        <w:t xml:space="preserve"/>
      </w:r>
    </w:p>
    <w:p>
      <w:pPr>
        <w:pStyle w:val="Heading2"/>
        <w:spacing w:before="280" w:after="100"/>
      </w:pPr>
      <w:r>
        <w:rPr>
          <w:rFonts w:ascii="Arial" w:cs="Arial" w:eastAsia="Arial" w:hAnsi="Arial"/>
          <w:b/>
          <w:bCs/>
          <w:color w:val="047857"/>
          <w:sz w:val="28"/>
          <w:szCs w:val="28"/>
        </w:rPr>
        <w:t xml:space="preserve">9.2 Par Swap Rate Defined</w:t>
      </w:r>
    </w:p>
    <w:p>
      <w:pPr>
        <w:spacing w:before="60" w:after="60"/>
      </w:pPr>
      <w:r>
        <w:rPr>
          <w:rFonts w:ascii="Arial" w:cs="Arial" w:eastAsia="Arial" w:hAnsi="Arial"/>
          <w:b w:val="false"/>
          <w:bCs w:val="false"/>
          <w:color w:val="1a1a2e"/>
          <w:sz w:val="22"/>
          <w:szCs w:val="22"/>
        </w:rPr>
        <w:t xml:space="preserve">A standard fixed-for-floating interest rate swap exchanges a fixed coupon S against floating (historically LIBOR, now SOFR or SONIA). The par swap rate S_T is the fixed rate that makes the swap zero-value at inception:</w:t>
      </w:r>
    </w:p>
    <w:p>
      <w:pPr>
        <w:pBdr>
          <w:left w:val="single" w:color="fbbf24" w:sz="4" w:space="8"/>
        </w:pBdr>
        <w:spacing w:before="80" w:after="80"/>
        <w:ind w:left="720" w:right="360"/>
      </w:pPr>
      <w:r>
        <w:rPr>
          <w:rFonts w:ascii="Arial" w:cs="Arial" w:eastAsia="Arial" w:hAnsi="Arial"/>
          <w:color w:val="374151"/>
          <w:sz w:val="21"/>
          <w:szCs w:val="21"/>
        </w:rPr>
        <w:t xml:space="preserve">S_T = (1 − D(T)) / Σᵢ D(tᵢ) × δᵢ</w:t>
      </w:r>
    </w:p>
    <w:p>
      <w:pPr>
        <w:spacing w:before="60" w:after="60"/>
      </w:pPr>
      <w:r>
        <w:rPr>
          <w:rFonts w:ascii="Arial" w:cs="Arial" w:eastAsia="Arial" w:hAnsi="Arial"/>
          <w:b w:val="false"/>
          <w:bCs w:val="false"/>
          <w:color w:val="1a1a2e"/>
          <w:sz w:val="22"/>
          <w:szCs w:val="22"/>
        </w:rPr>
        <w:t xml:space="preserve">where D(t) is the discount factor to time t, and δᵢ is the day count fraction for coupon period i. This is the formula that must be inverted in bootstrapping.</w:t>
      </w:r>
    </w:p>
    <w:p>
      <w:r>
        <w:t xml:space="preserve"/>
      </w:r>
    </w:p>
    <w:p>
      <w:pPr>
        <w:pStyle w:val="Heading2"/>
        <w:spacing w:before="280" w:after="100"/>
      </w:pPr>
      <w:r>
        <w:rPr>
          <w:rFonts w:ascii="Arial" w:cs="Arial" w:eastAsia="Arial" w:hAnsi="Arial"/>
          <w:b/>
          <w:bCs/>
          <w:color w:val="047857"/>
          <w:sz w:val="28"/>
          <w:szCs w:val="28"/>
        </w:rPr>
        <w:t xml:space="preserve">9.3 Bootstrapping Algorithm</w:t>
      </w:r>
    </w:p>
    <w:p>
      <w:pPr>
        <w:spacing w:before="60" w:after="60"/>
      </w:pPr>
      <w:r>
        <w:rPr>
          <w:rFonts w:ascii="Arial" w:cs="Arial" w:eastAsia="Arial" w:hAnsi="Arial"/>
          <w:b w:val="false"/>
          <w:bCs w:val="false"/>
          <w:color w:val="1a1a2e"/>
          <w:sz w:val="22"/>
          <w:szCs w:val="22"/>
        </w:rPr>
        <w:t xml:space="preserve">The bootstrapping procedure proceeds sequentially from the shortest tenor to the longest. At each step, one new discount factor is unknown; all shorter-dated discount factors have already been established.</w:t>
      </w:r>
    </w:p>
    <w:p>
      <w:pPr>
        <w:pStyle w:val="ListParagraph"/>
        <w:numPr>
          <w:ilvl w:val="0"/>
          <w:numId w:val="3"/>
        </w:numPr>
        <w:spacing w:before="40" w:after="40"/>
      </w:pPr>
      <w:r>
        <w:rPr>
          <w:rFonts w:ascii="Arial" w:cs="Arial" w:eastAsia="Arial" w:hAnsi="Arial"/>
          <w:color w:val="1a1a2e"/>
          <w:sz w:val="22"/>
          <w:szCs w:val="22"/>
        </w:rPr>
        <w:t xml:space="preserve">Start with the overnight/short-end instruments (OIS rates for the OIS curve; deposit rates for the projection curve).</w:t>
      </w:r>
    </w:p>
    <w:p>
      <w:pPr>
        <w:pStyle w:val="ListParagraph"/>
        <w:numPr>
          <w:ilvl w:val="0"/>
          <w:numId w:val="3"/>
        </w:numPr>
        <w:spacing w:before="40" w:after="40"/>
      </w:pPr>
      <w:r>
        <w:rPr>
          <w:rFonts w:ascii="Arial" w:cs="Arial" w:eastAsia="Arial" w:hAnsi="Arial"/>
          <w:color w:val="1a1a2e"/>
          <w:sz w:val="22"/>
          <w:szCs w:val="22"/>
        </w:rPr>
        <w:t xml:space="preserve">For each new tenor T_n, solve for D(T_n) from the par swap rate equation, holding all previously bootstrapped D(T_i) fixed.</w:t>
      </w:r>
    </w:p>
    <w:p>
      <w:pPr>
        <w:pStyle w:val="ListParagraph"/>
        <w:numPr>
          <w:ilvl w:val="0"/>
          <w:numId w:val="3"/>
        </w:numPr>
        <w:spacing w:before="40" w:after="40"/>
      </w:pPr>
      <w:r>
        <w:rPr>
          <w:rFonts w:ascii="Arial" w:cs="Arial" w:eastAsia="Arial" w:hAnsi="Arial"/>
          <w:color w:val="1a1a2e"/>
          <w:sz w:val="22"/>
          <w:szCs w:val="22"/>
        </w:rPr>
        <w:t xml:space="preserve">For liquid tenors where market instruments exist, D(T_n) is solved exactly. For off-grid tenors, interpolation is applied.</w:t>
      </w:r>
    </w:p>
    <w:p>
      <w:pPr>
        <w:pStyle w:val="ListParagraph"/>
        <w:numPr>
          <w:ilvl w:val="0"/>
          <w:numId w:val="3"/>
        </w:numPr>
        <w:spacing w:before="40" w:after="40"/>
      </w:pPr>
      <w:r>
        <w:rPr>
          <w:rFonts w:ascii="Arial" w:cs="Arial" w:eastAsia="Arial" w:hAnsi="Arial"/>
          <w:color w:val="1a1a2e"/>
          <w:sz w:val="22"/>
          <w:szCs w:val="22"/>
        </w:rPr>
        <w:t xml:space="preserve">The output is a set of {T_i, D(T_i)} pairs — the discount factor curve — from which zero rates and forward rates can be derived.</w:t>
      </w:r>
    </w:p>
    <w:p>
      <w:r>
        <w:t xml:space="preserve"/>
      </w:r>
    </w:p>
    <w:p>
      <w:pPr>
        <w:pStyle w:val="Heading2"/>
        <w:spacing w:before="280" w:after="100"/>
      </w:pPr>
      <w:r>
        <w:rPr>
          <w:rFonts w:ascii="Arial" w:cs="Arial" w:eastAsia="Arial" w:hAnsi="Arial"/>
          <w:b/>
          <w:bCs/>
          <w:color w:val="047857"/>
          <w:sz w:val="28"/>
          <w:szCs w:val="28"/>
        </w:rPr>
        <w:t xml:space="preserve">9.4 Curve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Representation</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Formula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Discount Factor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D(T) — directly bootstrapped</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Zero Rate (CC)</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r(T) = −ln(D(T)) / 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Zero Rate (Annual)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r_a(T) = D(T)^(−1/T) − 1</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Forward Rate</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f(T₁,T₂) = [D(T₁)/D(T₂) − 1] / δ₁₂</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Par Swap 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S_T — the market observable</w:t>
            </w:r>
          </w:p>
        </w:tc>
      </w:tr>
    </w:tbl>
    <w:p>
      <w:r>
        <w:t xml:space="preserve"/>
      </w:r>
    </w:p>
    <w:p>
      <w:pPr>
        <w:pStyle w:val="Heading2"/>
        <w:spacing w:before="280" w:after="100"/>
      </w:pPr>
      <w:r>
        <w:rPr>
          <w:rFonts w:ascii="Arial" w:cs="Arial" w:eastAsia="Arial" w:hAnsi="Arial"/>
          <w:b/>
          <w:bCs/>
          <w:color w:val="047857"/>
          <w:sz w:val="28"/>
          <w:szCs w:val="28"/>
        </w:rPr>
        <w:t xml:space="preserve">9.5 The Multi-Curve Framework</w:t>
      </w:r>
    </w:p>
    <w:p>
      <w:pPr>
        <w:spacing w:before="60" w:after="60"/>
      </w:pPr>
      <w:r>
        <w:rPr>
          <w:rFonts w:ascii="Arial" w:cs="Arial" w:eastAsia="Arial" w:hAnsi="Arial"/>
          <w:b w:val="false"/>
          <w:bCs w:val="false"/>
          <w:color w:val="1a1a2e"/>
          <w:sz w:val="22"/>
          <w:szCs w:val="22"/>
        </w:rPr>
        <w:t xml:space="preserve">Pre-2008, a single curve served both as a discount curve and a projection curve for LIBOR-based cash flows — there was no material difference between OIS and LIBOR. Post-2008, the LIBOR-OIS basis widened dramatically (up to 365bp during the Lehman crisis), making the single-curve assumption untenable.</w:t>
      </w:r>
    </w:p>
    <w:p>
      <w:pPr>
        <w:spacing w:before="60" w:after="60"/>
      </w:pPr>
      <w:r>
        <w:rPr>
          <w:rFonts w:ascii="Arial" w:cs="Arial" w:eastAsia="Arial" w:hAnsi="Arial"/>
          <w:b w:val="false"/>
          <w:bCs w:val="false"/>
          <w:color w:val="1a1a2e"/>
          <w:sz w:val="22"/>
          <w:szCs w:val="22"/>
        </w:rPr>
        <w:t xml:space="preserve">The modern framework maintains separate curves:</w:t>
      </w:r>
    </w:p>
    <w:p>
      <w:pPr>
        <w:pStyle w:val="ListParagraph"/>
        <w:numPr>
          <w:ilvl w:val="0"/>
          <w:numId w:val="2"/>
        </w:numPr>
        <w:spacing w:before="40" w:after="40"/>
      </w:pPr>
      <w:r>
        <w:rPr>
          <w:rFonts w:ascii="Arial" w:cs="Arial" w:eastAsia="Arial" w:hAnsi="Arial"/>
          <w:color w:val="1a1a2e"/>
          <w:sz w:val="22"/>
          <w:szCs w:val="22"/>
        </w:rPr>
        <w:t xml:space="preserve">OIS Curve: constructed from overnight index swap rates (Fed Funds OIS in USD, ESTR in EUR, SONIA in GBP). Used for all discounting. Considered the "risk-free" rate.</w:t>
      </w:r>
    </w:p>
    <w:p>
      <w:pPr>
        <w:pStyle w:val="ListParagraph"/>
        <w:numPr>
          <w:ilvl w:val="0"/>
          <w:numId w:val="2"/>
        </w:numPr>
        <w:spacing w:before="40" w:after="40"/>
      </w:pPr>
      <w:r>
        <w:rPr>
          <w:rFonts w:ascii="Arial" w:cs="Arial" w:eastAsia="Arial" w:hAnsi="Arial"/>
          <w:color w:val="1a1a2e"/>
          <w:sz w:val="22"/>
          <w:szCs w:val="22"/>
        </w:rPr>
        <w:t xml:space="preserve">IBOR/Term Rate Projection Curves: one curve per index tenor (3M LIBOR/SOFR, 6M LIBOR/EURIBOR, etc.). Used to project the floating leg payments. No longer used for discounting.</w:t>
      </w:r>
    </w:p>
    <w:p>
      <w:pPr>
        <w:pBdr>
          <w:left w:val="single" w:color="fbbf24" w:sz="4" w:space="8"/>
        </w:pBdr>
        <w:spacing w:before="80" w:after="80"/>
        <w:ind w:left="720" w:right="360"/>
      </w:pPr>
      <w:r>
        <w:rPr>
          <w:rFonts w:ascii="Arial" w:cs="Arial" w:eastAsia="Arial" w:hAnsi="Arial"/>
          <w:color w:val="374151"/>
          <w:sz w:val="21"/>
          <w:szCs w:val="21"/>
        </w:rPr>
        <w:t xml:space="preserve">The same swap quoted under single-curve and multi-curve assumptions can have a non-trivial price difference — typically 1–5bp in DV01 terms on a standard 10-year swap — which is material for risk management purposes.</w:t>
      </w:r>
    </w:p>
    <w:p>
      <w:r>
        <w:t xml:space="preserve"/>
      </w:r>
    </w:p>
    <w:p>
      <w:pPr>
        <w:pStyle w:val="Heading2"/>
        <w:spacing w:before="280" w:after="100"/>
      </w:pPr>
      <w:r>
        <w:rPr>
          <w:rFonts w:ascii="Arial" w:cs="Arial" w:eastAsia="Arial" w:hAnsi="Arial"/>
          <w:b/>
          <w:bCs/>
          <w:color w:val="047857"/>
          <w:sz w:val="28"/>
          <w:szCs w:val="28"/>
        </w:rPr>
        <w:t xml:space="preserve">9.6 Interactive Elements</w:t>
      </w:r>
    </w:p>
    <w:p>
      <w:pPr>
        <w:pStyle w:val="ListParagraph"/>
        <w:numPr>
          <w:ilvl w:val="0"/>
          <w:numId w:val="2"/>
        </w:numPr>
        <w:spacing w:before="40" w:after="40"/>
      </w:pPr>
      <w:r>
        <w:rPr>
          <w:rFonts w:ascii="Arial" w:cs="Arial" w:eastAsia="Arial" w:hAnsi="Arial"/>
          <w:color w:val="1a1a2e"/>
          <w:sz w:val="22"/>
          <w:szCs w:val="22"/>
        </w:rPr>
        <w:t xml:space="preserve">Swap Bootstrapper: enter par swap rates at standard tenors → output discount factor curve, zero curve, and forward curve in all representations with visual overlays.</w:t>
      </w:r>
    </w:p>
    <w:p>
      <w:pPr>
        <w:pStyle w:val="ListParagraph"/>
        <w:numPr>
          <w:ilvl w:val="0"/>
          <w:numId w:val="2"/>
        </w:numPr>
        <w:spacing w:before="40" w:after="40"/>
      </w:pPr>
      <w:r>
        <w:rPr>
          <w:rFonts w:ascii="Arial" w:cs="Arial" w:eastAsia="Arial" w:hAnsi="Arial"/>
          <w:color w:val="1a1a2e"/>
          <w:sz w:val="22"/>
          <w:szCs w:val="22"/>
        </w:rPr>
        <w:t xml:space="preserve">Multi-Curve Toggle: enter OIS rates and 3M projection rates → show the basis between the two curves and how it affects floating leg projections.</w:t>
      </w:r>
    </w:p>
    <w:p>
      <w:pPr>
        <w:pStyle w:val="ListParagraph"/>
        <w:numPr>
          <w:ilvl w:val="0"/>
          <w:numId w:val="2"/>
        </w:numPr>
        <w:spacing w:before="40" w:after="40"/>
      </w:pPr>
      <w:r>
        <w:rPr>
          <w:rFonts w:ascii="Arial" w:cs="Arial" w:eastAsia="Arial" w:hAnsi="Arial"/>
          <w:color w:val="1a1a2e"/>
          <w:sz w:val="22"/>
          <w:szCs w:val="22"/>
        </w:rPr>
        <w:t xml:space="preserve">DV01 Calculator: enter a swap specification → output DV01 bucketed by tenor, computed from the bootstrapped curve.</w:t>
      </w:r>
    </w:p>
    <w:p>
      <w:pPr>
        <w:spacing w:before="60" w:after="60"/>
      </w:pPr>
      <w:r>
        <w:rPr>
          <w:rFonts w:ascii="Arial" w:cs="Arial" w:eastAsia="Arial" w:hAnsi="Arial"/>
          <w:b w:val="false"/>
          <w:bCs w:val="false"/>
          <w:color w:val="1a1a2e"/>
          <w:sz w:val="22"/>
          <w:szCs w:val="22"/>
        </w:rPr>
        <w:t xml:space="preserve">Cross-links: Yield Curve page (already built); Bond Pricing page (already built).</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10. Implementation Notes</w:t>
      </w:r>
    </w:p>
    <w:p>
      <w:pPr>
        <w:pStyle w:val="Heading2"/>
        <w:spacing w:before="280" w:after="100"/>
      </w:pPr>
      <w:r>
        <w:rPr>
          <w:rFonts w:ascii="Arial" w:cs="Arial" w:eastAsia="Arial" w:hAnsi="Arial"/>
          <w:b/>
          <w:bCs/>
          <w:color w:val="047857"/>
          <w:sz w:val="28"/>
          <w:szCs w:val="28"/>
        </w:rPr>
        <w:t xml:space="preserve">10.1 Design System</w:t>
      </w:r>
    </w:p>
    <w:p>
      <w:pPr>
        <w:spacing w:before="60" w:after="60"/>
      </w:pPr>
      <w:r>
        <w:rPr>
          <w:rFonts w:ascii="Arial" w:cs="Arial" w:eastAsia="Arial" w:hAnsi="Arial"/>
          <w:b w:val="false"/>
          <w:bCs w:val="false"/>
          <w:color w:val="1a1a2e"/>
          <w:sz w:val="22"/>
          <w:szCs w:val="22"/>
        </w:rPr>
        <w:t xml:space="preserve">All modules inherit the established mathsedu.org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Element</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Specification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Background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#0a0a1a (deep dark blue)</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Accent Colour</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#10b981 (emerald green) — all interactive elements, highlights, and result boxes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Secondary Accent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#fbbf24 (gold) — callout borders, warning boxes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Body Font</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Georgia, serif — narrative and explanatory 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Code/Maths Font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Courier New, monospace — formulae, code, numerical outputs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Panel Style</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rgba(255,255,255,0.025) background with subtle white border — all interactive containers</w:t>
            </w:r>
          </w:p>
        </w:tc>
      </w:tr>
    </w:tbl>
    <w:p>
      <w:r>
        <w:t xml:space="preserve"/>
      </w:r>
    </w:p>
    <w:p>
      <w:pPr>
        <w:pStyle w:val="Heading2"/>
        <w:spacing w:before="280" w:after="100"/>
      </w:pPr>
      <w:r>
        <w:rPr>
          <w:rFonts w:ascii="Arial" w:cs="Arial" w:eastAsia="Arial" w:hAnsi="Arial"/>
          <w:b/>
          <w:bCs/>
          <w:color w:val="047857"/>
          <w:sz w:val="28"/>
          <w:szCs w:val="28"/>
        </w:rPr>
        <w:t xml:space="preserve">10.2 Series Page Accent Colour</w:t>
      </w:r>
    </w:p>
    <w:p>
      <w:pPr>
        <w:spacing w:before="60" w:after="60"/>
      </w:pPr>
      <w:r>
        <w:rPr>
          <w:rFonts w:ascii="Arial" w:cs="Arial" w:eastAsia="Arial" w:hAnsi="Arial"/>
          <w:b w:val="false"/>
          <w:bCs w:val="false"/>
          <w:color w:val="1a1a2e"/>
          <w:sz w:val="22"/>
          <w:szCs w:val="22"/>
        </w:rPr>
        <w:t xml:space="preserve">The Market Conventions series should have a distinct accent colour to differentiate it from other quantitative finance pages. Proposed: a warm amber (#f59e0b) or a deep purple (#7c3aed) — both are unused in the existing colour palette and convey the "translation" or "bridge" theme of the series.</w:t>
      </w:r>
    </w:p>
    <w:p>
      <w:r>
        <w:t xml:space="preserve"/>
      </w:r>
    </w:p>
    <w:p>
      <w:pPr>
        <w:pStyle w:val="Heading2"/>
        <w:spacing w:before="280" w:after="100"/>
      </w:pPr>
      <w:r>
        <w:rPr>
          <w:rFonts w:ascii="Arial" w:cs="Arial" w:eastAsia="Arial" w:hAnsi="Arial"/>
          <w:b/>
          <w:bCs/>
          <w:color w:val="047857"/>
          <w:sz w:val="28"/>
          <w:szCs w:val="28"/>
        </w:rPr>
        <w:t xml:space="preserve">10.3 Navigation &amp; Linking</w:t>
      </w:r>
    </w:p>
    <w:p>
      <w:pPr>
        <w:spacing w:before="60" w:after="60"/>
      </w:pPr>
      <w:r>
        <w:rPr>
          <w:rFonts w:ascii="Arial" w:cs="Arial" w:eastAsia="Arial" w:hAnsi="Arial"/>
          <w:b w:val="false"/>
          <w:bCs w:val="false"/>
          <w:color w:val="1a1a2e"/>
          <w:sz w:val="22"/>
          <w:szCs w:val="22"/>
        </w:rPr>
        <w:t xml:space="preserve">Each module should:</w:t>
      </w:r>
    </w:p>
    <w:p>
      <w:pPr>
        <w:pStyle w:val="ListParagraph"/>
        <w:numPr>
          <w:ilvl w:val="0"/>
          <w:numId w:val="2"/>
        </w:numPr>
        <w:spacing w:before="40" w:after="40"/>
      </w:pPr>
      <w:r>
        <w:rPr>
          <w:rFonts w:ascii="Arial" w:cs="Arial" w:eastAsia="Arial" w:hAnsi="Arial"/>
          <w:color w:val="1a1a2e"/>
          <w:sz w:val="22"/>
          <w:szCs w:val="22"/>
        </w:rPr>
        <w:t xml:space="preserve">Link back to the main Quantitative Finance index.</w:t>
      </w:r>
    </w:p>
    <w:p>
      <w:pPr>
        <w:pStyle w:val="ListParagraph"/>
        <w:numPr>
          <w:ilvl w:val="0"/>
          <w:numId w:val="2"/>
        </w:numPr>
        <w:spacing w:before="40" w:after="40"/>
      </w:pPr>
      <w:r>
        <w:rPr>
          <w:rFonts w:ascii="Arial" w:cs="Arial" w:eastAsia="Arial" w:hAnsi="Arial"/>
          <w:color w:val="1a1a2e"/>
          <w:sz w:val="22"/>
          <w:szCs w:val="22"/>
        </w:rPr>
        <w:t xml:space="preserve">Include a "Series Navigation" panel showing all seven modules with the current one highlighted.</w:t>
      </w:r>
    </w:p>
    <w:p>
      <w:pPr>
        <w:pStyle w:val="ListParagraph"/>
        <w:numPr>
          <w:ilvl w:val="0"/>
          <w:numId w:val="2"/>
        </w:numPr>
        <w:spacing w:before="40" w:after="40"/>
      </w:pPr>
      <w:r>
        <w:rPr>
          <w:rFonts w:ascii="Arial" w:cs="Arial" w:eastAsia="Arial" w:hAnsi="Arial"/>
          <w:color w:val="1a1a2e"/>
          <w:sz w:val="22"/>
          <w:szCs w:val="22"/>
        </w:rPr>
        <w:t xml:space="preserve">Cross-link to any existing mathsedu.org pages that cover related concepts (Black-Scholes, Volatility Smiles, Yield Curve, Bond Pricing).</w:t>
      </w:r>
    </w:p>
    <w:p>
      <w:r>
        <w:t xml:space="preserve"/>
      </w:r>
    </w:p>
    <w:p>
      <w:pPr>
        <w:pStyle w:val="Heading2"/>
        <w:spacing w:before="280" w:after="100"/>
      </w:pPr>
      <w:r>
        <w:rPr>
          <w:rFonts w:ascii="Arial" w:cs="Arial" w:eastAsia="Arial" w:hAnsi="Arial"/>
          <w:b/>
          <w:bCs/>
          <w:color w:val="047857"/>
          <w:sz w:val="28"/>
          <w:szCs w:val="28"/>
        </w:rPr>
        <w:t xml:space="preserve">10.4 Build Sequence</w:t>
      </w:r>
    </w:p>
    <w:p>
      <w:pPr>
        <w:pStyle w:val="ListParagraph"/>
        <w:numPr>
          <w:ilvl w:val="0"/>
          <w:numId w:val="3"/>
        </w:numPr>
        <w:spacing w:before="40" w:after="40"/>
      </w:pPr>
      <w:r>
        <w:rPr>
          <w:rFonts w:ascii="Arial" w:cs="Arial" w:eastAsia="Arial" w:hAnsi="Arial"/>
          <w:color w:val="1a1a2e"/>
          <w:sz w:val="22"/>
          <w:szCs w:val="22"/>
        </w:rPr>
        <w:t xml:space="preserve">MC-1 (Day Count &amp; Compounding) — foundation, no dependencies. Build first.</w:t>
      </w:r>
    </w:p>
    <w:p>
      <w:pPr>
        <w:pStyle w:val="ListParagraph"/>
        <w:numPr>
          <w:ilvl w:val="0"/>
          <w:numId w:val="3"/>
        </w:numPr>
        <w:spacing w:before="40" w:after="40"/>
      </w:pPr>
      <w:r>
        <w:rPr>
          <w:rFonts w:ascii="Arial" w:cs="Arial" w:eastAsia="Arial" w:hAnsi="Arial"/>
          <w:color w:val="1a1a2e"/>
          <w:sz w:val="22"/>
          <w:szCs w:val="22"/>
        </w:rPr>
        <w:t xml:space="preserve">MC-2 (Vol Surface) — depends on MC-1 for the rate/discount framework.</w:t>
      </w:r>
    </w:p>
    <w:p>
      <w:pPr>
        <w:pStyle w:val="ListParagraph"/>
        <w:numPr>
          <w:ilvl w:val="0"/>
          <w:numId w:val="3"/>
        </w:numPr>
        <w:spacing w:before="40" w:after="40"/>
      </w:pPr>
      <w:r>
        <w:rPr>
          <w:rFonts w:ascii="Arial" w:cs="Arial" w:eastAsia="Arial" w:hAnsi="Arial"/>
          <w:color w:val="1a1a2e"/>
          <w:sz w:val="22"/>
          <w:szCs w:val="22"/>
        </w:rPr>
        <w:t xml:space="preserve">MC-3 (FX Options) — depends on MC-2 for the vol surface language.</w:t>
      </w:r>
    </w:p>
    <w:p>
      <w:pPr>
        <w:pStyle w:val="ListParagraph"/>
        <w:numPr>
          <w:ilvl w:val="0"/>
          <w:numId w:val="3"/>
        </w:numPr>
        <w:spacing w:before="40" w:after="40"/>
      </w:pPr>
      <w:r>
        <w:rPr>
          <w:rFonts w:ascii="Arial" w:cs="Arial" w:eastAsia="Arial" w:hAnsi="Arial"/>
          <w:color w:val="1a1a2e"/>
          <w:sz w:val="22"/>
          <w:szCs w:val="22"/>
        </w:rPr>
        <w:t xml:space="preserve">MC-4 (IR Vol) — depends on MC-1 for the rate conventions.</w:t>
      </w:r>
    </w:p>
    <w:p>
      <w:pPr>
        <w:pStyle w:val="ListParagraph"/>
        <w:numPr>
          <w:ilvl w:val="0"/>
          <w:numId w:val="3"/>
        </w:numPr>
        <w:spacing w:before="40" w:after="40"/>
      </w:pPr>
      <w:r>
        <w:rPr>
          <w:rFonts w:ascii="Arial" w:cs="Arial" w:eastAsia="Arial" w:hAnsi="Arial"/>
          <w:color w:val="1a1a2e"/>
          <w:sz w:val="22"/>
          <w:szCs w:val="22"/>
        </w:rPr>
        <w:t xml:space="preserve">MC-7 (Bootstrapping) — depends on MC-1; can be built in parallel with MC-4.</w:t>
      </w:r>
    </w:p>
    <w:p>
      <w:pPr>
        <w:pStyle w:val="ListParagraph"/>
        <w:numPr>
          <w:ilvl w:val="0"/>
          <w:numId w:val="3"/>
        </w:numPr>
        <w:spacing w:before="40" w:after="40"/>
      </w:pPr>
      <w:r>
        <w:rPr>
          <w:rFonts w:ascii="Arial" w:cs="Arial" w:eastAsia="Arial" w:hAnsi="Arial"/>
          <w:color w:val="1a1a2e"/>
          <w:sz w:val="22"/>
          <w:szCs w:val="22"/>
        </w:rPr>
        <w:t xml:space="preserve">MC-5 (CDS) — depends on MC-7 for the discount factor framework.</w:t>
      </w:r>
    </w:p>
    <w:p>
      <w:pPr>
        <w:pStyle w:val="ListParagraph"/>
        <w:numPr>
          <w:ilvl w:val="0"/>
          <w:numId w:val="3"/>
        </w:numPr>
        <w:spacing w:before="40" w:after="40"/>
      </w:pPr>
      <w:r>
        <w:rPr>
          <w:rFonts w:ascii="Arial" w:cs="Arial" w:eastAsia="Arial" w:hAnsi="Arial"/>
          <w:color w:val="1a1a2e"/>
          <w:sz w:val="22"/>
          <w:szCs w:val="22"/>
        </w:rPr>
        <w:t xml:space="preserve">MC-6 (Commodities) — independent after MC-1; can be built at any point.</w:t>
      </w:r>
    </w:p>
    <w:p>
      <w:r>
        <w:t xml:space="preserve"/>
      </w:r>
    </w:p>
    <w:p>
      <w:pPr>
        <w:pStyle w:val="Heading2"/>
        <w:spacing w:before="280" w:after="100"/>
      </w:pPr>
      <w:r>
        <w:rPr>
          <w:rFonts w:ascii="Arial" w:cs="Arial" w:eastAsia="Arial" w:hAnsi="Arial"/>
          <w:b/>
          <w:bCs/>
          <w:color w:val="047857"/>
          <w:sz w:val="28"/>
          <w:szCs w:val="28"/>
        </w:rPr>
        <w:t xml:space="preserve">10.5 Worked Numerical Examples</w:t>
      </w:r>
    </w:p>
    <w:p>
      <w:pPr>
        <w:spacing w:before="60" w:after="60"/>
      </w:pPr>
      <w:r>
        <w:rPr>
          <w:rFonts w:ascii="Arial" w:cs="Arial" w:eastAsia="Arial" w:hAnsi="Arial"/>
          <w:b w:val="false"/>
          <w:bCs w:val="false"/>
          <w:color w:val="1a1a2e"/>
          <w:sz w:val="22"/>
          <w:szCs w:val="22"/>
        </w:rPr>
        <w:t xml:space="preserve">Each module must include at least two fully worked numerical examples with real-world calibration (e.g. EURUSD 1y vol surface using plausible but indicative market data; a hypothetical 5y USD swap bootstrapped from indicative rates). These examples should be reproducible in the interactive tools, so readers can verify by hand.</w:t>
      </w:r>
    </w:p>
    <w:p>
      <w:r>
        <w:t xml:space="preserve"/>
      </w:r>
    </w:p>
    <w:p>
      <w:pPr>
        <w:pStyle w:val="Heading2"/>
        <w:spacing w:before="280" w:after="100"/>
      </w:pPr>
      <w:r>
        <w:rPr>
          <w:rFonts w:ascii="Arial" w:cs="Arial" w:eastAsia="Arial" w:hAnsi="Arial"/>
          <w:b/>
          <w:bCs/>
          <w:color w:val="047857"/>
          <w:sz w:val="28"/>
          <w:szCs w:val="28"/>
        </w:rPr>
        <w:t xml:space="preserve">10.6 Mathematical Rigour Standards</w:t>
      </w:r>
    </w:p>
    <w:p>
      <w:pPr>
        <w:spacing w:before="60" w:after="60"/>
      </w:pPr>
      <w:r>
        <w:rPr>
          <w:rFonts w:ascii="Arial" w:cs="Arial" w:eastAsia="Arial" w:hAnsi="Arial"/>
          <w:b w:val="false"/>
          <w:bCs w:val="false"/>
          <w:color w:val="1a1a2e"/>
          <w:sz w:val="22"/>
          <w:szCs w:val="22"/>
        </w:rPr>
        <w:t xml:space="preserve">The series aims for a standard equivalent to a top-tier quantitative finance graduate course. This means:</w:t>
      </w:r>
    </w:p>
    <w:p>
      <w:pPr>
        <w:pStyle w:val="ListParagraph"/>
        <w:numPr>
          <w:ilvl w:val="0"/>
          <w:numId w:val="2"/>
        </w:numPr>
        <w:spacing w:before="40" w:after="40"/>
      </w:pPr>
      <w:r>
        <w:rPr>
          <w:rFonts w:ascii="Arial" w:cs="Arial" w:eastAsia="Arial" w:hAnsi="Arial"/>
          <w:color w:val="1a1a2e"/>
          <w:sz w:val="22"/>
          <w:szCs w:val="22"/>
        </w:rPr>
        <w:t xml:space="preserve">All formulae are derived, not asserted. Derivations may be presented in collapsible "Full Derivation" panels to preserve readability.</w:t>
      </w:r>
    </w:p>
    <w:p>
      <w:pPr>
        <w:pStyle w:val="ListParagraph"/>
        <w:numPr>
          <w:ilvl w:val="0"/>
          <w:numId w:val="2"/>
        </w:numPr>
        <w:spacing w:before="40" w:after="40"/>
      </w:pPr>
      <w:r>
        <w:rPr>
          <w:rFonts w:ascii="Arial" w:cs="Arial" w:eastAsia="Arial" w:hAnsi="Arial"/>
          <w:color w:val="1a1a2e"/>
          <w:sz w:val="22"/>
          <w:szCs w:val="22"/>
        </w:rPr>
        <w:t xml:space="preserve">Assumptions are explicitly stated before each derivation. The risk-neutral measure, the form of the stochastic process, and the boundary conditions must all be specified.</w:t>
      </w:r>
    </w:p>
    <w:p>
      <w:pPr>
        <w:pStyle w:val="ListParagraph"/>
        <w:numPr>
          <w:ilvl w:val="0"/>
          <w:numId w:val="2"/>
        </w:numPr>
        <w:spacing w:before="40" w:after="40"/>
      </w:pPr>
      <w:r>
        <w:rPr>
          <w:rFonts w:ascii="Arial" w:cs="Arial" w:eastAsia="Arial" w:hAnsi="Arial"/>
          <w:color w:val="1a1a2e"/>
          <w:sz w:val="22"/>
          <w:szCs w:val="22"/>
        </w:rPr>
        <w:t xml:space="preserve">Approximations are clearly labelled with the conditions under which they are valid and the magnitude of the error in typical market scenarios.</w:t>
      </w:r>
    </w:p>
    <w:p>
      <w:pPr>
        <w:pStyle w:val="ListParagraph"/>
        <w:numPr>
          <w:ilvl w:val="0"/>
          <w:numId w:val="2"/>
        </w:numPr>
        <w:spacing w:before="40" w:after="40"/>
      </w:pPr>
      <w:r>
        <w:rPr>
          <w:rFonts w:ascii="Arial" w:cs="Arial" w:eastAsia="Arial" w:hAnsi="Arial"/>
          <w:color w:val="1a1a2e"/>
          <w:sz w:val="22"/>
          <w:szCs w:val="22"/>
        </w:rPr>
        <w:t xml:space="preserve">The interactive converters should produce results consistent with industry-standard systems (Bloomberg, Murex, Calypso) to within rounding tolerances.</w:t>
      </w:r>
    </w:p>
    <w:p>
      <w:pPr>
        <w:pageBreakBefore/>
      </w:pPr>
      <w:r>
        <w:t xml:space="preserve"/>
      </w:r>
    </w:p>
    <w:p>
      <w:pPr>
        <w:pStyle w:val="Heading1"/>
        <w:pBdr>
          <w:bottom w:val="single" w:color="047857" w:sz="6" w:space="1"/>
        </w:pBdr>
        <w:spacing w:before="360" w:after="160"/>
      </w:pPr>
      <w:r>
        <w:rPr>
          <w:rFonts w:ascii="Arial" w:cs="Arial" w:eastAsia="Arial" w:hAnsi="Arial"/>
          <w:b/>
          <w:bCs/>
          <w:color w:val="0f172a"/>
          <w:sz w:val="36"/>
          <w:szCs w:val="36"/>
        </w:rPr>
        <w:t xml:space="preserve">11. Appendix — Reference Tables</w:t>
      </w:r>
    </w:p>
    <w:p>
      <w:pPr>
        <w:pStyle w:val="Heading2"/>
        <w:spacing w:before="280" w:after="100"/>
      </w:pPr>
      <w:r>
        <w:rPr>
          <w:rFonts w:ascii="Arial" w:cs="Arial" w:eastAsia="Arial" w:hAnsi="Arial"/>
          <w:b/>
          <w:bCs/>
          <w:color w:val="047857"/>
          <w:sz w:val="28"/>
          <w:szCs w:val="28"/>
        </w:rPr>
        <w:t xml:space="preserve">A. Day Count Conventions by Market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Instrument</w:t>
            </w:r>
          </w:p>
        </w:tc>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 Count</w:t>
            </w:r>
          </w:p>
        </w:tc>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Compounding</w:t>
            </w:r>
          </w:p>
        </w:tc>
        <w:tc>
          <w:tcPr>
            <w:tcW w:type="dxa" w:w="3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US T-Bills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Act/360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Simple (Discount)</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Quoted on discount basis; convert to bond-equiv yield for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US Treasuries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Act/Act ISDA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Semi-annual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Standard for all UST coupon bonds &gt; 1y.</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USD LIBOR / SOFR</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Act/360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Simple</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Money market convention; applies to all USD IBOR tenors.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USD IRS (Fixed Leg)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30/360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Semi-annual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US swap market standard. Floating leg: Act/360, quarterly.</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GBP SONIA Swaps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Act/365F</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Annual</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Sterling convention differs from USD in both day count and payment frequency.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EUR ESTR Swaps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Act/360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Annual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Euribor convention: Act/360, annual. OIS fixed leg also Act/360.</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UK Gilts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Act/Act ICMA</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Semi-annual</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Semi-annual coupon; clean price convention (accrued interest shown separately).</w:t>
            </w:r>
          </w:p>
        </w:tc>
      </w:tr>
    </w:tbl>
    <w:p>
      <w:r>
        <w:t xml:space="preserve"/>
      </w:r>
    </w:p>
    <w:p>
      <w:pPr>
        <w:pStyle w:val="Heading2"/>
        <w:spacing w:before="280" w:after="100"/>
      </w:pPr>
      <w:r>
        <w:rPr>
          <w:rFonts w:ascii="Arial" w:cs="Arial" w:eastAsia="Arial" w:hAnsi="Arial"/>
          <w:b/>
          <w:bCs/>
          <w:color w:val="047857"/>
          <w:sz w:val="28"/>
          <w:szCs w:val="28"/>
        </w:rPr>
        <w:t xml:space="preserve">B. Standard Compounding Conversion Formulae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From → To</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Formula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Simple (r_s, T) → Continuous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r_c = ln(1 + r_s × T) / T</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Annual (r_a) → Continuous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r_c = ln(1 + r_a)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Semi-annual (r_sa) → Continuous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r_c = 2 × ln(1 + r_sa / 2)</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Quarterly (r_q) → Continuous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r_c = 4 × ln(1 + r_q /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Continuous (r_c) → Annual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r_a = exp(r_c) − 1</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Continuous (r_c) → Semi-annual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r_sa = 2 × [exp(r_c / 2) − 1]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Annual (r_a) → Semi-annual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r_sa = 2 × [(1 + r_a)^(1/2) − 1]</w:t>
            </w:r>
          </w:p>
        </w:tc>
      </w:tr>
    </w:tbl>
    <w:p>
      <w:r>
        <w:t xml:space="preserve"/>
      </w:r>
    </w:p>
    <w:p>
      <w:pPr>
        <w:pStyle w:val="Heading2"/>
        <w:spacing w:before="280" w:after="100"/>
      </w:pPr>
      <w:r>
        <w:rPr>
          <w:rFonts w:ascii="Arial" w:cs="Arial" w:eastAsia="Arial" w:hAnsi="Arial"/>
          <w:b/>
          <w:bCs/>
          <w:color w:val="047857"/>
          <w:sz w:val="28"/>
          <w:szCs w:val="28"/>
        </w:rPr>
        <w:t xml:space="preserve">C. FX Vol Pillar Formulae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Quantity</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Formula in Terms of ATM, RR25, BF25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25Δ Call Vol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σ_ATM + BF25 + ½ × RR25</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25Δ Put Vol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σ_ATM + BF25 − ½ × RR25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10Δ Call Vol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σ_ATM + BF10 + ½ × RR10</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10Δ Put Vol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σ_ATM + BF10 − ½ × RR10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RR25 from wing vols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σ_call(25Δ) − σ_put(25Δ)</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BF25 from wing vols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½[σ_call(25Δ) + σ_put(25Δ)] − σ_ATM</w:t>
            </w:r>
          </w:p>
        </w:tc>
      </w:tr>
    </w:tbl>
    <w:p>
      <w:r>
        <w:t xml:space="preserve"/>
      </w:r>
    </w:p>
    <w:p>
      <w:r>
        <w:t xml:space="preserve"/>
      </w:r>
    </w:p>
    <w:p>
      <w:pPr>
        <w:pStyle w:val="Heading2"/>
        <w:spacing w:before="280" w:after="100"/>
      </w:pPr>
      <w:r>
        <w:rPr>
          <w:rFonts w:ascii="Arial" w:cs="Arial" w:eastAsia="Arial" w:hAnsi="Arial"/>
          <w:b/>
          <w:bCs/>
          <w:color w:val="047857"/>
          <w:sz w:val="28"/>
          <w:szCs w:val="28"/>
        </w:rPr>
        <w:t xml:space="preserve">D. Black-76 vs Bachelier: 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Formula Element</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b/>
                <w:bCs/>
                <w:color w:val="1a1a2e"/>
                <w:sz w:val="21"/>
                <w:szCs w:val="21"/>
              </w:rPr>
              <w:t xml:space="preserve">Black-76 (Lognormal)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Call Price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e^(−rT) [F·N(d₁) − K·N(d₂)]</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d₁</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[ln(F/K) + ½σ²T] / (σ√T)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d₂</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d₁ − σ√T</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(Bachelier)</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Not applicable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ATM Call Price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 · e^(−rT) · [2N(½σ√T) − 1]</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Delta (Call)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e^(−rT) · N(d₁)</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4785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2026-03-27T22:34:32.241Z</dcterms:created>
  <dcterms:modified xsi:type="dcterms:W3CDTF">2026-03-27T22:34:32.241Z</dcterms:modified>
</cp:coreProperties>
</file>

<file path=docProps/custom.xml><?xml version="1.0" encoding="utf-8"?>
<Properties xmlns="http://schemas.openxmlformats.org/officeDocument/2006/custom-properties" xmlns:vt="http://schemas.openxmlformats.org/officeDocument/2006/docPropsVTypes"/>
</file>