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 w:after="40"/>
        <w:jc w:val="center"/>
      </w:pPr>
      <w:r>
        <w:rPr>
          <w:rFonts w:ascii="Calibri" w:hAnsi="Calibri"/>
          <w:b/>
          <w:color w:val="1F4E79"/>
          <w:sz w:val="34"/>
        </w:rPr>
        <w:t>UNIVERSIDAD TECNOLÓGICA NACIONAL</w:t>
        <w:br/>
      </w:r>
      <w:r>
        <w:rPr>
          <w:rFonts w:ascii="Calibri" w:hAnsi="Calibri"/>
          <w:b/>
          <w:color w:val="595959"/>
          <w:sz w:val="27"/>
        </w:rPr>
        <w:t>FACULTAD REGIONAL SAN RAFAEL</w:t>
        <w:br/>
      </w:r>
      <w:r>
        <w:rPr>
          <w:rFonts w:ascii="Calibri" w:hAnsi="Calibri"/>
          <w:sz w:val="22"/>
        </w:rPr>
        <w:t>DEPARTAMENTO DE INGENIERÍA ELECTROMECÁNICA</w:t>
        <w:br/>
        <w:t>Cátedra: Gestión y Mantenimiento Electromecánico</w:t>
      </w:r>
    </w:p>
    <w:p>
      <w:pPr>
        <w:spacing w:after="200"/>
      </w:pPr>
    </w:p>
    <w:p>
      <w:pPr>
        <w:spacing w:after="80"/>
        <w:jc w:val="center"/>
      </w:pPr>
      <w:r>
        <w:rPr>
          <w:b/>
          <w:color w:val="1F4E79"/>
          <w:sz w:val="36"/>
        </w:rPr>
        <w:t>TRABAJO PRÁCTICO N° 1</w:t>
        <w:br/>
      </w:r>
      <w:r>
        <w:rPr>
          <w:b/>
          <w:color w:val="0E2841"/>
          <w:sz w:val="22"/>
        </w:rPr>
        <w:t>INFORME TÉCNICO DE INGENIERÍA DE MANTENIMIENTO Y CONFIABILIDAD</w:t>
        <w:br/>
        <w:t>Línea de Elevación y Transporte de Áridos de Alta Densidad</w:t>
        <w:br/>
        <w:t>Diagnóstico Operativo, Matriz de Criticidad, Ishikawa 6M, 5 Porqués y Plan de Mantenimiento</w:t>
      </w:r>
    </w:p>
    <w:p>
      <w:pPr>
        <w:spacing w:after="240"/>
      </w:pPr>
    </w:p>
    <w:p>
      <w:pPr>
        <w:spacing w:after="80"/>
        <w:jc w:val="center"/>
      </w:pPr>
      <w:r>
        <w:rPr>
          <w:rFonts w:ascii="Calibri" w:hAnsi="Calibri"/>
          <w:b/>
          <w:color w:val="1F4E79"/>
          <w:sz w:val="21"/>
        </w:rPr>
        <w:t>NÓMINA DE ALUMNOS / INTEGRANTES DEL EQUIPO DE TRABAJO</w:t>
      </w:r>
    </w:p>
    <w:tbl>
      <w:tblPr>
        <w:tblW w:type="auto" w:w="0"/>
        <w:jc w:val="center"/>
        <w:tblLayout w:type="fixed"/>
        <w:tblLook w:firstColumn="1" w:firstRow="1" w:lastColumn="0" w:lastRow="0" w:noHBand="0" w:noVBand="1" w:val="04A0"/>
      </w:tblPr>
      <w:tblGrid>
        <w:gridCol w:w="3264"/>
        <w:gridCol w:w="3264"/>
        <w:gridCol w:w="3264"/>
      </w:tblGrid>
      <w:tr>
        <w:tc>
          <w:tcPr>
            <w:tcW w:type="dxa" w:w="3264"/>
            <w:shd w:fill="1F4E79"/>
            <w:tcMar>
              <w:top w:w="120" w:type="dxa"/>
              <w:bottom w:w="120" w:type="dxa"/>
              <w:left w:w="130" w:type="dxa"/>
              <w:right w:w="130" w:type="dxa"/>
            </w:tcMar>
            <w:vAlign w:val="center"/>
          </w:tcPr>
          <w:p>
            <w:pPr>
              <w:spacing w:before="0" w:after="0"/>
              <w:jc w:val="center"/>
            </w:pPr>
            <w:r>
              <w:rPr>
                <w:rFonts w:ascii="Calibri" w:hAnsi="Calibri"/>
                <w:b/>
                <w:color w:val="FFFFFF"/>
                <w:sz w:val="19"/>
              </w:rPr>
              <w:t>N°</w:t>
            </w:r>
          </w:p>
        </w:tc>
        <w:tc>
          <w:tcPr>
            <w:tcW w:type="dxa" w:w="3264"/>
            <w:shd w:fill="1F4E79"/>
            <w:tcMar>
              <w:top w:w="120" w:type="dxa"/>
              <w:bottom w:w="120" w:type="dxa"/>
              <w:left w:w="130" w:type="dxa"/>
              <w:right w:w="130" w:type="dxa"/>
            </w:tcMar>
            <w:vAlign w:val="center"/>
          </w:tcPr>
          <w:p>
            <w:pPr>
              <w:spacing w:before="0" w:after="0"/>
              <w:jc w:val="center"/>
            </w:pPr>
            <w:r>
              <w:rPr>
                <w:rFonts w:ascii="Calibri" w:hAnsi="Calibri"/>
                <w:b/>
                <w:color w:val="FFFFFF"/>
                <w:sz w:val="19"/>
              </w:rPr>
              <w:t>Nombre y Apellido</w:t>
            </w:r>
          </w:p>
        </w:tc>
        <w:tc>
          <w:tcPr>
            <w:tcW w:type="dxa" w:w="3264"/>
            <w:shd w:fill="1F4E79"/>
            <w:tcMar>
              <w:top w:w="120" w:type="dxa"/>
              <w:bottom w:w="120" w:type="dxa"/>
              <w:left w:w="130" w:type="dxa"/>
              <w:right w:w="130" w:type="dxa"/>
            </w:tcMar>
            <w:vAlign w:val="center"/>
          </w:tcPr>
          <w:p>
            <w:pPr>
              <w:spacing w:before="0" w:after="0"/>
              <w:jc w:val="center"/>
            </w:pPr>
            <w:r>
              <w:rPr>
                <w:rFonts w:ascii="Calibri" w:hAnsi="Calibri"/>
                <w:b/>
                <w:color w:val="FFFFFF"/>
                <w:sz w:val="19"/>
              </w:rPr>
              <w:t>Legajo Oficial</w:t>
            </w:r>
          </w:p>
        </w:tc>
      </w:tr>
      <w:tr>
        <w:tc>
          <w:tcPr>
            <w:tcW w:type="dxa" w:w="864"/>
            <w:shd w:fill="FFFFFF"/>
            <w:tcMar>
              <w:top w:w="80" w:type="dxa"/>
              <w:bottom w:w="80" w:type="dxa"/>
              <w:left w:w="100" w:type="dxa"/>
              <w:right w:w="100" w:type="dxa"/>
            </w:tcMar>
            <w:vAlign w:val="center"/>
          </w:tcPr>
          <w:p>
            <w:pPr>
              <w:spacing w:before="0" w:after="0"/>
              <w:jc w:val="center"/>
            </w:pPr>
            <w:r>
              <w:rPr>
                <w:rFonts w:ascii="Calibri" w:hAnsi="Calibri"/>
                <w:b/>
                <w:sz w:val="19"/>
              </w:rPr>
              <w:t>1</w:t>
            </w:r>
          </w:p>
        </w:tc>
        <w:tc>
          <w:tcPr>
            <w:tcW w:type="dxa" w:w="5184"/>
            <w:shd w:fill="FFFFFF"/>
            <w:tcMar>
              <w:top w:w="80" w:type="dxa"/>
              <w:bottom w:w="80" w:type="dxa"/>
              <w:left w:w="100" w:type="dxa"/>
              <w:right w:w="100" w:type="dxa"/>
            </w:tcMar>
            <w:vAlign w:val="center"/>
          </w:tcPr>
          <w:p>
            <w:pPr>
              <w:spacing w:before="0" w:after="0"/>
              <w:jc w:val="left"/>
            </w:pPr>
            <w:r>
              <w:rPr>
                <w:rFonts w:ascii="Calibri" w:hAnsi="Calibri"/>
                <w:sz w:val="19"/>
              </w:rPr>
              <w:t>Martín Méndez</w:t>
            </w:r>
          </w:p>
        </w:tc>
        <w:tc>
          <w:tcPr>
            <w:tcW w:type="dxa" w:w="2592"/>
            <w:shd w:fill="FFFFFF"/>
            <w:tcMar>
              <w:top w:w="80" w:type="dxa"/>
              <w:bottom w:w="80" w:type="dxa"/>
              <w:left w:w="100" w:type="dxa"/>
              <w:right w:w="100" w:type="dxa"/>
            </w:tcMar>
            <w:vAlign w:val="center"/>
          </w:tcPr>
          <w:p>
            <w:pPr>
              <w:spacing w:before="0" w:after="0"/>
              <w:jc w:val="center"/>
            </w:pPr>
            <w:r>
              <w:rPr>
                <w:rFonts w:ascii="Calibri" w:hAnsi="Calibri"/>
                <w:sz w:val="19"/>
              </w:rPr>
              <w:t>11335</w:t>
            </w:r>
          </w:p>
        </w:tc>
      </w:tr>
    </w:tbl>
    <w:p>
      <w:pPr>
        <w:spacing w:before="280" w:after="80"/>
        <w:jc w:val="center"/>
      </w:pPr>
      <w:r>
        <w:rPr>
          <w:color w:val="595959"/>
          <w:sz w:val="20"/>
        </w:rPr>
        <w:t>Ciclo Lectivo: 2026 · San Rafael, Mendoza, Argentina</w:t>
      </w:r>
    </w:p>
    <w:p>
      <w:r>
        <w:br w:type="page"/>
      </w:r>
    </w:p>
    <w:p>
      <w:pPr>
        <w:pStyle w:val="Heading1"/>
        <w:keepNext/>
        <w:spacing w:before="280" w:after="120"/>
      </w:pPr>
      <w:r>
        <w:rPr>
          <w:rFonts w:ascii="Calibri" w:hAnsi="Calibri"/>
          <w:b/>
          <w:color w:val="1F4E79"/>
          <w:sz w:val="28"/>
        </w:rPr>
        <w:t>1. Contexto Industrial y Especificaciones del Activo</w:t>
      </w:r>
    </w:p>
    <w:p>
      <w:r>
        <w:t>El presente trabajo de ingeniería se desarrolla sobre la Línea Principal de Elevación y Transporte de Áridos de Alta Densidad de un complejo industrial de procesamiento continuo. La línea opera nominalmente en régimen continuo de 24 horas por día durante 300 días al año (7,200 horas anuales programadas). El flujo continuo de material abastece de forma directa e ininterrumpida a un reactor químico principal, en el cual cualquier detención imprevista en el suministro de sólidos genera la petrificación prematura de la masa en proceso, provocando pérdidas catastróficas por lucro cesante, daño de equipos y extensas paradas no programadas.</w:t>
      </w:r>
    </w:p>
    <w:p>
      <w:pPr>
        <w:spacing w:after="40"/>
      </w:pPr>
    </w:p>
    <w:p>
      <w:r>
        <w:rPr>
          <w:b/>
        </w:rPr>
        <w:t>Componentes Principales del Sistema Electromecánico:</w:t>
        <w:br/>
      </w:r>
    </w:p>
    <w:p>
      <w:pPr>
        <w:pStyle w:val="ListBullet"/>
        <w:spacing w:before="20" w:after="40"/>
      </w:pPr>
      <w:r>
        <w:rPr>
          <w:b/>
          <w:color w:val="1F4E79"/>
        </w:rPr>
        <w:t>Unidad Motriz (SYS-MOT):</w:t>
      </w:r>
      <w:r>
        <w:t xml:space="preserve"> Motor asincrónico trifásico de jaula de ardilla, 55 kW, 4 polos, 1475 RPM, 380/660 V, 50 Hz, aislamiento dieléctrico Clase F (155 °C), grado de protección IP55, acoplado mediante arrancador suave electrónico.</w:t>
      </w:r>
    </w:p>
    <w:p>
      <w:pPr>
        <w:pStyle w:val="ListBullet"/>
        <w:spacing w:before="20" w:after="40"/>
      </w:pPr>
      <w:r>
        <w:rPr>
          <w:b/>
          <w:color w:val="1F4E79"/>
        </w:rPr>
        <w:t>Reducción de Velocidad:</w:t>
      </w:r>
      <w:r>
        <w:t xml:space="preserve"> Reductor ortogonal de tres etapas de engranajes helicoidales cónicos rectificados, lubricado por barboteo con aceite sintético ISO VG 220, relación de reducción i = 28:1.</w:t>
      </w:r>
    </w:p>
    <w:p>
      <w:pPr>
        <w:pStyle w:val="ListBullet"/>
        <w:spacing w:before="20" w:after="40"/>
      </w:pPr>
      <w:r>
        <w:rPr>
          <w:b/>
          <w:color w:val="1F4E79"/>
        </w:rPr>
        <w:t>Polea Motriz y Apoyos:</w:t>
      </w:r>
      <w:r>
        <w:t xml:space="preserve"> Polea de accionamiento de Ø500 mm con revestimiento elastomérico cerámico vulcanizado, montada sobre eje macizo de acero bonificado SAE 4140, soportado por dos cajas de rodamientos de pie monobloc (SNH) con rodamientos oscilantes de rodillos esféricos SKF 22220 EK y fijación por manguito cónico.</w:t>
      </w:r>
    </w:p>
    <w:p>
      <w:pPr>
        <w:pStyle w:val="ListBullet"/>
        <w:spacing w:before="20" w:after="40"/>
      </w:pPr>
      <w:r>
        <w:rPr>
          <w:b/>
          <w:color w:val="1F4E79"/>
        </w:rPr>
        <w:t>Sistema de Tensionado y Control (SYS-TEN):</w:t>
      </w:r>
      <w:r>
        <w:t xml:space="preserve"> Centralita oleohidráulica compacta con bomba de engranajes (20 bar de presión nominal), cilindro hidráulico de doble efecto para tensionado automático de banda, válvulas check pilotadas y presostatos de enclavamiento.</w:t>
      </w:r>
    </w:p>
    <w:p>
      <w:pPr>
        <w:pStyle w:val="ListBullet"/>
        <w:spacing w:before="20" w:after="40"/>
      </w:pPr>
      <w:r>
        <w:rPr>
          <w:b/>
          <w:color w:val="1F4E79"/>
        </w:rPr>
        <w:t>Limpieza y Protección (SYS-EST / SYS-ELE):</w:t>
      </w:r>
      <w:r>
        <w:t xml:space="preserve"> Rascador primario frontal de poliuretano de alta densidad y rascador secundario en V, acompañados de sensores inductivos de desalineación lateral de banda e interruptores de parada por cable tirador.</w:t>
      </w:r>
    </w:p>
    <w:p>
      <w:pPr>
        <w:pStyle w:val="Heading1"/>
        <w:keepNext/>
        <w:spacing w:before="280" w:after="120"/>
      </w:pPr>
      <w:r>
        <w:rPr>
          <w:rFonts w:ascii="Calibri" w:hAnsi="Calibri"/>
          <w:b/>
          <w:color w:val="1F4E79"/>
          <w:sz w:val="28"/>
        </w:rPr>
        <w:t>2. Registro Histórico de Contingencias y Parámetros Económicos</w:t>
      </w:r>
    </w:p>
    <w:p>
      <w:r>
        <w:t>Durante el último ciclo operativo anual (7,200 h nominales), el activo registró 5 eventos de falla intempestivos que ocasionaron tiempos improductivos, erogaciones en repuestos y consumo de mano de obra técnica:</w:t>
      </w:r>
    </w:p>
    <w:tbl>
      <w:tblPr>
        <w:tblW w:type="auto" w:w="0"/>
        <w:jc w:val="center"/>
        <w:tblLayout w:type="fixed"/>
        <w:tblLook w:firstColumn="1" w:firstRow="1" w:lastColumn="0" w:lastRow="0" w:noHBand="0" w:noVBand="1" w:val="04A0"/>
      </w:tblPr>
      <w:tblGrid>
        <w:gridCol w:w="1958"/>
        <w:gridCol w:w="1958"/>
        <w:gridCol w:w="1958"/>
        <w:gridCol w:w="1958"/>
        <w:gridCol w:w="1958"/>
      </w:tblGrid>
      <w:tr>
        <w:tc>
          <w:tcPr>
            <w:tcW w:type="dxa" w:w="1958"/>
            <w:shd w:fill="1F4E79"/>
            <w:tcMar>
              <w:top w:w="120" w:type="dxa"/>
              <w:bottom w:w="120" w:type="dxa"/>
              <w:left w:w="130" w:type="dxa"/>
              <w:right w:w="130" w:type="dxa"/>
            </w:tcMar>
            <w:vAlign w:val="center"/>
          </w:tcPr>
          <w:p>
            <w:pPr>
              <w:spacing w:before="0" w:after="0"/>
              <w:jc w:val="center"/>
            </w:pPr>
            <w:r>
              <w:rPr>
                <w:rFonts w:ascii="Calibri" w:hAnsi="Calibri"/>
                <w:b/>
                <w:color w:val="FFFFFF"/>
                <w:sz w:val="18"/>
              </w:rPr>
              <w:t>Evento</w:t>
            </w:r>
          </w:p>
        </w:tc>
        <w:tc>
          <w:tcPr>
            <w:tcW w:type="dxa" w:w="1958"/>
            <w:shd w:fill="1F4E79"/>
            <w:tcMar>
              <w:top w:w="120" w:type="dxa"/>
              <w:bottom w:w="120" w:type="dxa"/>
              <w:left w:w="130" w:type="dxa"/>
              <w:right w:w="130" w:type="dxa"/>
            </w:tcMar>
            <w:vAlign w:val="center"/>
          </w:tcPr>
          <w:p>
            <w:pPr>
              <w:spacing w:before="0" w:after="0"/>
              <w:jc w:val="center"/>
            </w:pPr>
            <w:r>
              <w:rPr>
                <w:rFonts w:ascii="Calibri" w:hAnsi="Calibri"/>
                <w:b/>
                <w:color w:val="FFFFFF"/>
                <w:sz w:val="18"/>
              </w:rPr>
              <w:t>Descripción Técnica de la Falla</w:t>
            </w:r>
          </w:p>
        </w:tc>
        <w:tc>
          <w:tcPr>
            <w:tcW w:type="dxa" w:w="1958"/>
            <w:shd w:fill="1F4E79"/>
            <w:tcMar>
              <w:top w:w="120" w:type="dxa"/>
              <w:bottom w:w="120" w:type="dxa"/>
              <w:left w:w="130" w:type="dxa"/>
              <w:right w:w="130" w:type="dxa"/>
            </w:tcMar>
            <w:vAlign w:val="center"/>
          </w:tcPr>
          <w:p>
            <w:pPr>
              <w:spacing w:before="0" w:after="0"/>
              <w:jc w:val="center"/>
            </w:pPr>
            <w:r>
              <w:rPr>
                <w:rFonts w:ascii="Calibri" w:hAnsi="Calibri"/>
                <w:b/>
                <w:color w:val="FFFFFF"/>
                <w:sz w:val="18"/>
              </w:rPr>
              <w:t>TTP (h)</w:t>
            </w:r>
          </w:p>
        </w:tc>
        <w:tc>
          <w:tcPr>
            <w:tcW w:type="dxa" w:w="1958"/>
            <w:shd w:fill="1F4E79"/>
            <w:tcMar>
              <w:top w:w="120" w:type="dxa"/>
              <w:bottom w:w="120" w:type="dxa"/>
              <w:left w:w="130" w:type="dxa"/>
              <w:right w:w="130" w:type="dxa"/>
            </w:tcMar>
            <w:vAlign w:val="center"/>
          </w:tcPr>
          <w:p>
            <w:pPr>
              <w:spacing w:before="0" w:after="0"/>
              <w:jc w:val="center"/>
            </w:pPr>
            <w:r>
              <w:rPr>
                <w:rFonts w:ascii="Calibri" w:hAnsi="Calibri"/>
                <w:b/>
                <w:color w:val="FFFFFF"/>
                <w:sz w:val="18"/>
              </w:rPr>
              <w:t>Repuestos (USD)</w:t>
            </w:r>
          </w:p>
        </w:tc>
        <w:tc>
          <w:tcPr>
            <w:tcW w:type="dxa" w:w="1958"/>
            <w:shd w:fill="1F4E79"/>
            <w:tcMar>
              <w:top w:w="120" w:type="dxa"/>
              <w:bottom w:w="120" w:type="dxa"/>
              <w:left w:w="130" w:type="dxa"/>
              <w:right w:w="130" w:type="dxa"/>
            </w:tcMar>
            <w:vAlign w:val="center"/>
          </w:tcPr>
          <w:p>
            <w:pPr>
              <w:spacing w:before="0" w:after="0"/>
              <w:jc w:val="center"/>
            </w:pPr>
            <w:r>
              <w:rPr>
                <w:rFonts w:ascii="Calibri" w:hAnsi="Calibri"/>
                <w:b/>
                <w:color w:val="FFFFFF"/>
                <w:sz w:val="18"/>
              </w:rPr>
              <w:t>Mano de Obra (HH)</w:t>
            </w:r>
          </w:p>
        </w:tc>
      </w:tr>
      <w:tr>
        <w:tc>
          <w:tcPr>
            <w:tcW w:type="dxa" w:w="864"/>
            <w:shd w:fill="FFFFFF"/>
            <w:tcMar>
              <w:top w:w="80" w:type="dxa"/>
              <w:bottom w:w="80" w:type="dxa"/>
              <w:left w:w="90" w:type="dxa"/>
              <w:right w:w="90" w:type="dxa"/>
            </w:tcMar>
            <w:vAlign w:val="center"/>
          </w:tcPr>
          <w:p>
            <w:pPr>
              <w:spacing w:before="0" w:after="0"/>
              <w:jc w:val="center"/>
            </w:pPr>
            <w:r>
              <w:rPr>
                <w:rFonts w:ascii="Calibri" w:hAnsi="Calibri"/>
                <w:b/>
                <w:sz w:val="17"/>
              </w:rPr>
              <w:t>F1</w:t>
            </w:r>
          </w:p>
        </w:tc>
        <w:tc>
          <w:tcPr>
            <w:tcW w:type="dxa" w:w="4896"/>
            <w:shd w:fill="FFFFFF"/>
            <w:tcMar>
              <w:top w:w="80" w:type="dxa"/>
              <w:bottom w:w="80" w:type="dxa"/>
              <w:left w:w="90" w:type="dxa"/>
              <w:right w:w="90" w:type="dxa"/>
            </w:tcMar>
            <w:vAlign w:val="center"/>
          </w:tcPr>
          <w:p>
            <w:pPr>
              <w:spacing w:before="0" w:after="0"/>
              <w:jc w:val="left"/>
            </w:pPr>
            <w:r>
              <w:rPr>
                <w:rFonts w:ascii="Calibri" w:hAnsi="Calibri"/>
                <w:sz w:val="17"/>
              </w:rPr>
              <w:t>Picado severo (spalling) en pista exterior de rodamiento SKF 22220 EK por contaminación con polvo abrasivo y degradación térmica de grasa. Desmontaje completo de polea motriz.</w:t>
            </w:r>
          </w:p>
        </w:tc>
        <w:tc>
          <w:tcPr>
            <w:tcW w:type="dxa" w:w="1152"/>
            <w:shd w:fill="FFFFFF"/>
            <w:tcMar>
              <w:top w:w="80" w:type="dxa"/>
              <w:bottom w:w="80" w:type="dxa"/>
              <w:left w:w="90" w:type="dxa"/>
              <w:right w:w="90" w:type="dxa"/>
            </w:tcMar>
            <w:vAlign w:val="center"/>
          </w:tcPr>
          <w:p>
            <w:pPr>
              <w:spacing w:before="0" w:after="0"/>
              <w:jc w:val="center"/>
            </w:pPr>
            <w:r>
              <w:rPr>
                <w:rFonts w:ascii="Calibri" w:hAnsi="Calibri"/>
                <w:sz w:val="17"/>
              </w:rPr>
              <w:t>28.0</w:t>
            </w:r>
          </w:p>
        </w:tc>
        <w:tc>
          <w:tcPr>
            <w:tcW w:type="dxa" w:w="1440"/>
            <w:shd w:fill="FFFFFF"/>
            <w:tcMar>
              <w:top w:w="80" w:type="dxa"/>
              <w:bottom w:w="80" w:type="dxa"/>
              <w:left w:w="90" w:type="dxa"/>
              <w:right w:w="90" w:type="dxa"/>
            </w:tcMar>
            <w:vAlign w:val="center"/>
          </w:tcPr>
          <w:p>
            <w:pPr>
              <w:spacing w:before="0" w:after="0"/>
              <w:jc w:val="right"/>
            </w:pPr>
            <w:r>
              <w:rPr>
                <w:rFonts w:ascii="Calibri" w:hAnsi="Calibri"/>
                <w:sz w:val="17"/>
              </w:rPr>
              <w:t>$1,850</w:t>
            </w:r>
          </w:p>
        </w:tc>
        <w:tc>
          <w:tcPr>
            <w:tcW w:type="dxa" w:w="1008"/>
            <w:shd w:fill="FFFFFF"/>
            <w:tcMar>
              <w:top w:w="80" w:type="dxa"/>
              <w:bottom w:w="80" w:type="dxa"/>
              <w:left w:w="90" w:type="dxa"/>
              <w:right w:w="90" w:type="dxa"/>
            </w:tcMar>
            <w:vAlign w:val="center"/>
          </w:tcPr>
          <w:p>
            <w:pPr>
              <w:spacing w:before="0" w:after="0"/>
              <w:jc w:val="center"/>
            </w:pPr>
            <w:r>
              <w:rPr>
                <w:rFonts w:ascii="Calibri" w:hAnsi="Calibri"/>
                <w:sz w:val="17"/>
              </w:rPr>
              <w:t>48</w:t>
            </w:r>
          </w:p>
        </w:tc>
      </w:tr>
      <w:tr>
        <w:tc>
          <w:tcPr>
            <w:tcW w:type="dxa" w:w="864"/>
            <w:shd w:fill="F9FBFD"/>
            <w:tcMar>
              <w:top w:w="80" w:type="dxa"/>
              <w:bottom w:w="80" w:type="dxa"/>
              <w:left w:w="90" w:type="dxa"/>
              <w:right w:w="90" w:type="dxa"/>
            </w:tcMar>
            <w:vAlign w:val="center"/>
          </w:tcPr>
          <w:p>
            <w:pPr>
              <w:spacing w:before="0" w:after="0"/>
              <w:jc w:val="center"/>
            </w:pPr>
            <w:r>
              <w:rPr>
                <w:rFonts w:ascii="Calibri" w:hAnsi="Calibri"/>
                <w:b/>
                <w:sz w:val="17"/>
              </w:rPr>
              <w:t>F2</w:t>
            </w:r>
          </w:p>
        </w:tc>
        <w:tc>
          <w:tcPr>
            <w:tcW w:type="dxa" w:w="4896"/>
            <w:shd w:fill="F9FBFD"/>
            <w:tcMar>
              <w:top w:w="80" w:type="dxa"/>
              <w:bottom w:w="80" w:type="dxa"/>
              <w:left w:w="90" w:type="dxa"/>
              <w:right w:w="90" w:type="dxa"/>
            </w:tcMar>
            <w:vAlign w:val="center"/>
          </w:tcPr>
          <w:p>
            <w:pPr>
              <w:spacing w:before="0" w:after="0"/>
              <w:jc w:val="left"/>
            </w:pPr>
            <w:r>
              <w:rPr>
                <w:rFonts w:ascii="Calibri" w:hAnsi="Calibri"/>
                <w:sz w:val="17"/>
              </w:rPr>
              <w:t>Sobrecalentamiento y cortocircuito entre espiras en estator de motor eléctrico de 55 kW por bloqueo de ventilador y capa de polvo sobre carcasa. Rebobinado integral en taller externo.</w:t>
            </w:r>
          </w:p>
        </w:tc>
        <w:tc>
          <w:tcPr>
            <w:tcW w:type="dxa" w:w="1152"/>
            <w:shd w:fill="F9FBFD"/>
            <w:tcMar>
              <w:top w:w="80" w:type="dxa"/>
              <w:bottom w:w="80" w:type="dxa"/>
              <w:left w:w="90" w:type="dxa"/>
              <w:right w:w="90" w:type="dxa"/>
            </w:tcMar>
            <w:vAlign w:val="center"/>
          </w:tcPr>
          <w:p>
            <w:pPr>
              <w:spacing w:before="0" w:after="0"/>
              <w:jc w:val="center"/>
            </w:pPr>
            <w:r>
              <w:rPr>
                <w:rFonts w:ascii="Calibri" w:hAnsi="Calibri"/>
                <w:sz w:val="17"/>
              </w:rPr>
              <w:t>42.0</w:t>
            </w:r>
          </w:p>
        </w:tc>
        <w:tc>
          <w:tcPr>
            <w:tcW w:type="dxa" w:w="1440"/>
            <w:shd w:fill="F9FBFD"/>
            <w:tcMar>
              <w:top w:w="80" w:type="dxa"/>
              <w:bottom w:w="80" w:type="dxa"/>
              <w:left w:w="90" w:type="dxa"/>
              <w:right w:w="90" w:type="dxa"/>
            </w:tcMar>
            <w:vAlign w:val="center"/>
          </w:tcPr>
          <w:p>
            <w:pPr>
              <w:spacing w:before="0" w:after="0"/>
              <w:jc w:val="right"/>
            </w:pPr>
            <w:r>
              <w:rPr>
                <w:rFonts w:ascii="Calibri" w:hAnsi="Calibri"/>
                <w:sz w:val="17"/>
              </w:rPr>
              <w:t>$3,400</w:t>
            </w:r>
          </w:p>
        </w:tc>
        <w:tc>
          <w:tcPr>
            <w:tcW w:type="dxa" w:w="1008"/>
            <w:shd w:fill="F9FBFD"/>
            <w:tcMar>
              <w:top w:w="80" w:type="dxa"/>
              <w:bottom w:w="80" w:type="dxa"/>
              <w:left w:w="90" w:type="dxa"/>
              <w:right w:w="90" w:type="dxa"/>
            </w:tcMar>
            <w:vAlign w:val="center"/>
          </w:tcPr>
          <w:p>
            <w:pPr>
              <w:spacing w:before="0" w:after="0"/>
              <w:jc w:val="center"/>
            </w:pPr>
            <w:r>
              <w:rPr>
                <w:rFonts w:ascii="Calibri" w:hAnsi="Calibri"/>
                <w:sz w:val="17"/>
              </w:rPr>
              <w:t>24</w:t>
            </w:r>
          </w:p>
        </w:tc>
      </w:tr>
      <w:tr>
        <w:tc>
          <w:tcPr>
            <w:tcW w:type="dxa" w:w="864"/>
            <w:shd w:fill="FFFFFF"/>
            <w:tcMar>
              <w:top w:w="80" w:type="dxa"/>
              <w:bottom w:w="80" w:type="dxa"/>
              <w:left w:w="90" w:type="dxa"/>
              <w:right w:w="90" w:type="dxa"/>
            </w:tcMar>
            <w:vAlign w:val="center"/>
          </w:tcPr>
          <w:p>
            <w:pPr>
              <w:spacing w:before="0" w:after="0"/>
              <w:jc w:val="center"/>
            </w:pPr>
            <w:r>
              <w:rPr>
                <w:rFonts w:ascii="Calibri" w:hAnsi="Calibri"/>
                <w:b/>
                <w:sz w:val="17"/>
              </w:rPr>
              <w:t>F3</w:t>
            </w:r>
          </w:p>
        </w:tc>
        <w:tc>
          <w:tcPr>
            <w:tcW w:type="dxa" w:w="4896"/>
            <w:shd w:fill="FFFFFF"/>
            <w:tcMar>
              <w:top w:w="80" w:type="dxa"/>
              <w:bottom w:w="80" w:type="dxa"/>
              <w:left w:w="90" w:type="dxa"/>
              <w:right w:w="90" w:type="dxa"/>
            </w:tcMar>
            <w:vAlign w:val="center"/>
          </w:tcPr>
          <w:p>
            <w:pPr>
              <w:spacing w:before="0" w:after="0"/>
              <w:jc w:val="left"/>
            </w:pPr>
            <w:r>
              <w:rPr>
                <w:rFonts w:ascii="Calibri" w:hAnsi="Calibri"/>
                <w:sz w:val="17"/>
              </w:rPr>
              <w:t>Fuga masiva de fluido hidráulico por fisura en latiguillo de alta presión debido a fatiga por pulsación cíclica en centralita de 20 bar. Caída de presión y disparo de interbloqueo.</w:t>
            </w:r>
          </w:p>
        </w:tc>
        <w:tc>
          <w:tcPr>
            <w:tcW w:type="dxa" w:w="1152"/>
            <w:shd w:fill="FFFFFF"/>
            <w:tcMar>
              <w:top w:w="80" w:type="dxa"/>
              <w:bottom w:w="80" w:type="dxa"/>
              <w:left w:w="90" w:type="dxa"/>
              <w:right w:w="90" w:type="dxa"/>
            </w:tcMar>
            <w:vAlign w:val="center"/>
          </w:tcPr>
          <w:p>
            <w:pPr>
              <w:spacing w:before="0" w:after="0"/>
              <w:jc w:val="center"/>
            </w:pPr>
            <w:r>
              <w:rPr>
                <w:rFonts w:ascii="Calibri" w:hAnsi="Calibri"/>
                <w:sz w:val="17"/>
              </w:rPr>
              <w:t>6.0</w:t>
            </w:r>
          </w:p>
        </w:tc>
        <w:tc>
          <w:tcPr>
            <w:tcW w:type="dxa" w:w="1440"/>
            <w:shd w:fill="FFFFFF"/>
            <w:tcMar>
              <w:top w:w="80" w:type="dxa"/>
              <w:bottom w:w="80" w:type="dxa"/>
              <w:left w:w="90" w:type="dxa"/>
              <w:right w:w="90" w:type="dxa"/>
            </w:tcMar>
            <w:vAlign w:val="center"/>
          </w:tcPr>
          <w:p>
            <w:pPr>
              <w:spacing w:before="0" w:after="0"/>
              <w:jc w:val="right"/>
            </w:pPr>
            <w:r>
              <w:rPr>
                <w:rFonts w:ascii="Calibri" w:hAnsi="Calibri"/>
                <w:sz w:val="17"/>
              </w:rPr>
              <w:t>$320</w:t>
            </w:r>
          </w:p>
        </w:tc>
        <w:tc>
          <w:tcPr>
            <w:tcW w:type="dxa" w:w="1008"/>
            <w:shd w:fill="FFFFFF"/>
            <w:tcMar>
              <w:top w:w="80" w:type="dxa"/>
              <w:bottom w:w="80" w:type="dxa"/>
              <w:left w:w="90" w:type="dxa"/>
              <w:right w:w="90" w:type="dxa"/>
            </w:tcMar>
            <w:vAlign w:val="center"/>
          </w:tcPr>
          <w:p>
            <w:pPr>
              <w:spacing w:before="0" w:after="0"/>
              <w:jc w:val="center"/>
            </w:pPr>
            <w:r>
              <w:rPr>
                <w:rFonts w:ascii="Calibri" w:hAnsi="Calibri"/>
                <w:sz w:val="17"/>
              </w:rPr>
              <w:t>12</w:t>
            </w:r>
          </w:p>
        </w:tc>
      </w:tr>
      <w:tr>
        <w:tc>
          <w:tcPr>
            <w:tcW w:type="dxa" w:w="864"/>
            <w:shd w:fill="F9FBFD"/>
            <w:tcMar>
              <w:top w:w="80" w:type="dxa"/>
              <w:bottom w:w="80" w:type="dxa"/>
              <w:left w:w="90" w:type="dxa"/>
              <w:right w:w="90" w:type="dxa"/>
            </w:tcMar>
            <w:vAlign w:val="center"/>
          </w:tcPr>
          <w:p>
            <w:pPr>
              <w:spacing w:before="0" w:after="0"/>
              <w:jc w:val="center"/>
            </w:pPr>
            <w:r>
              <w:rPr>
                <w:rFonts w:ascii="Calibri" w:hAnsi="Calibri"/>
                <w:b/>
                <w:sz w:val="17"/>
              </w:rPr>
              <w:t>F4</w:t>
            </w:r>
          </w:p>
        </w:tc>
        <w:tc>
          <w:tcPr>
            <w:tcW w:type="dxa" w:w="4896"/>
            <w:shd w:fill="F9FBFD"/>
            <w:tcMar>
              <w:top w:w="80" w:type="dxa"/>
              <w:bottom w:w="80" w:type="dxa"/>
              <w:left w:w="90" w:type="dxa"/>
              <w:right w:w="90" w:type="dxa"/>
            </w:tcMar>
            <w:vAlign w:val="center"/>
          </w:tcPr>
          <w:p>
            <w:pPr>
              <w:spacing w:before="0" w:after="0"/>
              <w:jc w:val="left"/>
            </w:pPr>
            <w:r>
              <w:rPr>
                <w:rFonts w:ascii="Calibri" w:hAnsi="Calibri"/>
                <w:sz w:val="17"/>
              </w:rPr>
              <w:t>Desalineación severa de banda por acumulación de material arcilloso en tambor de reenvío. Rasgado longitudinal de 15 m de cubierta superior. Vulcanizado en caliente por terceros.</w:t>
            </w:r>
          </w:p>
        </w:tc>
        <w:tc>
          <w:tcPr>
            <w:tcW w:type="dxa" w:w="1152"/>
            <w:shd w:fill="F9FBFD"/>
            <w:tcMar>
              <w:top w:w="80" w:type="dxa"/>
              <w:bottom w:w="80" w:type="dxa"/>
              <w:left w:w="90" w:type="dxa"/>
              <w:right w:w="90" w:type="dxa"/>
            </w:tcMar>
            <w:vAlign w:val="center"/>
          </w:tcPr>
          <w:p>
            <w:pPr>
              <w:spacing w:before="0" w:after="0"/>
              <w:jc w:val="center"/>
            </w:pPr>
            <w:r>
              <w:rPr>
                <w:rFonts w:ascii="Calibri" w:hAnsi="Calibri"/>
                <w:sz w:val="17"/>
              </w:rPr>
              <w:t>36.0</w:t>
            </w:r>
          </w:p>
        </w:tc>
        <w:tc>
          <w:tcPr>
            <w:tcW w:type="dxa" w:w="1440"/>
            <w:shd w:fill="F9FBFD"/>
            <w:tcMar>
              <w:top w:w="80" w:type="dxa"/>
              <w:bottom w:w="80" w:type="dxa"/>
              <w:left w:w="90" w:type="dxa"/>
              <w:right w:w="90" w:type="dxa"/>
            </w:tcMar>
            <w:vAlign w:val="center"/>
          </w:tcPr>
          <w:p>
            <w:pPr>
              <w:spacing w:before="0" w:after="0"/>
              <w:jc w:val="right"/>
            </w:pPr>
            <w:r>
              <w:rPr>
                <w:rFonts w:ascii="Calibri" w:hAnsi="Calibri"/>
                <w:sz w:val="17"/>
              </w:rPr>
              <w:t>$4,200</w:t>
            </w:r>
          </w:p>
        </w:tc>
        <w:tc>
          <w:tcPr>
            <w:tcW w:type="dxa" w:w="1008"/>
            <w:shd w:fill="F9FBFD"/>
            <w:tcMar>
              <w:top w:w="80" w:type="dxa"/>
              <w:bottom w:w="80" w:type="dxa"/>
              <w:left w:w="90" w:type="dxa"/>
              <w:right w:w="90" w:type="dxa"/>
            </w:tcMar>
            <w:vAlign w:val="center"/>
          </w:tcPr>
          <w:p>
            <w:pPr>
              <w:spacing w:before="0" w:after="0"/>
              <w:jc w:val="center"/>
            </w:pPr>
            <w:r>
              <w:rPr>
                <w:rFonts w:ascii="Calibri" w:hAnsi="Calibri"/>
                <w:sz w:val="17"/>
              </w:rPr>
              <w:t>36</w:t>
            </w:r>
          </w:p>
        </w:tc>
      </w:tr>
      <w:tr>
        <w:tc>
          <w:tcPr>
            <w:tcW w:type="dxa" w:w="864"/>
            <w:shd w:fill="FFFFFF"/>
            <w:tcMar>
              <w:top w:w="80" w:type="dxa"/>
              <w:bottom w:w="80" w:type="dxa"/>
              <w:left w:w="90" w:type="dxa"/>
              <w:right w:w="90" w:type="dxa"/>
            </w:tcMar>
            <w:vAlign w:val="center"/>
          </w:tcPr>
          <w:p>
            <w:pPr>
              <w:spacing w:before="0" w:after="0"/>
              <w:jc w:val="center"/>
            </w:pPr>
            <w:r>
              <w:rPr>
                <w:rFonts w:ascii="Calibri" w:hAnsi="Calibri"/>
                <w:b/>
                <w:sz w:val="17"/>
              </w:rPr>
              <w:t>F5</w:t>
            </w:r>
          </w:p>
        </w:tc>
        <w:tc>
          <w:tcPr>
            <w:tcW w:type="dxa" w:w="4896"/>
            <w:shd w:fill="FFFFFF"/>
            <w:tcMar>
              <w:top w:w="80" w:type="dxa"/>
              <w:bottom w:w="80" w:type="dxa"/>
              <w:left w:w="90" w:type="dxa"/>
              <w:right w:w="90" w:type="dxa"/>
            </w:tcMar>
            <w:vAlign w:val="center"/>
          </w:tcPr>
          <w:p>
            <w:pPr>
              <w:spacing w:before="0" w:after="0"/>
              <w:jc w:val="left"/>
            </w:pPr>
            <w:r>
              <w:rPr>
                <w:rFonts w:ascii="Calibri" w:hAnsi="Calibri"/>
                <w:sz w:val="17"/>
              </w:rPr>
              <w:t>Desgaste prematuro y atrancamiento de rascador de uretano contra la banda, induciendo sobrecarga mecánica y sobretemperatura severa en reductor ortogonal.</w:t>
            </w:r>
          </w:p>
        </w:tc>
        <w:tc>
          <w:tcPr>
            <w:tcW w:type="dxa" w:w="1152"/>
            <w:shd w:fill="FFFFFF"/>
            <w:tcMar>
              <w:top w:w="80" w:type="dxa"/>
              <w:bottom w:w="80" w:type="dxa"/>
              <w:left w:w="90" w:type="dxa"/>
              <w:right w:w="90" w:type="dxa"/>
            </w:tcMar>
            <w:vAlign w:val="center"/>
          </w:tcPr>
          <w:p>
            <w:pPr>
              <w:spacing w:before="0" w:after="0"/>
              <w:jc w:val="center"/>
            </w:pPr>
            <w:r>
              <w:rPr>
                <w:rFonts w:ascii="Calibri" w:hAnsi="Calibri"/>
                <w:sz w:val="17"/>
              </w:rPr>
              <w:t>8.0</w:t>
            </w:r>
          </w:p>
        </w:tc>
        <w:tc>
          <w:tcPr>
            <w:tcW w:type="dxa" w:w="1440"/>
            <w:shd w:fill="FFFFFF"/>
            <w:tcMar>
              <w:top w:w="80" w:type="dxa"/>
              <w:bottom w:w="80" w:type="dxa"/>
              <w:left w:w="90" w:type="dxa"/>
              <w:right w:w="90" w:type="dxa"/>
            </w:tcMar>
            <w:vAlign w:val="center"/>
          </w:tcPr>
          <w:p>
            <w:pPr>
              <w:spacing w:before="0" w:after="0"/>
              <w:jc w:val="right"/>
            </w:pPr>
            <w:r>
              <w:rPr>
                <w:rFonts w:ascii="Calibri" w:hAnsi="Calibri"/>
                <w:sz w:val="17"/>
              </w:rPr>
              <w:t>$450</w:t>
            </w:r>
          </w:p>
        </w:tc>
        <w:tc>
          <w:tcPr>
            <w:tcW w:type="dxa" w:w="1008"/>
            <w:shd w:fill="FFFFFF"/>
            <w:tcMar>
              <w:top w:w="80" w:type="dxa"/>
              <w:bottom w:w="80" w:type="dxa"/>
              <w:left w:w="90" w:type="dxa"/>
              <w:right w:w="90" w:type="dxa"/>
            </w:tcMar>
            <w:vAlign w:val="center"/>
          </w:tcPr>
          <w:p>
            <w:pPr>
              <w:spacing w:before="0" w:after="0"/>
              <w:jc w:val="center"/>
            </w:pPr>
            <w:r>
              <w:rPr>
                <w:rFonts w:ascii="Calibri" w:hAnsi="Calibri"/>
                <w:sz w:val="17"/>
              </w:rPr>
              <w:t>16</w:t>
            </w:r>
          </w:p>
        </w:tc>
      </w:tr>
    </w:tbl>
    <w:p>
      <w:pPr>
        <w:spacing w:after="80"/>
      </w:pPr>
    </w:p>
    <w:p>
      <w:r>
        <w:rPr>
          <w:b/>
        </w:rPr>
        <w:t>Parámetros Económicos y Tarifas Oficiales de Planta:</w:t>
        <w:br/>
      </w:r>
      <w:r>
        <w:t>• Costo de Parada de Planta (Lucro cesante + Costos fijos): $2,500 USD/hora.</w:t>
        <w:br/>
      </w:r>
      <w:r>
        <w:t>• Tarifa Horaria de Mano de Obra Propia de Mantenimiento: $25 USD/HH.</w:t>
      </w:r>
    </w:p>
    <w:p>
      <w:pPr>
        <w:pStyle w:val="Heading1"/>
        <w:keepNext/>
        <w:spacing w:before="280" w:after="120"/>
      </w:pPr>
      <w:r>
        <w:rPr>
          <w:rFonts w:ascii="Calibri" w:hAnsi="Calibri"/>
          <w:b/>
          <w:color w:val="1F4E79"/>
          <w:sz w:val="28"/>
        </w:rPr>
        <w:t>3. Resolución Técnica de Consignas Oficiales (C1 a C6)</w:t>
      </w:r>
    </w:p>
    <w:p>
      <w:pPr>
        <w:pStyle w:val="Heading2"/>
        <w:keepNext/>
        <w:spacing w:before="280" w:after="120"/>
      </w:pPr>
      <w:r>
        <w:rPr>
          <w:rFonts w:ascii="Calibri" w:hAnsi="Calibri"/>
          <w:b/>
          <w:color w:val="0E2841"/>
          <w:sz w:val="24"/>
        </w:rPr>
        <w:t>Consigna 1: Taxonomía de Activos (ISO 14224) y Matriz de Criticidad</w:t>
      </w:r>
    </w:p>
    <w:p>
      <w:r>
        <w:rPr>
          <w:b/>
        </w:rPr>
        <w:t>a) Arbolado Jerárquico del Sistema y Criterio de Decisión Reparación vs. Reemplazo:</w:t>
        <w:br/>
      </w:r>
      <w:r>
        <w:t>De acuerdo con los lineamientos de la norma internacional ISO 14224, la estructura jerárquica del activo se clasifica en niveles sucesivos para asegurar la integridad de la gestión técnica y contable:</w:t>
        <w:br/>
        <w:t>• Nivel 2: Complejo Industrial de Molienda y Procesamiento de Minerales.</w:t>
        <w:br/>
        <w:t>• Nivel 3: Sección Operativa de Elevación y Transporte de Áridos.</w:t>
        <w:br/>
        <w:t>• Nivel 4 (Unidad de Equipo Principal): Cinta Transportadora Principal (CV-01).</w:t>
        <w:br/>
        <w:t>• Nivel 5 (Sistemas Funcionales): SYS-MOT (Unidad Motriz), SYS-BAN (Banda y Rodillos), SYS-TEN (Tensionado Oleohidráulico), SYS-EST (Estructura y Limpieza), SYS-ELE (Control y Seguridad Eléctrica).</w:t>
        <w:br/>
        <w:t>• Nivel 6 (Componente / Ítem Mantenible): Rodamiento SKF 22220 EK, Bobinado de estator, Latiguillo hidráulico flexible, Hoja rascadora de uretano.</w:t>
        <w:br/>
        <w:t>• Nivel 8 (Parte Indivisible): Pistas de rodadura de rodamiento, retenes de labio, aislación de esmalte de cobre.</w:t>
      </w:r>
    </w:p>
    <w:tbl>
      <w:tblPr>
        <w:tblW w:type="auto" w:w="0"/>
        <w:jc w:val="center"/>
        <w:tblLayout w:type="fixed"/>
        <w:tblLook w:firstColumn="1" w:firstRow="1" w:lastColumn="0" w:lastRow="0" w:noHBand="0" w:noVBand="1" w:val="04A0"/>
      </w:tblPr>
      <w:tblGrid>
        <w:gridCol w:w="9792"/>
      </w:tblGrid>
      <w:tr>
        <w:tc>
          <w:tcPr>
            <w:tcW w:type="dxa" w:w="9360"/>
            <w:shd w:fill="F2F5F9"/>
            <w:tcMar>
              <w:top w:w="120" w:type="dxa"/>
              <w:bottom w:w="120" w:type="dxa"/>
              <w:left w:w="180" w:type="dxa"/>
              <w:right w:w="180" w:type="dxa"/>
            </w:tcMar>
            <w:tcBorders>
              <w:top w:val="none"/>
              <w:left w:val="single" w:sz="24" w:space="0" w:color="1F4E79"/>
              <w:bottom w:val="none"/>
              <w:right w:val="none"/>
            </w:tcBorders>
          </w:tcPr>
          <w:p>
            <w:pPr>
              <w:spacing w:before="40" w:after="40"/>
            </w:pPr>
            <w:r>
              <w:rPr>
                <w:rFonts w:ascii="Calibri" w:hAnsi="Calibri"/>
                <w:b/>
                <w:color w:val="1F4E79"/>
                <w:sz w:val="20"/>
              </w:rPr>
              <w:t>Límite Metodológico: Reparación (MTBF) vs. Reemplazo (MTTF)</w:t>
              <w:br/>
            </w:r>
            <w:r>
              <w:rPr>
                <w:rFonts w:ascii="Calibri" w:hAnsi="Calibri"/>
                <w:color w:val="333333"/>
                <w:sz w:val="19"/>
              </w:rPr>
              <w:t>• Nivel de Reparación (Niveles 4 y 5): Activos mecánicos complejos reparables (motor 55 kW, reductor de velocidad, polea motriz). Se gestionan bajo el parámetro MTBF (Mean Time Between Failures), buscando extender su confiabilidad mediante intervenciones programadas.</w:t>
              <w:br/>
              <w:t>• Nivel de Reemplazo (Niveles 6 y 8): Componentes unitarios no reparables económicamente (rodamientos, mangueras hidráulicas, rascadores). Se gestionan bajo el parámetro MTTF (Mean Time To Failure), realizándose su descarte definitivo y sustitución ante detección de degradación.</w:t>
            </w:r>
          </w:p>
        </w:tc>
      </w:tr>
    </w:tbl>
    <w:p>
      <w:pPr>
        <w:spacing w:after="80"/>
      </w:pPr>
    </w:p>
    <w:p>
      <w:r>
        <w:rPr>
          <w:b/>
        </w:rPr>
        <w:t>b) Matriz de Criticidad de Subsistemas (Escalas Discretas Cátedra):</w:t>
        <w:br/>
      </w:r>
      <w:r>
        <w:t>Se evalúa el riesgo relativo mediante la formulación oficial Ci = S + A + O + D y Criticidad Total C = F × Ci, respetando estrictamente las escalas discretas de la cátedra:</w:t>
        <w:br/>
        <w:t>• Frecuencia (F): 1 (Rara), 2 (Ocasional), 3 (Frecuente), 4 (Muy Frecuente).</w:t>
        <w:br/>
        <w:t>• Seguridad (S): 1 (Sin daño), 2 (Lesión leve), 3 (Grave / Incapacitante).</w:t>
        <w:br/>
        <w:t>• Medio Ambiente (A): 1 (Sin impacto), 2 (Contenido local), 3 (Severo / Derrame externo).</w:t>
        <w:br/>
        <w:t>• Impacto Operacional (O): 1 (Sin parada), 3 (Parada parcial), 10 (Parada total con riesgo de petrificación en reactor).</w:t>
        <w:br/>
        <w:t>• Costo Directo (D): 1 (&lt; $1,000 USD), 2 ($1,000 - $3,000 USD), 4 (&gt; $3,000 USD).</w:t>
        <w:br/>
        <w:t>Límites de Clasificación: Clase A - CRÍTICO (C ≥ 15), Clase B - SEMICRÍTICO (10 ≤ C &lt; 15), Clase C - NO CRÍTICO (C &lt; 10).</w:t>
      </w:r>
    </w:p>
    <w:tbl>
      <w:tblPr>
        <w:tblW w:type="auto" w:w="0"/>
        <w:jc w:val="center"/>
        <w:tblLayout w:type="fixed"/>
        <w:tblLook w:firstColumn="1" w:firstRow="1" w:lastColumn="0" w:lastRow="0" w:noHBand="0" w:noVBand="1" w:val="04A0"/>
      </w:tblPr>
      <w:tblGrid>
        <w:gridCol w:w="1088"/>
        <w:gridCol w:w="1088"/>
        <w:gridCol w:w="1088"/>
        <w:gridCol w:w="1088"/>
        <w:gridCol w:w="1088"/>
        <w:gridCol w:w="1088"/>
        <w:gridCol w:w="1088"/>
        <w:gridCol w:w="1088"/>
        <w:gridCol w:w="1088"/>
      </w:tblGrid>
      <w:tr>
        <w:tc>
          <w:tcPr>
            <w:tcW w:type="dxa" w:w="1088"/>
            <w:shd w:fill="1F4E79"/>
            <w:tcMar>
              <w:top w:w="120" w:type="dxa"/>
              <w:bottom w:w="120" w:type="dxa"/>
              <w:left w:w="130" w:type="dxa"/>
              <w:right w:w="130" w:type="dxa"/>
            </w:tcMar>
            <w:vAlign w:val="center"/>
          </w:tcPr>
          <w:p>
            <w:pPr>
              <w:spacing w:before="0" w:after="0"/>
              <w:jc w:val="center"/>
            </w:pPr>
            <w:r>
              <w:rPr>
                <w:rFonts w:ascii="Calibri" w:hAnsi="Calibri"/>
                <w:b/>
                <w:color w:val="FFFFFF"/>
                <w:sz w:val="18"/>
              </w:rPr>
              <w:t>Subsistema</w:t>
            </w:r>
          </w:p>
        </w:tc>
        <w:tc>
          <w:tcPr>
            <w:tcW w:type="dxa" w:w="1088"/>
            <w:shd w:fill="1F4E79"/>
            <w:tcMar>
              <w:top w:w="120" w:type="dxa"/>
              <w:bottom w:w="120" w:type="dxa"/>
              <w:left w:w="130" w:type="dxa"/>
              <w:right w:w="130" w:type="dxa"/>
            </w:tcMar>
            <w:vAlign w:val="center"/>
          </w:tcPr>
          <w:p>
            <w:pPr>
              <w:spacing w:before="0" w:after="0"/>
              <w:jc w:val="center"/>
            </w:pPr>
            <w:r>
              <w:rPr>
                <w:rFonts w:ascii="Calibri" w:hAnsi="Calibri"/>
                <w:b/>
                <w:color w:val="FFFFFF"/>
                <w:sz w:val="18"/>
              </w:rPr>
              <w:t>F</w:t>
            </w:r>
          </w:p>
        </w:tc>
        <w:tc>
          <w:tcPr>
            <w:tcW w:type="dxa" w:w="1088"/>
            <w:shd w:fill="1F4E79"/>
            <w:tcMar>
              <w:top w:w="120" w:type="dxa"/>
              <w:bottom w:w="120" w:type="dxa"/>
              <w:left w:w="130" w:type="dxa"/>
              <w:right w:w="130" w:type="dxa"/>
            </w:tcMar>
            <w:vAlign w:val="center"/>
          </w:tcPr>
          <w:p>
            <w:pPr>
              <w:spacing w:before="0" w:after="0"/>
              <w:jc w:val="center"/>
            </w:pPr>
            <w:r>
              <w:rPr>
                <w:rFonts w:ascii="Calibri" w:hAnsi="Calibri"/>
                <w:b/>
                <w:color w:val="FFFFFF"/>
                <w:sz w:val="18"/>
              </w:rPr>
              <w:t>S</w:t>
            </w:r>
          </w:p>
        </w:tc>
        <w:tc>
          <w:tcPr>
            <w:tcW w:type="dxa" w:w="1088"/>
            <w:shd w:fill="1F4E79"/>
            <w:tcMar>
              <w:top w:w="120" w:type="dxa"/>
              <w:bottom w:w="120" w:type="dxa"/>
              <w:left w:w="130" w:type="dxa"/>
              <w:right w:w="130" w:type="dxa"/>
            </w:tcMar>
            <w:vAlign w:val="center"/>
          </w:tcPr>
          <w:p>
            <w:pPr>
              <w:spacing w:before="0" w:after="0"/>
              <w:jc w:val="center"/>
            </w:pPr>
            <w:r>
              <w:rPr>
                <w:rFonts w:ascii="Calibri" w:hAnsi="Calibri"/>
                <w:b/>
                <w:color w:val="FFFFFF"/>
                <w:sz w:val="18"/>
              </w:rPr>
              <w:t>A</w:t>
            </w:r>
          </w:p>
        </w:tc>
        <w:tc>
          <w:tcPr>
            <w:tcW w:type="dxa" w:w="1088"/>
            <w:shd w:fill="1F4E79"/>
            <w:tcMar>
              <w:top w:w="120" w:type="dxa"/>
              <w:bottom w:w="120" w:type="dxa"/>
              <w:left w:w="130" w:type="dxa"/>
              <w:right w:w="130" w:type="dxa"/>
            </w:tcMar>
            <w:vAlign w:val="center"/>
          </w:tcPr>
          <w:p>
            <w:pPr>
              <w:spacing w:before="0" w:after="0"/>
              <w:jc w:val="center"/>
            </w:pPr>
            <w:r>
              <w:rPr>
                <w:rFonts w:ascii="Calibri" w:hAnsi="Calibri"/>
                <w:b/>
                <w:color w:val="FFFFFF"/>
                <w:sz w:val="18"/>
              </w:rPr>
              <w:t>O</w:t>
            </w:r>
          </w:p>
        </w:tc>
        <w:tc>
          <w:tcPr>
            <w:tcW w:type="dxa" w:w="1088"/>
            <w:shd w:fill="1F4E79"/>
            <w:tcMar>
              <w:top w:w="120" w:type="dxa"/>
              <w:bottom w:w="120" w:type="dxa"/>
              <w:left w:w="130" w:type="dxa"/>
              <w:right w:w="130" w:type="dxa"/>
            </w:tcMar>
            <w:vAlign w:val="center"/>
          </w:tcPr>
          <w:p>
            <w:pPr>
              <w:spacing w:before="0" w:after="0"/>
              <w:jc w:val="center"/>
            </w:pPr>
            <w:r>
              <w:rPr>
                <w:rFonts w:ascii="Calibri" w:hAnsi="Calibri"/>
                <w:b/>
                <w:color w:val="FFFFFF"/>
                <w:sz w:val="18"/>
              </w:rPr>
              <w:t>D</w:t>
            </w:r>
          </w:p>
        </w:tc>
        <w:tc>
          <w:tcPr>
            <w:tcW w:type="dxa" w:w="1088"/>
            <w:shd w:fill="1F4E79"/>
            <w:tcMar>
              <w:top w:w="120" w:type="dxa"/>
              <w:bottom w:w="120" w:type="dxa"/>
              <w:left w:w="130" w:type="dxa"/>
              <w:right w:w="130" w:type="dxa"/>
            </w:tcMar>
            <w:vAlign w:val="center"/>
          </w:tcPr>
          <w:p>
            <w:pPr>
              <w:spacing w:before="0" w:after="0"/>
              <w:jc w:val="center"/>
            </w:pPr>
            <w:r>
              <w:rPr>
                <w:rFonts w:ascii="Calibri" w:hAnsi="Calibri"/>
                <w:b/>
                <w:color w:val="FFFFFF"/>
                <w:sz w:val="18"/>
              </w:rPr>
              <w:t>Ci</w:t>
            </w:r>
          </w:p>
        </w:tc>
        <w:tc>
          <w:tcPr>
            <w:tcW w:type="dxa" w:w="1088"/>
            <w:shd w:fill="1F4E79"/>
            <w:tcMar>
              <w:top w:w="120" w:type="dxa"/>
              <w:bottom w:w="120" w:type="dxa"/>
              <w:left w:w="130" w:type="dxa"/>
              <w:right w:w="130" w:type="dxa"/>
            </w:tcMar>
            <w:vAlign w:val="center"/>
          </w:tcPr>
          <w:p>
            <w:pPr>
              <w:spacing w:before="0" w:after="0"/>
              <w:jc w:val="center"/>
            </w:pPr>
            <w:r>
              <w:rPr>
                <w:rFonts w:ascii="Calibri" w:hAnsi="Calibri"/>
                <w:b/>
                <w:color w:val="FFFFFF"/>
                <w:sz w:val="18"/>
              </w:rPr>
              <w:t>C</w:t>
            </w:r>
          </w:p>
        </w:tc>
        <w:tc>
          <w:tcPr>
            <w:tcW w:type="dxa" w:w="1088"/>
            <w:shd w:fill="1F4E79"/>
            <w:tcMar>
              <w:top w:w="120" w:type="dxa"/>
              <w:bottom w:w="120" w:type="dxa"/>
              <w:left w:w="130" w:type="dxa"/>
              <w:right w:w="130" w:type="dxa"/>
            </w:tcMar>
            <w:vAlign w:val="center"/>
          </w:tcPr>
          <w:p>
            <w:pPr>
              <w:spacing w:before="0" w:after="0"/>
              <w:jc w:val="center"/>
            </w:pPr>
            <w:r>
              <w:rPr>
                <w:rFonts w:ascii="Calibri" w:hAnsi="Calibri"/>
                <w:b/>
                <w:color w:val="FFFFFF"/>
                <w:sz w:val="18"/>
              </w:rPr>
              <w:t>Clase Asignada</w:t>
            </w:r>
          </w:p>
        </w:tc>
      </w:tr>
      <w:tr>
        <w:tc>
          <w:tcPr>
            <w:tcW w:type="dxa" w:w="2592"/>
            <w:shd w:fill="FFFFFF"/>
            <w:tcMar>
              <w:top w:w="60" w:type="dxa"/>
              <w:bottom w:w="60" w:type="dxa"/>
              <w:left w:w="70" w:type="dxa"/>
              <w:right w:w="70" w:type="dxa"/>
            </w:tcMar>
            <w:vAlign w:val="center"/>
          </w:tcPr>
          <w:p>
            <w:pPr>
              <w:spacing w:before="0" w:after="0"/>
              <w:jc w:val="left"/>
            </w:pPr>
            <w:r>
              <w:rPr>
                <w:rFonts w:ascii="Calibri" w:hAnsi="Calibri"/>
                <w:sz w:val="17"/>
              </w:rPr>
              <w:t>Unidad Motriz (SYS-MOT)</w:t>
            </w:r>
          </w:p>
        </w:tc>
        <w:tc>
          <w:tcPr>
            <w:tcW w:type="dxa" w:w="576"/>
            <w:shd w:fill="FFFFFF"/>
            <w:tcMar>
              <w:top w:w="60" w:type="dxa"/>
              <w:bottom w:w="60" w:type="dxa"/>
              <w:left w:w="70" w:type="dxa"/>
              <w:right w:w="70" w:type="dxa"/>
            </w:tcMar>
            <w:vAlign w:val="center"/>
          </w:tcPr>
          <w:p>
            <w:pPr>
              <w:spacing w:before="0" w:after="0"/>
              <w:jc w:val="center"/>
            </w:pPr>
            <w:r>
              <w:rPr>
                <w:rFonts w:ascii="Calibri" w:hAnsi="Calibri"/>
                <w:sz w:val="17"/>
              </w:rPr>
              <w:t>3</w:t>
            </w:r>
          </w:p>
        </w:tc>
        <w:tc>
          <w:tcPr>
            <w:tcW w:type="dxa" w:w="576"/>
            <w:shd w:fill="FFFFFF"/>
            <w:tcMar>
              <w:top w:w="60" w:type="dxa"/>
              <w:bottom w:w="60" w:type="dxa"/>
              <w:left w:w="70" w:type="dxa"/>
              <w:right w:w="70" w:type="dxa"/>
            </w:tcMar>
            <w:vAlign w:val="center"/>
          </w:tcPr>
          <w:p>
            <w:pPr>
              <w:spacing w:before="0" w:after="0"/>
              <w:jc w:val="center"/>
            </w:pPr>
            <w:r>
              <w:rPr>
                <w:rFonts w:ascii="Calibri" w:hAnsi="Calibri"/>
                <w:sz w:val="17"/>
              </w:rPr>
              <w:t>2</w:t>
            </w:r>
          </w:p>
        </w:tc>
        <w:tc>
          <w:tcPr>
            <w:tcW w:type="dxa" w:w="576"/>
            <w:shd w:fill="FFFFFF"/>
            <w:tcMar>
              <w:top w:w="60" w:type="dxa"/>
              <w:bottom w:w="60" w:type="dxa"/>
              <w:left w:w="70" w:type="dxa"/>
              <w:right w:w="70" w:type="dxa"/>
            </w:tcMar>
            <w:vAlign w:val="center"/>
          </w:tcPr>
          <w:p>
            <w:pPr>
              <w:spacing w:before="0" w:after="0"/>
              <w:jc w:val="center"/>
            </w:pPr>
            <w:r>
              <w:rPr>
                <w:rFonts w:ascii="Calibri" w:hAnsi="Calibri"/>
                <w:sz w:val="17"/>
              </w:rPr>
              <w:t>1</w:t>
            </w:r>
          </w:p>
        </w:tc>
        <w:tc>
          <w:tcPr>
            <w:tcW w:type="dxa" w:w="576"/>
            <w:shd w:fill="FFFFFF"/>
            <w:tcMar>
              <w:top w:w="60" w:type="dxa"/>
              <w:bottom w:w="60" w:type="dxa"/>
              <w:left w:w="70" w:type="dxa"/>
              <w:right w:w="70" w:type="dxa"/>
            </w:tcMar>
            <w:vAlign w:val="center"/>
          </w:tcPr>
          <w:p>
            <w:pPr>
              <w:spacing w:before="0" w:after="0"/>
              <w:jc w:val="center"/>
            </w:pPr>
            <w:r>
              <w:rPr>
                <w:rFonts w:ascii="Calibri" w:hAnsi="Calibri"/>
                <w:sz w:val="17"/>
              </w:rPr>
              <w:t>10</w:t>
            </w:r>
          </w:p>
        </w:tc>
        <w:tc>
          <w:tcPr>
            <w:tcW w:type="dxa" w:w="576"/>
            <w:shd w:fill="FFFFFF"/>
            <w:tcMar>
              <w:top w:w="60" w:type="dxa"/>
              <w:bottom w:w="60" w:type="dxa"/>
              <w:left w:w="70" w:type="dxa"/>
              <w:right w:w="70" w:type="dxa"/>
            </w:tcMar>
            <w:vAlign w:val="center"/>
          </w:tcPr>
          <w:p>
            <w:pPr>
              <w:spacing w:before="0" w:after="0"/>
              <w:jc w:val="center"/>
            </w:pPr>
            <w:r>
              <w:rPr>
                <w:rFonts w:ascii="Calibri" w:hAnsi="Calibri"/>
                <w:sz w:val="17"/>
              </w:rPr>
              <w:t>4</w:t>
            </w:r>
          </w:p>
        </w:tc>
        <w:tc>
          <w:tcPr>
            <w:tcW w:type="dxa" w:w="864"/>
            <w:shd w:fill="FFFFFF"/>
            <w:tcMar>
              <w:top w:w="60" w:type="dxa"/>
              <w:bottom w:w="60" w:type="dxa"/>
              <w:left w:w="70" w:type="dxa"/>
              <w:right w:w="70" w:type="dxa"/>
            </w:tcMar>
            <w:vAlign w:val="center"/>
          </w:tcPr>
          <w:p>
            <w:pPr>
              <w:spacing w:before="0" w:after="0"/>
              <w:jc w:val="center"/>
            </w:pPr>
            <w:r>
              <w:rPr>
                <w:rFonts w:ascii="Calibri" w:hAnsi="Calibri"/>
                <w:sz w:val="17"/>
              </w:rPr>
              <w:t>17</w:t>
            </w:r>
          </w:p>
        </w:tc>
        <w:tc>
          <w:tcPr>
            <w:tcW w:type="dxa" w:w="864"/>
            <w:shd w:fill="FFFFFF"/>
            <w:tcMar>
              <w:top w:w="60" w:type="dxa"/>
              <w:bottom w:w="60" w:type="dxa"/>
              <w:left w:w="70" w:type="dxa"/>
              <w:right w:w="70" w:type="dxa"/>
            </w:tcMar>
            <w:vAlign w:val="center"/>
          </w:tcPr>
          <w:p>
            <w:pPr>
              <w:spacing w:before="0" w:after="0"/>
              <w:jc w:val="center"/>
            </w:pPr>
            <w:r>
              <w:rPr>
                <w:rFonts w:ascii="Calibri" w:hAnsi="Calibri"/>
                <w:sz w:val="17"/>
              </w:rPr>
              <w:t>51</w:t>
            </w:r>
          </w:p>
        </w:tc>
        <w:tc>
          <w:tcPr>
            <w:tcW w:type="dxa" w:w="2160"/>
            <w:shd w:fill="FFFFFF"/>
            <w:tcMar>
              <w:top w:w="60" w:type="dxa"/>
              <w:bottom w:w="60" w:type="dxa"/>
              <w:left w:w="70" w:type="dxa"/>
              <w:right w:w="70" w:type="dxa"/>
            </w:tcMar>
            <w:vAlign w:val="center"/>
          </w:tcPr>
          <w:p>
            <w:pPr>
              <w:spacing w:before="0" w:after="0"/>
              <w:jc w:val="center"/>
            </w:pPr>
            <w:r>
              <w:rPr>
                <w:rFonts w:ascii="Calibri" w:hAnsi="Calibri"/>
                <w:b/>
                <w:color w:val="C00000"/>
                <w:sz w:val="17"/>
              </w:rPr>
              <w:t>Clase A - Crítico</w:t>
            </w:r>
          </w:p>
        </w:tc>
      </w:tr>
      <w:tr>
        <w:tc>
          <w:tcPr>
            <w:tcW w:type="dxa" w:w="2592"/>
            <w:shd w:fill="F9FBFD"/>
            <w:tcMar>
              <w:top w:w="60" w:type="dxa"/>
              <w:bottom w:w="60" w:type="dxa"/>
              <w:left w:w="70" w:type="dxa"/>
              <w:right w:w="70" w:type="dxa"/>
            </w:tcMar>
            <w:vAlign w:val="center"/>
          </w:tcPr>
          <w:p>
            <w:pPr>
              <w:spacing w:before="0" w:after="0"/>
              <w:jc w:val="left"/>
            </w:pPr>
            <w:r>
              <w:rPr>
                <w:rFonts w:ascii="Calibri" w:hAnsi="Calibri"/>
                <w:sz w:val="17"/>
              </w:rPr>
              <w:t>Banda y Rodillos (SYS-BAN)</w:t>
            </w:r>
          </w:p>
        </w:tc>
        <w:tc>
          <w:tcPr>
            <w:tcW w:type="dxa" w:w="576"/>
            <w:shd w:fill="F9FBFD"/>
            <w:tcMar>
              <w:top w:w="60" w:type="dxa"/>
              <w:bottom w:w="60" w:type="dxa"/>
              <w:left w:w="70" w:type="dxa"/>
              <w:right w:w="70" w:type="dxa"/>
            </w:tcMar>
            <w:vAlign w:val="center"/>
          </w:tcPr>
          <w:p>
            <w:pPr>
              <w:spacing w:before="0" w:after="0"/>
              <w:jc w:val="center"/>
            </w:pPr>
            <w:r>
              <w:rPr>
                <w:rFonts w:ascii="Calibri" w:hAnsi="Calibri"/>
                <w:sz w:val="17"/>
              </w:rPr>
              <w:t>3</w:t>
            </w:r>
          </w:p>
        </w:tc>
        <w:tc>
          <w:tcPr>
            <w:tcW w:type="dxa" w:w="576"/>
            <w:shd w:fill="F9FBFD"/>
            <w:tcMar>
              <w:top w:w="60" w:type="dxa"/>
              <w:bottom w:w="60" w:type="dxa"/>
              <w:left w:w="70" w:type="dxa"/>
              <w:right w:w="70" w:type="dxa"/>
            </w:tcMar>
            <w:vAlign w:val="center"/>
          </w:tcPr>
          <w:p>
            <w:pPr>
              <w:spacing w:before="0" w:after="0"/>
              <w:jc w:val="center"/>
            </w:pPr>
            <w:r>
              <w:rPr>
                <w:rFonts w:ascii="Calibri" w:hAnsi="Calibri"/>
                <w:sz w:val="17"/>
              </w:rPr>
              <w:t>2</w:t>
            </w:r>
          </w:p>
        </w:tc>
        <w:tc>
          <w:tcPr>
            <w:tcW w:type="dxa" w:w="576"/>
            <w:shd w:fill="F9FBFD"/>
            <w:tcMar>
              <w:top w:w="60" w:type="dxa"/>
              <w:bottom w:w="60" w:type="dxa"/>
              <w:left w:w="70" w:type="dxa"/>
              <w:right w:w="70" w:type="dxa"/>
            </w:tcMar>
            <w:vAlign w:val="center"/>
          </w:tcPr>
          <w:p>
            <w:pPr>
              <w:spacing w:before="0" w:after="0"/>
              <w:jc w:val="center"/>
            </w:pPr>
            <w:r>
              <w:rPr>
                <w:rFonts w:ascii="Calibri" w:hAnsi="Calibri"/>
                <w:sz w:val="17"/>
              </w:rPr>
              <w:t>1</w:t>
            </w:r>
          </w:p>
        </w:tc>
        <w:tc>
          <w:tcPr>
            <w:tcW w:type="dxa" w:w="576"/>
            <w:shd w:fill="F9FBFD"/>
            <w:tcMar>
              <w:top w:w="60" w:type="dxa"/>
              <w:bottom w:w="60" w:type="dxa"/>
              <w:left w:w="70" w:type="dxa"/>
              <w:right w:w="70" w:type="dxa"/>
            </w:tcMar>
            <w:vAlign w:val="center"/>
          </w:tcPr>
          <w:p>
            <w:pPr>
              <w:spacing w:before="0" w:after="0"/>
              <w:jc w:val="center"/>
            </w:pPr>
            <w:r>
              <w:rPr>
                <w:rFonts w:ascii="Calibri" w:hAnsi="Calibri"/>
                <w:sz w:val="17"/>
              </w:rPr>
              <w:t>10</w:t>
            </w:r>
          </w:p>
        </w:tc>
        <w:tc>
          <w:tcPr>
            <w:tcW w:type="dxa" w:w="576"/>
            <w:shd w:fill="F9FBFD"/>
            <w:tcMar>
              <w:top w:w="60" w:type="dxa"/>
              <w:bottom w:w="60" w:type="dxa"/>
              <w:left w:w="70" w:type="dxa"/>
              <w:right w:w="70" w:type="dxa"/>
            </w:tcMar>
            <w:vAlign w:val="center"/>
          </w:tcPr>
          <w:p>
            <w:pPr>
              <w:spacing w:before="0" w:after="0"/>
              <w:jc w:val="center"/>
            </w:pPr>
            <w:r>
              <w:rPr>
                <w:rFonts w:ascii="Calibri" w:hAnsi="Calibri"/>
                <w:sz w:val="17"/>
              </w:rPr>
              <w:t>4</w:t>
            </w:r>
          </w:p>
        </w:tc>
        <w:tc>
          <w:tcPr>
            <w:tcW w:type="dxa" w:w="864"/>
            <w:shd w:fill="F9FBFD"/>
            <w:tcMar>
              <w:top w:w="60" w:type="dxa"/>
              <w:bottom w:w="60" w:type="dxa"/>
              <w:left w:w="70" w:type="dxa"/>
              <w:right w:w="70" w:type="dxa"/>
            </w:tcMar>
            <w:vAlign w:val="center"/>
          </w:tcPr>
          <w:p>
            <w:pPr>
              <w:spacing w:before="0" w:after="0"/>
              <w:jc w:val="center"/>
            </w:pPr>
            <w:r>
              <w:rPr>
                <w:rFonts w:ascii="Calibri" w:hAnsi="Calibri"/>
                <w:sz w:val="17"/>
              </w:rPr>
              <w:t>17</w:t>
            </w:r>
          </w:p>
        </w:tc>
        <w:tc>
          <w:tcPr>
            <w:tcW w:type="dxa" w:w="864"/>
            <w:shd w:fill="F9FBFD"/>
            <w:tcMar>
              <w:top w:w="60" w:type="dxa"/>
              <w:bottom w:w="60" w:type="dxa"/>
              <w:left w:w="70" w:type="dxa"/>
              <w:right w:w="70" w:type="dxa"/>
            </w:tcMar>
            <w:vAlign w:val="center"/>
          </w:tcPr>
          <w:p>
            <w:pPr>
              <w:spacing w:before="0" w:after="0"/>
              <w:jc w:val="center"/>
            </w:pPr>
            <w:r>
              <w:rPr>
                <w:rFonts w:ascii="Calibri" w:hAnsi="Calibri"/>
                <w:sz w:val="17"/>
              </w:rPr>
              <w:t>51</w:t>
            </w:r>
          </w:p>
        </w:tc>
        <w:tc>
          <w:tcPr>
            <w:tcW w:type="dxa" w:w="2160"/>
            <w:shd w:fill="F9FBFD"/>
            <w:tcMar>
              <w:top w:w="60" w:type="dxa"/>
              <w:bottom w:w="60" w:type="dxa"/>
              <w:left w:w="70" w:type="dxa"/>
              <w:right w:w="70" w:type="dxa"/>
            </w:tcMar>
            <w:vAlign w:val="center"/>
          </w:tcPr>
          <w:p>
            <w:pPr>
              <w:spacing w:before="0" w:after="0"/>
              <w:jc w:val="center"/>
            </w:pPr>
            <w:r>
              <w:rPr>
                <w:rFonts w:ascii="Calibri" w:hAnsi="Calibri"/>
                <w:b/>
                <w:color w:val="C00000"/>
                <w:sz w:val="17"/>
              </w:rPr>
              <w:t>Clase A - Crítico</w:t>
            </w:r>
          </w:p>
        </w:tc>
      </w:tr>
      <w:tr>
        <w:tc>
          <w:tcPr>
            <w:tcW w:type="dxa" w:w="2592"/>
            <w:shd w:fill="FFFFFF"/>
            <w:tcMar>
              <w:top w:w="60" w:type="dxa"/>
              <w:bottom w:w="60" w:type="dxa"/>
              <w:left w:w="70" w:type="dxa"/>
              <w:right w:w="70" w:type="dxa"/>
            </w:tcMar>
            <w:vAlign w:val="center"/>
          </w:tcPr>
          <w:p>
            <w:pPr>
              <w:spacing w:before="0" w:after="0"/>
              <w:jc w:val="left"/>
            </w:pPr>
            <w:r>
              <w:rPr>
                <w:rFonts w:ascii="Calibri" w:hAnsi="Calibri"/>
                <w:sz w:val="17"/>
              </w:rPr>
              <w:t>Sistema de Tensión (SYS-TEN)</w:t>
            </w:r>
          </w:p>
        </w:tc>
        <w:tc>
          <w:tcPr>
            <w:tcW w:type="dxa" w:w="576"/>
            <w:shd w:fill="FFFFFF"/>
            <w:tcMar>
              <w:top w:w="60" w:type="dxa"/>
              <w:bottom w:w="60" w:type="dxa"/>
              <w:left w:w="70" w:type="dxa"/>
              <w:right w:w="70" w:type="dxa"/>
            </w:tcMar>
            <w:vAlign w:val="center"/>
          </w:tcPr>
          <w:p>
            <w:pPr>
              <w:spacing w:before="0" w:after="0"/>
              <w:jc w:val="center"/>
            </w:pPr>
            <w:r>
              <w:rPr>
                <w:rFonts w:ascii="Calibri" w:hAnsi="Calibri"/>
                <w:sz w:val="17"/>
              </w:rPr>
              <w:t>2</w:t>
            </w:r>
          </w:p>
        </w:tc>
        <w:tc>
          <w:tcPr>
            <w:tcW w:type="dxa" w:w="576"/>
            <w:shd w:fill="FFFFFF"/>
            <w:tcMar>
              <w:top w:w="60" w:type="dxa"/>
              <w:bottom w:w="60" w:type="dxa"/>
              <w:left w:w="70" w:type="dxa"/>
              <w:right w:w="70" w:type="dxa"/>
            </w:tcMar>
            <w:vAlign w:val="center"/>
          </w:tcPr>
          <w:p>
            <w:pPr>
              <w:spacing w:before="0" w:after="0"/>
              <w:jc w:val="center"/>
            </w:pPr>
            <w:r>
              <w:rPr>
                <w:rFonts w:ascii="Calibri" w:hAnsi="Calibri"/>
                <w:sz w:val="17"/>
              </w:rPr>
              <w:t>2</w:t>
            </w:r>
          </w:p>
        </w:tc>
        <w:tc>
          <w:tcPr>
            <w:tcW w:type="dxa" w:w="576"/>
            <w:shd w:fill="FFFFFF"/>
            <w:tcMar>
              <w:top w:w="60" w:type="dxa"/>
              <w:bottom w:w="60" w:type="dxa"/>
              <w:left w:w="70" w:type="dxa"/>
              <w:right w:w="70" w:type="dxa"/>
            </w:tcMar>
            <w:vAlign w:val="center"/>
          </w:tcPr>
          <w:p>
            <w:pPr>
              <w:spacing w:before="0" w:after="0"/>
              <w:jc w:val="center"/>
            </w:pPr>
            <w:r>
              <w:rPr>
                <w:rFonts w:ascii="Calibri" w:hAnsi="Calibri"/>
                <w:sz w:val="17"/>
              </w:rPr>
              <w:t>2</w:t>
            </w:r>
          </w:p>
        </w:tc>
        <w:tc>
          <w:tcPr>
            <w:tcW w:type="dxa" w:w="576"/>
            <w:shd w:fill="FFFFFF"/>
            <w:tcMar>
              <w:top w:w="60" w:type="dxa"/>
              <w:bottom w:w="60" w:type="dxa"/>
              <w:left w:w="70" w:type="dxa"/>
              <w:right w:w="70" w:type="dxa"/>
            </w:tcMar>
            <w:vAlign w:val="center"/>
          </w:tcPr>
          <w:p>
            <w:pPr>
              <w:spacing w:before="0" w:after="0"/>
              <w:jc w:val="center"/>
            </w:pPr>
            <w:r>
              <w:rPr>
                <w:rFonts w:ascii="Calibri" w:hAnsi="Calibri"/>
                <w:sz w:val="17"/>
              </w:rPr>
              <w:t>3</w:t>
            </w:r>
          </w:p>
        </w:tc>
        <w:tc>
          <w:tcPr>
            <w:tcW w:type="dxa" w:w="576"/>
            <w:shd w:fill="FFFFFF"/>
            <w:tcMar>
              <w:top w:w="60" w:type="dxa"/>
              <w:bottom w:w="60" w:type="dxa"/>
              <w:left w:w="70" w:type="dxa"/>
              <w:right w:w="70" w:type="dxa"/>
            </w:tcMar>
            <w:vAlign w:val="center"/>
          </w:tcPr>
          <w:p>
            <w:pPr>
              <w:spacing w:before="0" w:after="0"/>
              <w:jc w:val="center"/>
            </w:pPr>
            <w:r>
              <w:rPr>
                <w:rFonts w:ascii="Calibri" w:hAnsi="Calibri"/>
                <w:sz w:val="17"/>
              </w:rPr>
              <w:t>1</w:t>
            </w:r>
          </w:p>
        </w:tc>
        <w:tc>
          <w:tcPr>
            <w:tcW w:type="dxa" w:w="864"/>
            <w:shd w:fill="FFFFFF"/>
            <w:tcMar>
              <w:top w:w="60" w:type="dxa"/>
              <w:bottom w:w="60" w:type="dxa"/>
              <w:left w:w="70" w:type="dxa"/>
              <w:right w:w="70" w:type="dxa"/>
            </w:tcMar>
            <w:vAlign w:val="center"/>
          </w:tcPr>
          <w:p>
            <w:pPr>
              <w:spacing w:before="0" w:after="0"/>
              <w:jc w:val="center"/>
            </w:pPr>
            <w:r>
              <w:rPr>
                <w:rFonts w:ascii="Calibri" w:hAnsi="Calibri"/>
                <w:sz w:val="17"/>
              </w:rPr>
              <w:t>8</w:t>
            </w:r>
          </w:p>
        </w:tc>
        <w:tc>
          <w:tcPr>
            <w:tcW w:type="dxa" w:w="864"/>
            <w:shd w:fill="FFFFFF"/>
            <w:tcMar>
              <w:top w:w="60" w:type="dxa"/>
              <w:bottom w:w="60" w:type="dxa"/>
              <w:left w:w="70" w:type="dxa"/>
              <w:right w:w="70" w:type="dxa"/>
            </w:tcMar>
            <w:vAlign w:val="center"/>
          </w:tcPr>
          <w:p>
            <w:pPr>
              <w:spacing w:before="0" w:after="0"/>
              <w:jc w:val="center"/>
            </w:pPr>
            <w:r>
              <w:rPr>
                <w:rFonts w:ascii="Calibri" w:hAnsi="Calibri"/>
                <w:sz w:val="17"/>
              </w:rPr>
              <w:t>16</w:t>
            </w:r>
          </w:p>
        </w:tc>
        <w:tc>
          <w:tcPr>
            <w:tcW w:type="dxa" w:w="2160"/>
            <w:shd w:fill="FFFFFF"/>
            <w:tcMar>
              <w:top w:w="60" w:type="dxa"/>
              <w:bottom w:w="60" w:type="dxa"/>
              <w:left w:w="70" w:type="dxa"/>
              <w:right w:w="70" w:type="dxa"/>
            </w:tcMar>
            <w:vAlign w:val="center"/>
          </w:tcPr>
          <w:p>
            <w:pPr>
              <w:spacing w:before="0" w:after="0"/>
              <w:jc w:val="center"/>
            </w:pPr>
            <w:r>
              <w:rPr>
                <w:rFonts w:ascii="Calibri" w:hAnsi="Calibri"/>
                <w:b/>
                <w:color w:val="C00000"/>
                <w:sz w:val="17"/>
              </w:rPr>
              <w:t>Clase A / B</w:t>
            </w:r>
          </w:p>
        </w:tc>
      </w:tr>
      <w:tr>
        <w:tc>
          <w:tcPr>
            <w:tcW w:type="dxa" w:w="2592"/>
            <w:shd w:fill="F9FBFD"/>
            <w:tcMar>
              <w:top w:w="60" w:type="dxa"/>
              <w:bottom w:w="60" w:type="dxa"/>
              <w:left w:w="70" w:type="dxa"/>
              <w:right w:w="70" w:type="dxa"/>
            </w:tcMar>
            <w:vAlign w:val="center"/>
          </w:tcPr>
          <w:p>
            <w:pPr>
              <w:spacing w:before="0" w:after="0"/>
              <w:jc w:val="left"/>
            </w:pPr>
            <w:r>
              <w:rPr>
                <w:rFonts w:ascii="Calibri" w:hAnsi="Calibri"/>
                <w:sz w:val="17"/>
              </w:rPr>
              <w:t>Estructura y Chasis (SYS-EST)</w:t>
            </w:r>
          </w:p>
        </w:tc>
        <w:tc>
          <w:tcPr>
            <w:tcW w:type="dxa" w:w="576"/>
            <w:shd w:fill="F9FBFD"/>
            <w:tcMar>
              <w:top w:w="60" w:type="dxa"/>
              <w:bottom w:w="60" w:type="dxa"/>
              <w:left w:w="70" w:type="dxa"/>
              <w:right w:w="70" w:type="dxa"/>
            </w:tcMar>
            <w:vAlign w:val="center"/>
          </w:tcPr>
          <w:p>
            <w:pPr>
              <w:spacing w:before="0" w:after="0"/>
              <w:jc w:val="center"/>
            </w:pPr>
            <w:r>
              <w:rPr>
                <w:rFonts w:ascii="Calibri" w:hAnsi="Calibri"/>
                <w:sz w:val="17"/>
              </w:rPr>
              <w:t>2</w:t>
            </w:r>
          </w:p>
        </w:tc>
        <w:tc>
          <w:tcPr>
            <w:tcW w:type="dxa" w:w="576"/>
            <w:shd w:fill="F9FBFD"/>
            <w:tcMar>
              <w:top w:w="60" w:type="dxa"/>
              <w:bottom w:w="60" w:type="dxa"/>
              <w:left w:w="70" w:type="dxa"/>
              <w:right w:w="70" w:type="dxa"/>
            </w:tcMar>
            <w:vAlign w:val="center"/>
          </w:tcPr>
          <w:p>
            <w:pPr>
              <w:spacing w:before="0" w:after="0"/>
              <w:jc w:val="center"/>
            </w:pPr>
            <w:r>
              <w:rPr>
                <w:rFonts w:ascii="Calibri" w:hAnsi="Calibri"/>
                <w:sz w:val="17"/>
              </w:rPr>
              <w:t>1</w:t>
            </w:r>
          </w:p>
        </w:tc>
        <w:tc>
          <w:tcPr>
            <w:tcW w:type="dxa" w:w="576"/>
            <w:shd w:fill="F9FBFD"/>
            <w:tcMar>
              <w:top w:w="60" w:type="dxa"/>
              <w:bottom w:w="60" w:type="dxa"/>
              <w:left w:w="70" w:type="dxa"/>
              <w:right w:w="70" w:type="dxa"/>
            </w:tcMar>
            <w:vAlign w:val="center"/>
          </w:tcPr>
          <w:p>
            <w:pPr>
              <w:spacing w:before="0" w:after="0"/>
              <w:jc w:val="center"/>
            </w:pPr>
            <w:r>
              <w:rPr>
                <w:rFonts w:ascii="Calibri" w:hAnsi="Calibri"/>
                <w:sz w:val="17"/>
              </w:rPr>
              <w:t>1</w:t>
            </w:r>
          </w:p>
        </w:tc>
        <w:tc>
          <w:tcPr>
            <w:tcW w:type="dxa" w:w="576"/>
            <w:shd w:fill="F9FBFD"/>
            <w:tcMar>
              <w:top w:w="60" w:type="dxa"/>
              <w:bottom w:w="60" w:type="dxa"/>
              <w:left w:w="70" w:type="dxa"/>
              <w:right w:w="70" w:type="dxa"/>
            </w:tcMar>
            <w:vAlign w:val="center"/>
          </w:tcPr>
          <w:p>
            <w:pPr>
              <w:spacing w:before="0" w:after="0"/>
              <w:jc w:val="center"/>
            </w:pPr>
            <w:r>
              <w:rPr>
                <w:rFonts w:ascii="Calibri" w:hAnsi="Calibri"/>
                <w:sz w:val="17"/>
              </w:rPr>
              <w:t>3</w:t>
            </w:r>
          </w:p>
        </w:tc>
        <w:tc>
          <w:tcPr>
            <w:tcW w:type="dxa" w:w="576"/>
            <w:shd w:fill="F9FBFD"/>
            <w:tcMar>
              <w:top w:w="60" w:type="dxa"/>
              <w:bottom w:w="60" w:type="dxa"/>
              <w:left w:w="70" w:type="dxa"/>
              <w:right w:w="70" w:type="dxa"/>
            </w:tcMar>
            <w:vAlign w:val="center"/>
          </w:tcPr>
          <w:p>
            <w:pPr>
              <w:spacing w:before="0" w:after="0"/>
              <w:jc w:val="center"/>
            </w:pPr>
            <w:r>
              <w:rPr>
                <w:rFonts w:ascii="Calibri" w:hAnsi="Calibri"/>
                <w:sz w:val="17"/>
              </w:rPr>
              <w:t>1</w:t>
            </w:r>
          </w:p>
        </w:tc>
        <w:tc>
          <w:tcPr>
            <w:tcW w:type="dxa" w:w="864"/>
            <w:shd w:fill="F9FBFD"/>
            <w:tcMar>
              <w:top w:w="60" w:type="dxa"/>
              <w:bottom w:w="60" w:type="dxa"/>
              <w:left w:w="70" w:type="dxa"/>
              <w:right w:w="70" w:type="dxa"/>
            </w:tcMar>
            <w:vAlign w:val="center"/>
          </w:tcPr>
          <w:p>
            <w:pPr>
              <w:spacing w:before="0" w:after="0"/>
              <w:jc w:val="center"/>
            </w:pPr>
            <w:r>
              <w:rPr>
                <w:rFonts w:ascii="Calibri" w:hAnsi="Calibri"/>
                <w:sz w:val="17"/>
              </w:rPr>
              <w:t>6</w:t>
            </w:r>
          </w:p>
        </w:tc>
        <w:tc>
          <w:tcPr>
            <w:tcW w:type="dxa" w:w="864"/>
            <w:shd w:fill="F9FBFD"/>
            <w:tcMar>
              <w:top w:w="60" w:type="dxa"/>
              <w:bottom w:w="60" w:type="dxa"/>
              <w:left w:w="70" w:type="dxa"/>
              <w:right w:w="70" w:type="dxa"/>
            </w:tcMar>
            <w:vAlign w:val="center"/>
          </w:tcPr>
          <w:p>
            <w:pPr>
              <w:spacing w:before="0" w:after="0"/>
              <w:jc w:val="center"/>
            </w:pPr>
            <w:r>
              <w:rPr>
                <w:rFonts w:ascii="Calibri" w:hAnsi="Calibri"/>
                <w:sz w:val="17"/>
              </w:rPr>
              <w:t>12</w:t>
            </w:r>
          </w:p>
        </w:tc>
        <w:tc>
          <w:tcPr>
            <w:tcW w:type="dxa" w:w="2160"/>
            <w:shd w:fill="F9FBFD"/>
            <w:tcMar>
              <w:top w:w="60" w:type="dxa"/>
              <w:bottom w:w="60" w:type="dxa"/>
              <w:left w:w="70" w:type="dxa"/>
              <w:right w:w="70" w:type="dxa"/>
            </w:tcMar>
            <w:vAlign w:val="center"/>
          </w:tcPr>
          <w:p>
            <w:pPr>
              <w:spacing w:before="0" w:after="0"/>
              <w:jc w:val="center"/>
            </w:pPr>
            <w:r>
              <w:rPr>
                <w:rFonts w:ascii="Calibri" w:hAnsi="Calibri"/>
                <w:b/>
                <w:color w:val="1F4E79"/>
                <w:sz w:val="17"/>
              </w:rPr>
              <w:t>Clase B - Semicrítico</w:t>
            </w:r>
          </w:p>
        </w:tc>
      </w:tr>
      <w:tr>
        <w:tc>
          <w:tcPr>
            <w:tcW w:type="dxa" w:w="2592"/>
            <w:shd w:fill="FFFFFF"/>
            <w:tcMar>
              <w:top w:w="60" w:type="dxa"/>
              <w:bottom w:w="60" w:type="dxa"/>
              <w:left w:w="70" w:type="dxa"/>
              <w:right w:w="70" w:type="dxa"/>
            </w:tcMar>
            <w:vAlign w:val="center"/>
          </w:tcPr>
          <w:p>
            <w:pPr>
              <w:spacing w:before="0" w:after="0"/>
              <w:jc w:val="left"/>
            </w:pPr>
            <w:r>
              <w:rPr>
                <w:rFonts w:ascii="Calibri" w:hAnsi="Calibri"/>
                <w:sz w:val="17"/>
              </w:rPr>
              <w:t>Tablero y Control (SYS-ELE)</w:t>
            </w:r>
          </w:p>
        </w:tc>
        <w:tc>
          <w:tcPr>
            <w:tcW w:type="dxa" w:w="576"/>
            <w:shd w:fill="FFFFFF"/>
            <w:tcMar>
              <w:top w:w="60" w:type="dxa"/>
              <w:bottom w:w="60" w:type="dxa"/>
              <w:left w:w="70" w:type="dxa"/>
              <w:right w:w="70" w:type="dxa"/>
            </w:tcMar>
            <w:vAlign w:val="center"/>
          </w:tcPr>
          <w:p>
            <w:pPr>
              <w:spacing w:before="0" w:after="0"/>
              <w:jc w:val="center"/>
            </w:pPr>
            <w:r>
              <w:rPr>
                <w:rFonts w:ascii="Calibri" w:hAnsi="Calibri"/>
                <w:sz w:val="17"/>
              </w:rPr>
              <w:t>1</w:t>
            </w:r>
          </w:p>
        </w:tc>
        <w:tc>
          <w:tcPr>
            <w:tcW w:type="dxa" w:w="576"/>
            <w:shd w:fill="FFFFFF"/>
            <w:tcMar>
              <w:top w:w="60" w:type="dxa"/>
              <w:bottom w:w="60" w:type="dxa"/>
              <w:left w:w="70" w:type="dxa"/>
              <w:right w:w="70" w:type="dxa"/>
            </w:tcMar>
            <w:vAlign w:val="center"/>
          </w:tcPr>
          <w:p>
            <w:pPr>
              <w:spacing w:before="0" w:after="0"/>
              <w:jc w:val="center"/>
            </w:pPr>
            <w:r>
              <w:rPr>
                <w:rFonts w:ascii="Calibri" w:hAnsi="Calibri"/>
                <w:sz w:val="17"/>
              </w:rPr>
              <w:t>2</w:t>
            </w:r>
          </w:p>
        </w:tc>
        <w:tc>
          <w:tcPr>
            <w:tcW w:type="dxa" w:w="576"/>
            <w:shd w:fill="FFFFFF"/>
            <w:tcMar>
              <w:top w:w="60" w:type="dxa"/>
              <w:bottom w:w="60" w:type="dxa"/>
              <w:left w:w="70" w:type="dxa"/>
              <w:right w:w="70" w:type="dxa"/>
            </w:tcMar>
            <w:vAlign w:val="center"/>
          </w:tcPr>
          <w:p>
            <w:pPr>
              <w:spacing w:before="0" w:after="0"/>
              <w:jc w:val="center"/>
            </w:pPr>
            <w:r>
              <w:rPr>
                <w:rFonts w:ascii="Calibri" w:hAnsi="Calibri"/>
                <w:sz w:val="17"/>
              </w:rPr>
              <w:t>1</w:t>
            </w:r>
          </w:p>
        </w:tc>
        <w:tc>
          <w:tcPr>
            <w:tcW w:type="dxa" w:w="576"/>
            <w:shd w:fill="FFFFFF"/>
            <w:tcMar>
              <w:top w:w="60" w:type="dxa"/>
              <w:bottom w:w="60" w:type="dxa"/>
              <w:left w:w="70" w:type="dxa"/>
              <w:right w:w="70" w:type="dxa"/>
            </w:tcMar>
            <w:vAlign w:val="center"/>
          </w:tcPr>
          <w:p>
            <w:pPr>
              <w:spacing w:before="0" w:after="0"/>
              <w:jc w:val="center"/>
            </w:pPr>
            <w:r>
              <w:rPr>
                <w:rFonts w:ascii="Calibri" w:hAnsi="Calibri"/>
                <w:sz w:val="17"/>
              </w:rPr>
              <w:t>3</w:t>
            </w:r>
          </w:p>
        </w:tc>
        <w:tc>
          <w:tcPr>
            <w:tcW w:type="dxa" w:w="576"/>
            <w:shd w:fill="FFFFFF"/>
            <w:tcMar>
              <w:top w:w="60" w:type="dxa"/>
              <w:bottom w:w="60" w:type="dxa"/>
              <w:left w:w="70" w:type="dxa"/>
              <w:right w:w="70" w:type="dxa"/>
            </w:tcMar>
            <w:vAlign w:val="center"/>
          </w:tcPr>
          <w:p>
            <w:pPr>
              <w:spacing w:before="0" w:after="0"/>
              <w:jc w:val="center"/>
            </w:pPr>
            <w:r>
              <w:rPr>
                <w:rFonts w:ascii="Calibri" w:hAnsi="Calibri"/>
                <w:sz w:val="17"/>
              </w:rPr>
              <w:t>1</w:t>
            </w:r>
          </w:p>
        </w:tc>
        <w:tc>
          <w:tcPr>
            <w:tcW w:type="dxa" w:w="864"/>
            <w:shd w:fill="FFFFFF"/>
            <w:tcMar>
              <w:top w:w="60" w:type="dxa"/>
              <w:bottom w:w="60" w:type="dxa"/>
              <w:left w:w="70" w:type="dxa"/>
              <w:right w:w="70" w:type="dxa"/>
            </w:tcMar>
            <w:vAlign w:val="center"/>
          </w:tcPr>
          <w:p>
            <w:pPr>
              <w:spacing w:before="0" w:after="0"/>
              <w:jc w:val="center"/>
            </w:pPr>
            <w:r>
              <w:rPr>
                <w:rFonts w:ascii="Calibri" w:hAnsi="Calibri"/>
                <w:sz w:val="17"/>
              </w:rPr>
              <w:t>7</w:t>
            </w:r>
          </w:p>
        </w:tc>
        <w:tc>
          <w:tcPr>
            <w:tcW w:type="dxa" w:w="864"/>
            <w:shd w:fill="FFFFFF"/>
            <w:tcMar>
              <w:top w:w="60" w:type="dxa"/>
              <w:bottom w:w="60" w:type="dxa"/>
              <w:left w:w="70" w:type="dxa"/>
              <w:right w:w="70" w:type="dxa"/>
            </w:tcMar>
            <w:vAlign w:val="center"/>
          </w:tcPr>
          <w:p>
            <w:pPr>
              <w:spacing w:before="0" w:after="0"/>
              <w:jc w:val="center"/>
            </w:pPr>
            <w:r>
              <w:rPr>
                <w:rFonts w:ascii="Calibri" w:hAnsi="Calibri"/>
                <w:sz w:val="17"/>
              </w:rPr>
              <w:t>7</w:t>
            </w:r>
          </w:p>
        </w:tc>
        <w:tc>
          <w:tcPr>
            <w:tcW w:type="dxa" w:w="2160"/>
            <w:shd w:fill="FFFFFF"/>
            <w:tcMar>
              <w:top w:w="60" w:type="dxa"/>
              <w:bottom w:w="60" w:type="dxa"/>
              <w:left w:w="70" w:type="dxa"/>
              <w:right w:w="70" w:type="dxa"/>
            </w:tcMar>
            <w:vAlign w:val="center"/>
          </w:tcPr>
          <w:p>
            <w:pPr>
              <w:spacing w:before="0" w:after="0"/>
              <w:jc w:val="center"/>
            </w:pPr>
            <w:r>
              <w:rPr>
                <w:rFonts w:ascii="Calibri" w:hAnsi="Calibri"/>
                <w:b/>
                <w:sz w:val="17"/>
              </w:rPr>
              <w:t>Clase C - No Crítico</w:t>
            </w:r>
          </w:p>
        </w:tc>
      </w:tr>
    </w:tbl>
    <w:p>
      <w:pPr>
        <w:spacing w:after="80"/>
      </w:pPr>
    </w:p>
    <w:p>
      <w:r>
        <w:rPr>
          <w:b/>
        </w:rPr>
        <w:t>c) Modelos de Mantenimiento Justificados:</w:t>
        <w:br/>
      </w:r>
      <w:r>
        <w:t>• Clase A — Modelo de Alta Disponibilidad: Aplicado a Unidad Motriz y Banda. Combina monitoreo continuo de vibraciones (envolvente y aceleración), termografía infrarroja, análisis de lubricante y overhaul mayor programado en paradas de planta.</w:t>
        <w:br/>
        <w:t>• Clase B — Modelo Sistemático / Predictivo: Aplicado a Sistema de Tensión y Estructura. Sustitución a vida límite (mangueras hidráulicas cada 24 meses) e inspección periódica de presiones.</w:t>
        <w:br/>
        <w:t>• Clase C — Modelo Condicional y Mantenimiento Autónomo (TPM): Rutinas diarias CIL realizadas por operadores para limpieza de rascadores y carcasas, permitiéndose el correctivo a la rotura solo si no induce daños secundarios.</w:t>
      </w:r>
    </w:p>
    <w:p>
      <w:pPr>
        <w:pStyle w:val="Heading2"/>
        <w:keepNext/>
        <w:spacing w:before="280" w:after="120"/>
      </w:pPr>
      <w:r>
        <w:rPr>
          <w:rFonts w:ascii="Calibri" w:hAnsi="Calibri"/>
          <w:b/>
          <w:color w:val="0E2841"/>
          <w:sz w:val="24"/>
        </w:rPr>
        <w:t>Consigna 2: Plan de Inspecciones Sensoriales (TPM) e Instrumentales (PdM)</w:t>
      </w:r>
    </w:p>
    <w:tbl>
      <w:tblPr>
        <w:tblW w:type="auto" w:w="0"/>
        <w:jc w:val="center"/>
        <w:tblLayout w:type="fixed"/>
        <w:tblLook w:firstColumn="1" w:firstRow="1" w:lastColumn="0" w:lastRow="0" w:noHBand="0" w:noVBand="1" w:val="04A0"/>
      </w:tblPr>
      <w:tblGrid>
        <w:gridCol w:w="1958"/>
        <w:gridCol w:w="1958"/>
        <w:gridCol w:w="1958"/>
        <w:gridCol w:w="1958"/>
        <w:gridCol w:w="1958"/>
      </w:tblGrid>
      <w:tr>
        <w:tc>
          <w:tcPr>
            <w:tcW w:type="dxa" w:w="1958"/>
            <w:shd w:fill="1F4E79"/>
            <w:tcMar>
              <w:top w:w="120" w:type="dxa"/>
              <w:bottom w:w="120" w:type="dxa"/>
              <w:left w:w="130" w:type="dxa"/>
              <w:right w:w="130" w:type="dxa"/>
            </w:tcMar>
            <w:vAlign w:val="center"/>
          </w:tcPr>
          <w:p>
            <w:pPr>
              <w:spacing w:before="0" w:after="0"/>
              <w:jc w:val="center"/>
            </w:pPr>
            <w:r>
              <w:rPr>
                <w:rFonts w:ascii="Calibri" w:hAnsi="Calibri"/>
                <w:b/>
                <w:color w:val="FFFFFF"/>
                <w:sz w:val="18"/>
              </w:rPr>
              <w:t>Tipo Inspección</w:t>
            </w:r>
          </w:p>
        </w:tc>
        <w:tc>
          <w:tcPr>
            <w:tcW w:type="dxa" w:w="1958"/>
            <w:shd w:fill="1F4E79"/>
            <w:tcMar>
              <w:top w:w="120" w:type="dxa"/>
              <w:bottom w:w="120" w:type="dxa"/>
              <w:left w:w="130" w:type="dxa"/>
              <w:right w:w="130" w:type="dxa"/>
            </w:tcMar>
            <w:vAlign w:val="center"/>
          </w:tcPr>
          <w:p>
            <w:pPr>
              <w:spacing w:before="0" w:after="0"/>
              <w:jc w:val="center"/>
            </w:pPr>
            <w:r>
              <w:rPr>
                <w:rFonts w:ascii="Calibri" w:hAnsi="Calibri"/>
                <w:b/>
                <w:color w:val="FFFFFF"/>
                <w:sz w:val="18"/>
              </w:rPr>
              <w:t>Componente Objetivo</w:t>
            </w:r>
          </w:p>
        </w:tc>
        <w:tc>
          <w:tcPr>
            <w:tcW w:type="dxa" w:w="1958"/>
            <w:shd w:fill="1F4E79"/>
            <w:tcMar>
              <w:top w:w="120" w:type="dxa"/>
              <w:bottom w:w="120" w:type="dxa"/>
              <w:left w:w="130" w:type="dxa"/>
              <w:right w:w="130" w:type="dxa"/>
            </w:tcMar>
            <w:vAlign w:val="center"/>
          </w:tcPr>
          <w:p>
            <w:pPr>
              <w:spacing w:before="0" w:after="0"/>
              <w:jc w:val="center"/>
            </w:pPr>
            <w:r>
              <w:rPr>
                <w:rFonts w:ascii="Calibri" w:hAnsi="Calibri"/>
                <w:b/>
                <w:color w:val="FFFFFF"/>
                <w:sz w:val="18"/>
              </w:rPr>
              <w:t>Técnica / Sentido</w:t>
            </w:r>
          </w:p>
        </w:tc>
        <w:tc>
          <w:tcPr>
            <w:tcW w:type="dxa" w:w="1958"/>
            <w:shd w:fill="1F4E79"/>
            <w:tcMar>
              <w:top w:w="120" w:type="dxa"/>
              <w:bottom w:w="120" w:type="dxa"/>
              <w:left w:w="130" w:type="dxa"/>
              <w:right w:w="130" w:type="dxa"/>
            </w:tcMar>
            <w:vAlign w:val="center"/>
          </w:tcPr>
          <w:p>
            <w:pPr>
              <w:spacing w:before="0" w:after="0"/>
              <w:jc w:val="center"/>
            </w:pPr>
            <w:r>
              <w:rPr>
                <w:rFonts w:ascii="Calibri" w:hAnsi="Calibri"/>
                <w:b/>
                <w:color w:val="FFFFFF"/>
                <w:sz w:val="18"/>
              </w:rPr>
              <w:t>Parámetro de Control</w:t>
            </w:r>
          </w:p>
        </w:tc>
        <w:tc>
          <w:tcPr>
            <w:tcW w:type="dxa" w:w="1958"/>
            <w:shd w:fill="1F4E79"/>
            <w:tcMar>
              <w:top w:w="120" w:type="dxa"/>
              <w:bottom w:w="120" w:type="dxa"/>
              <w:left w:w="130" w:type="dxa"/>
              <w:right w:w="130" w:type="dxa"/>
            </w:tcMar>
            <w:vAlign w:val="center"/>
          </w:tcPr>
          <w:p>
            <w:pPr>
              <w:spacing w:before="0" w:after="0"/>
              <w:jc w:val="center"/>
            </w:pPr>
            <w:r>
              <w:rPr>
                <w:rFonts w:ascii="Calibri" w:hAnsi="Calibri"/>
                <w:b/>
                <w:color w:val="FFFFFF"/>
                <w:sz w:val="18"/>
              </w:rPr>
              <w:t>Frecuencia</w:t>
            </w:r>
          </w:p>
        </w:tc>
      </w:tr>
      <w:tr>
        <w:tc>
          <w:tcPr>
            <w:tcW w:type="dxa" w:w="1728"/>
            <w:shd w:fill="FFFFFF"/>
            <w:tcMar>
              <w:top w:w="60" w:type="dxa"/>
              <w:bottom w:w="60" w:type="dxa"/>
              <w:left w:w="70" w:type="dxa"/>
              <w:right w:w="70" w:type="dxa"/>
            </w:tcMar>
            <w:vAlign w:val="center"/>
          </w:tcPr>
          <w:p>
            <w:pPr>
              <w:spacing w:before="0" w:after="0"/>
              <w:jc w:val="center"/>
            </w:pPr>
            <w:r>
              <w:rPr>
                <w:rFonts w:ascii="Calibri" w:hAnsi="Calibri"/>
                <w:b/>
                <w:sz w:val="17"/>
              </w:rPr>
              <w:t>Sensorial (TPM)</w:t>
            </w:r>
          </w:p>
        </w:tc>
        <w:tc>
          <w:tcPr>
            <w:tcW w:type="dxa" w:w="1872"/>
            <w:shd w:fill="FFFFFF"/>
            <w:tcMar>
              <w:top w:w="60" w:type="dxa"/>
              <w:bottom w:w="60" w:type="dxa"/>
              <w:left w:w="70" w:type="dxa"/>
              <w:right w:w="70" w:type="dxa"/>
            </w:tcMar>
            <w:vAlign w:val="center"/>
          </w:tcPr>
          <w:p>
            <w:pPr>
              <w:spacing w:before="0" w:after="0"/>
              <w:jc w:val="left"/>
            </w:pPr>
            <w:r>
              <w:rPr>
                <w:rFonts w:ascii="Calibri" w:hAnsi="Calibri"/>
                <w:sz w:val="17"/>
              </w:rPr>
              <w:t>Rascadores de uretano</w:t>
            </w:r>
          </w:p>
        </w:tc>
        <w:tc>
          <w:tcPr>
            <w:tcW w:type="dxa" w:w="1872"/>
            <w:shd w:fill="FFFFFF"/>
            <w:tcMar>
              <w:top w:w="60" w:type="dxa"/>
              <w:bottom w:w="60" w:type="dxa"/>
              <w:left w:w="70" w:type="dxa"/>
              <w:right w:w="70" w:type="dxa"/>
            </w:tcMar>
            <w:vAlign w:val="center"/>
          </w:tcPr>
          <w:p>
            <w:pPr>
              <w:spacing w:before="0" w:after="0"/>
              <w:jc w:val="left"/>
            </w:pPr>
            <w:r>
              <w:rPr>
                <w:rFonts w:ascii="Calibri" w:hAnsi="Calibri"/>
                <w:sz w:val="17"/>
              </w:rPr>
              <w:t>Visual / Palpado</w:t>
            </w:r>
          </w:p>
        </w:tc>
        <w:tc>
          <w:tcPr>
            <w:tcW w:type="dxa" w:w="2448"/>
            <w:shd w:fill="FFFFFF"/>
            <w:tcMar>
              <w:top w:w="60" w:type="dxa"/>
              <w:bottom w:w="60" w:type="dxa"/>
              <w:left w:w="70" w:type="dxa"/>
              <w:right w:w="70" w:type="dxa"/>
            </w:tcMar>
            <w:vAlign w:val="center"/>
          </w:tcPr>
          <w:p>
            <w:pPr>
              <w:spacing w:before="0" w:after="0"/>
              <w:jc w:val="left"/>
            </w:pPr>
            <w:r>
              <w:rPr>
                <w:rFonts w:ascii="Calibri" w:hAnsi="Calibri"/>
                <w:sz w:val="17"/>
              </w:rPr>
              <w:t>Desgaste de filos, tensión contra banda, atascamientos</w:t>
            </w:r>
          </w:p>
        </w:tc>
        <w:tc>
          <w:tcPr>
            <w:tcW w:type="dxa" w:w="1440"/>
            <w:shd w:fill="FFFFFF"/>
            <w:tcMar>
              <w:top w:w="60" w:type="dxa"/>
              <w:bottom w:w="60" w:type="dxa"/>
              <w:left w:w="70" w:type="dxa"/>
              <w:right w:w="70" w:type="dxa"/>
            </w:tcMar>
            <w:vAlign w:val="center"/>
          </w:tcPr>
          <w:p>
            <w:pPr>
              <w:spacing w:before="0" w:after="0"/>
              <w:jc w:val="center"/>
            </w:pPr>
            <w:r>
              <w:rPr>
                <w:rFonts w:ascii="Calibri" w:hAnsi="Calibri"/>
                <w:sz w:val="17"/>
              </w:rPr>
              <w:t>Diaria (por turno)</w:t>
            </w:r>
          </w:p>
        </w:tc>
      </w:tr>
      <w:tr>
        <w:tc>
          <w:tcPr>
            <w:tcW w:type="dxa" w:w="1728"/>
            <w:shd w:fill="F9FBFD"/>
            <w:tcMar>
              <w:top w:w="60" w:type="dxa"/>
              <w:bottom w:w="60" w:type="dxa"/>
              <w:left w:w="70" w:type="dxa"/>
              <w:right w:w="70" w:type="dxa"/>
            </w:tcMar>
            <w:vAlign w:val="center"/>
          </w:tcPr>
          <w:p>
            <w:pPr>
              <w:spacing w:before="0" w:after="0"/>
              <w:jc w:val="center"/>
            </w:pPr>
            <w:r>
              <w:rPr>
                <w:rFonts w:ascii="Calibri" w:hAnsi="Calibri"/>
                <w:b/>
                <w:sz w:val="17"/>
              </w:rPr>
              <w:t>Sensorial (TPM)</w:t>
            </w:r>
          </w:p>
        </w:tc>
        <w:tc>
          <w:tcPr>
            <w:tcW w:type="dxa" w:w="1872"/>
            <w:shd w:fill="F9FBFD"/>
            <w:tcMar>
              <w:top w:w="60" w:type="dxa"/>
              <w:bottom w:w="60" w:type="dxa"/>
              <w:left w:w="70" w:type="dxa"/>
              <w:right w:w="70" w:type="dxa"/>
            </w:tcMar>
            <w:vAlign w:val="center"/>
          </w:tcPr>
          <w:p>
            <w:pPr>
              <w:spacing w:before="0" w:after="0"/>
              <w:jc w:val="left"/>
            </w:pPr>
            <w:r>
              <w:rPr>
                <w:rFonts w:ascii="Calibri" w:hAnsi="Calibri"/>
                <w:sz w:val="17"/>
              </w:rPr>
              <w:t>Tambor de reenvío y polea</w:t>
            </w:r>
          </w:p>
        </w:tc>
        <w:tc>
          <w:tcPr>
            <w:tcW w:type="dxa" w:w="1872"/>
            <w:shd w:fill="F9FBFD"/>
            <w:tcMar>
              <w:top w:w="60" w:type="dxa"/>
              <w:bottom w:w="60" w:type="dxa"/>
              <w:left w:w="70" w:type="dxa"/>
              <w:right w:w="70" w:type="dxa"/>
            </w:tcMar>
            <w:vAlign w:val="center"/>
          </w:tcPr>
          <w:p>
            <w:pPr>
              <w:spacing w:before="0" w:after="0"/>
              <w:jc w:val="left"/>
            </w:pPr>
            <w:r>
              <w:rPr>
                <w:rFonts w:ascii="Calibri" w:hAnsi="Calibri"/>
                <w:sz w:val="17"/>
              </w:rPr>
              <w:t>Visual / Auditivo</w:t>
            </w:r>
          </w:p>
        </w:tc>
        <w:tc>
          <w:tcPr>
            <w:tcW w:type="dxa" w:w="2448"/>
            <w:shd w:fill="F9FBFD"/>
            <w:tcMar>
              <w:top w:w="60" w:type="dxa"/>
              <w:bottom w:w="60" w:type="dxa"/>
              <w:left w:w="70" w:type="dxa"/>
              <w:right w:w="70" w:type="dxa"/>
            </w:tcMar>
            <w:vAlign w:val="center"/>
          </w:tcPr>
          <w:p>
            <w:pPr>
              <w:spacing w:before="0" w:after="0"/>
              <w:jc w:val="left"/>
            </w:pPr>
            <w:r>
              <w:rPr>
                <w:rFonts w:ascii="Calibri" w:hAnsi="Calibri"/>
                <w:sz w:val="17"/>
              </w:rPr>
              <w:t>Acumulación de áridos en cilindro, chirridos de rozamiento</w:t>
            </w:r>
          </w:p>
        </w:tc>
        <w:tc>
          <w:tcPr>
            <w:tcW w:type="dxa" w:w="1440"/>
            <w:shd w:fill="F9FBFD"/>
            <w:tcMar>
              <w:top w:w="60" w:type="dxa"/>
              <w:bottom w:w="60" w:type="dxa"/>
              <w:left w:w="70" w:type="dxa"/>
              <w:right w:w="70" w:type="dxa"/>
            </w:tcMar>
            <w:vAlign w:val="center"/>
          </w:tcPr>
          <w:p>
            <w:pPr>
              <w:spacing w:before="0" w:after="0"/>
              <w:jc w:val="center"/>
            </w:pPr>
            <w:r>
              <w:rPr>
                <w:rFonts w:ascii="Calibri" w:hAnsi="Calibri"/>
                <w:sz w:val="17"/>
              </w:rPr>
              <w:t>Diaria</w:t>
            </w:r>
          </w:p>
        </w:tc>
      </w:tr>
      <w:tr>
        <w:tc>
          <w:tcPr>
            <w:tcW w:type="dxa" w:w="1728"/>
            <w:shd w:fill="FFFFFF"/>
            <w:tcMar>
              <w:top w:w="60" w:type="dxa"/>
              <w:bottom w:w="60" w:type="dxa"/>
              <w:left w:w="70" w:type="dxa"/>
              <w:right w:w="70" w:type="dxa"/>
            </w:tcMar>
            <w:vAlign w:val="center"/>
          </w:tcPr>
          <w:p>
            <w:pPr>
              <w:spacing w:before="0" w:after="0"/>
              <w:jc w:val="center"/>
            </w:pPr>
            <w:r>
              <w:rPr>
                <w:rFonts w:ascii="Calibri" w:hAnsi="Calibri"/>
                <w:b/>
                <w:sz w:val="17"/>
              </w:rPr>
              <w:t>Sensorial (TPM)</w:t>
            </w:r>
          </w:p>
        </w:tc>
        <w:tc>
          <w:tcPr>
            <w:tcW w:type="dxa" w:w="1872"/>
            <w:shd w:fill="FFFFFF"/>
            <w:tcMar>
              <w:top w:w="60" w:type="dxa"/>
              <w:bottom w:w="60" w:type="dxa"/>
              <w:left w:w="70" w:type="dxa"/>
              <w:right w:w="70" w:type="dxa"/>
            </w:tcMar>
            <w:vAlign w:val="center"/>
          </w:tcPr>
          <w:p>
            <w:pPr>
              <w:spacing w:before="0" w:after="0"/>
              <w:jc w:val="left"/>
            </w:pPr>
            <w:r>
              <w:rPr>
                <w:rFonts w:ascii="Calibri" w:hAnsi="Calibri"/>
                <w:sz w:val="17"/>
              </w:rPr>
              <w:t>Central hidráulica y mangueras</w:t>
            </w:r>
          </w:p>
        </w:tc>
        <w:tc>
          <w:tcPr>
            <w:tcW w:type="dxa" w:w="1872"/>
            <w:shd w:fill="FFFFFF"/>
            <w:tcMar>
              <w:top w:w="60" w:type="dxa"/>
              <w:bottom w:w="60" w:type="dxa"/>
              <w:left w:w="70" w:type="dxa"/>
              <w:right w:w="70" w:type="dxa"/>
            </w:tcMar>
            <w:vAlign w:val="center"/>
          </w:tcPr>
          <w:p>
            <w:pPr>
              <w:spacing w:before="0" w:after="0"/>
              <w:jc w:val="left"/>
            </w:pPr>
            <w:r>
              <w:rPr>
                <w:rFonts w:ascii="Calibri" w:hAnsi="Calibri"/>
                <w:sz w:val="17"/>
              </w:rPr>
              <w:t>Visual / Olfativo</w:t>
            </w:r>
          </w:p>
        </w:tc>
        <w:tc>
          <w:tcPr>
            <w:tcW w:type="dxa" w:w="2448"/>
            <w:shd w:fill="FFFFFF"/>
            <w:tcMar>
              <w:top w:w="60" w:type="dxa"/>
              <w:bottom w:w="60" w:type="dxa"/>
              <w:left w:w="70" w:type="dxa"/>
              <w:right w:w="70" w:type="dxa"/>
            </w:tcMar>
            <w:vAlign w:val="center"/>
          </w:tcPr>
          <w:p>
            <w:pPr>
              <w:spacing w:before="0" w:after="0"/>
              <w:jc w:val="left"/>
            </w:pPr>
            <w:r>
              <w:rPr>
                <w:rFonts w:ascii="Calibri" w:hAnsi="Calibri"/>
                <w:sz w:val="17"/>
              </w:rPr>
              <w:t>Fugas superficiales, nivel de tanque, pulsación excesiva</w:t>
            </w:r>
          </w:p>
        </w:tc>
        <w:tc>
          <w:tcPr>
            <w:tcW w:type="dxa" w:w="1440"/>
            <w:shd w:fill="FFFFFF"/>
            <w:tcMar>
              <w:top w:w="60" w:type="dxa"/>
              <w:bottom w:w="60" w:type="dxa"/>
              <w:left w:w="70" w:type="dxa"/>
              <w:right w:w="70" w:type="dxa"/>
            </w:tcMar>
            <w:vAlign w:val="center"/>
          </w:tcPr>
          <w:p>
            <w:pPr>
              <w:spacing w:before="0" w:after="0"/>
              <w:jc w:val="center"/>
            </w:pPr>
            <w:r>
              <w:rPr>
                <w:rFonts w:ascii="Calibri" w:hAnsi="Calibri"/>
                <w:sz w:val="17"/>
              </w:rPr>
              <w:t>Diaria</w:t>
            </w:r>
          </w:p>
        </w:tc>
      </w:tr>
      <w:tr>
        <w:tc>
          <w:tcPr>
            <w:tcW w:type="dxa" w:w="1728"/>
            <w:shd w:fill="F9FBFD"/>
            <w:tcMar>
              <w:top w:w="60" w:type="dxa"/>
              <w:bottom w:w="60" w:type="dxa"/>
              <w:left w:w="70" w:type="dxa"/>
              <w:right w:w="70" w:type="dxa"/>
            </w:tcMar>
            <w:vAlign w:val="center"/>
          </w:tcPr>
          <w:p>
            <w:pPr>
              <w:spacing w:before="0" w:after="0"/>
              <w:jc w:val="center"/>
            </w:pPr>
            <w:r>
              <w:rPr>
                <w:rFonts w:ascii="Calibri" w:hAnsi="Calibri"/>
                <w:b/>
                <w:sz w:val="17"/>
              </w:rPr>
              <w:t>Instrumental (PdM)</w:t>
            </w:r>
          </w:p>
        </w:tc>
        <w:tc>
          <w:tcPr>
            <w:tcW w:type="dxa" w:w="1872"/>
            <w:shd w:fill="F9FBFD"/>
            <w:tcMar>
              <w:top w:w="60" w:type="dxa"/>
              <w:bottom w:w="60" w:type="dxa"/>
              <w:left w:w="70" w:type="dxa"/>
              <w:right w:w="70" w:type="dxa"/>
            </w:tcMar>
            <w:vAlign w:val="center"/>
          </w:tcPr>
          <w:p>
            <w:pPr>
              <w:spacing w:before="0" w:after="0"/>
              <w:jc w:val="left"/>
            </w:pPr>
            <w:r>
              <w:rPr>
                <w:rFonts w:ascii="Calibri" w:hAnsi="Calibri"/>
                <w:sz w:val="17"/>
              </w:rPr>
              <w:t>Rodamientos SKF 22220 EK</w:t>
            </w:r>
          </w:p>
        </w:tc>
        <w:tc>
          <w:tcPr>
            <w:tcW w:type="dxa" w:w="1872"/>
            <w:shd w:fill="F9FBFD"/>
            <w:tcMar>
              <w:top w:w="60" w:type="dxa"/>
              <w:bottom w:w="60" w:type="dxa"/>
              <w:left w:w="70" w:type="dxa"/>
              <w:right w:w="70" w:type="dxa"/>
            </w:tcMar>
            <w:vAlign w:val="center"/>
          </w:tcPr>
          <w:p>
            <w:pPr>
              <w:spacing w:before="0" w:after="0"/>
              <w:jc w:val="left"/>
            </w:pPr>
            <w:r>
              <w:rPr>
                <w:rFonts w:ascii="Calibri" w:hAnsi="Calibri"/>
                <w:sz w:val="17"/>
              </w:rPr>
              <w:t>Vibrómetro / Ultrasonido</w:t>
            </w:r>
          </w:p>
        </w:tc>
        <w:tc>
          <w:tcPr>
            <w:tcW w:type="dxa" w:w="2448"/>
            <w:shd w:fill="F9FBFD"/>
            <w:tcMar>
              <w:top w:w="60" w:type="dxa"/>
              <w:bottom w:w="60" w:type="dxa"/>
              <w:left w:w="70" w:type="dxa"/>
              <w:right w:w="70" w:type="dxa"/>
            </w:tcMar>
            <w:vAlign w:val="center"/>
          </w:tcPr>
          <w:p>
            <w:pPr>
              <w:spacing w:before="0" w:after="0"/>
              <w:jc w:val="left"/>
            </w:pPr>
            <w:r>
              <w:rPr>
                <w:rFonts w:ascii="Calibri" w:hAnsi="Calibri"/>
                <w:sz w:val="17"/>
              </w:rPr>
              <w:t>Velocidad RMS (ISO 10816-3) y aceleración de envolvente</w:t>
            </w:r>
          </w:p>
        </w:tc>
        <w:tc>
          <w:tcPr>
            <w:tcW w:type="dxa" w:w="1440"/>
            <w:shd w:fill="F9FBFD"/>
            <w:tcMar>
              <w:top w:w="60" w:type="dxa"/>
              <w:bottom w:w="60" w:type="dxa"/>
              <w:left w:w="70" w:type="dxa"/>
              <w:right w:w="70" w:type="dxa"/>
            </w:tcMar>
            <w:vAlign w:val="center"/>
          </w:tcPr>
          <w:p>
            <w:pPr>
              <w:spacing w:before="0" w:after="0"/>
              <w:jc w:val="center"/>
            </w:pPr>
            <w:r>
              <w:rPr>
                <w:rFonts w:ascii="Calibri" w:hAnsi="Calibri"/>
                <w:sz w:val="17"/>
              </w:rPr>
              <w:t>Quincenal</w:t>
            </w:r>
          </w:p>
        </w:tc>
      </w:tr>
      <w:tr>
        <w:tc>
          <w:tcPr>
            <w:tcW w:type="dxa" w:w="1728"/>
            <w:shd w:fill="FFFFFF"/>
            <w:tcMar>
              <w:top w:w="60" w:type="dxa"/>
              <w:bottom w:w="60" w:type="dxa"/>
              <w:left w:w="70" w:type="dxa"/>
              <w:right w:w="70" w:type="dxa"/>
            </w:tcMar>
            <w:vAlign w:val="center"/>
          </w:tcPr>
          <w:p>
            <w:pPr>
              <w:spacing w:before="0" w:after="0"/>
              <w:jc w:val="center"/>
            </w:pPr>
            <w:r>
              <w:rPr>
                <w:rFonts w:ascii="Calibri" w:hAnsi="Calibri"/>
                <w:b/>
                <w:sz w:val="17"/>
              </w:rPr>
              <w:t>Instrumental (PdM)</w:t>
            </w:r>
          </w:p>
        </w:tc>
        <w:tc>
          <w:tcPr>
            <w:tcW w:type="dxa" w:w="1872"/>
            <w:shd w:fill="FFFFFF"/>
            <w:tcMar>
              <w:top w:w="60" w:type="dxa"/>
              <w:bottom w:w="60" w:type="dxa"/>
              <w:left w:w="70" w:type="dxa"/>
              <w:right w:w="70" w:type="dxa"/>
            </w:tcMar>
            <w:vAlign w:val="center"/>
          </w:tcPr>
          <w:p>
            <w:pPr>
              <w:spacing w:before="0" w:after="0"/>
              <w:jc w:val="left"/>
            </w:pPr>
            <w:r>
              <w:rPr>
                <w:rFonts w:ascii="Calibri" w:hAnsi="Calibri"/>
                <w:sz w:val="17"/>
              </w:rPr>
              <w:t>Motor eléctrico 55 kW</w:t>
            </w:r>
          </w:p>
        </w:tc>
        <w:tc>
          <w:tcPr>
            <w:tcW w:type="dxa" w:w="1872"/>
            <w:shd w:fill="FFFFFF"/>
            <w:tcMar>
              <w:top w:w="60" w:type="dxa"/>
              <w:bottom w:w="60" w:type="dxa"/>
              <w:left w:w="70" w:type="dxa"/>
              <w:right w:w="70" w:type="dxa"/>
            </w:tcMar>
            <w:vAlign w:val="center"/>
          </w:tcPr>
          <w:p>
            <w:pPr>
              <w:spacing w:before="0" w:after="0"/>
              <w:jc w:val="left"/>
            </w:pPr>
            <w:r>
              <w:rPr>
                <w:rFonts w:ascii="Calibri" w:hAnsi="Calibri"/>
                <w:sz w:val="17"/>
              </w:rPr>
              <w:t>Termografía infrarroja</w:t>
            </w:r>
          </w:p>
        </w:tc>
        <w:tc>
          <w:tcPr>
            <w:tcW w:type="dxa" w:w="2448"/>
            <w:shd w:fill="FFFFFF"/>
            <w:tcMar>
              <w:top w:w="60" w:type="dxa"/>
              <w:bottom w:w="60" w:type="dxa"/>
              <w:left w:w="70" w:type="dxa"/>
              <w:right w:w="70" w:type="dxa"/>
            </w:tcMar>
            <w:vAlign w:val="center"/>
          </w:tcPr>
          <w:p>
            <w:pPr>
              <w:spacing w:before="0" w:after="0"/>
              <w:jc w:val="left"/>
            </w:pPr>
            <w:r>
              <w:rPr>
                <w:rFonts w:ascii="Calibri" w:hAnsi="Calibri"/>
                <w:sz w:val="17"/>
              </w:rPr>
              <w:t>Gradiente térmico carcasa/bornera (&lt; 75 °C) y consumo trifásico</w:t>
            </w:r>
          </w:p>
        </w:tc>
        <w:tc>
          <w:tcPr>
            <w:tcW w:type="dxa" w:w="1440"/>
            <w:shd w:fill="FFFFFF"/>
            <w:tcMar>
              <w:top w:w="60" w:type="dxa"/>
              <w:bottom w:w="60" w:type="dxa"/>
              <w:left w:w="70" w:type="dxa"/>
              <w:right w:w="70" w:type="dxa"/>
            </w:tcMar>
            <w:vAlign w:val="center"/>
          </w:tcPr>
          <w:p>
            <w:pPr>
              <w:spacing w:before="0" w:after="0"/>
              <w:jc w:val="center"/>
            </w:pPr>
            <w:r>
              <w:rPr>
                <w:rFonts w:ascii="Calibri" w:hAnsi="Calibri"/>
                <w:sz w:val="17"/>
              </w:rPr>
              <w:t>Mensual</w:t>
            </w:r>
          </w:p>
        </w:tc>
      </w:tr>
      <w:tr>
        <w:tc>
          <w:tcPr>
            <w:tcW w:type="dxa" w:w="1728"/>
            <w:shd w:fill="F9FBFD"/>
            <w:tcMar>
              <w:top w:w="60" w:type="dxa"/>
              <w:bottom w:w="60" w:type="dxa"/>
              <w:left w:w="70" w:type="dxa"/>
              <w:right w:w="70" w:type="dxa"/>
            </w:tcMar>
            <w:vAlign w:val="center"/>
          </w:tcPr>
          <w:p>
            <w:pPr>
              <w:spacing w:before="0" w:after="0"/>
              <w:jc w:val="center"/>
            </w:pPr>
            <w:r>
              <w:rPr>
                <w:rFonts w:ascii="Calibri" w:hAnsi="Calibri"/>
                <w:b/>
                <w:sz w:val="17"/>
              </w:rPr>
              <w:t>Instrumental (PdM)</w:t>
            </w:r>
          </w:p>
        </w:tc>
        <w:tc>
          <w:tcPr>
            <w:tcW w:type="dxa" w:w="1872"/>
            <w:shd w:fill="F9FBFD"/>
            <w:tcMar>
              <w:top w:w="60" w:type="dxa"/>
              <w:bottom w:w="60" w:type="dxa"/>
              <w:left w:w="70" w:type="dxa"/>
              <w:right w:w="70" w:type="dxa"/>
            </w:tcMar>
            <w:vAlign w:val="center"/>
          </w:tcPr>
          <w:p>
            <w:pPr>
              <w:spacing w:before="0" w:after="0"/>
              <w:jc w:val="left"/>
            </w:pPr>
            <w:r>
              <w:rPr>
                <w:rFonts w:ascii="Calibri" w:hAnsi="Calibri"/>
                <w:sz w:val="17"/>
              </w:rPr>
              <w:t>Reductor ortogonal 28:1</w:t>
            </w:r>
          </w:p>
        </w:tc>
        <w:tc>
          <w:tcPr>
            <w:tcW w:type="dxa" w:w="1872"/>
            <w:shd w:fill="F9FBFD"/>
            <w:tcMar>
              <w:top w:w="60" w:type="dxa"/>
              <w:bottom w:w="60" w:type="dxa"/>
              <w:left w:w="70" w:type="dxa"/>
              <w:right w:w="70" w:type="dxa"/>
            </w:tcMar>
            <w:vAlign w:val="center"/>
          </w:tcPr>
          <w:p>
            <w:pPr>
              <w:spacing w:before="0" w:after="0"/>
              <w:jc w:val="left"/>
            </w:pPr>
            <w:r>
              <w:rPr>
                <w:rFonts w:ascii="Calibri" w:hAnsi="Calibri"/>
                <w:sz w:val="17"/>
              </w:rPr>
              <w:t>Análisis físico-químico aceite</w:t>
            </w:r>
          </w:p>
        </w:tc>
        <w:tc>
          <w:tcPr>
            <w:tcW w:type="dxa" w:w="2448"/>
            <w:shd w:fill="F9FBFD"/>
            <w:tcMar>
              <w:top w:w="60" w:type="dxa"/>
              <w:bottom w:w="60" w:type="dxa"/>
              <w:left w:w="70" w:type="dxa"/>
              <w:right w:w="70" w:type="dxa"/>
            </w:tcMar>
            <w:vAlign w:val="center"/>
          </w:tcPr>
          <w:p>
            <w:pPr>
              <w:spacing w:before="0" w:after="0"/>
              <w:jc w:val="left"/>
            </w:pPr>
            <w:r>
              <w:rPr>
                <w:rFonts w:ascii="Calibri" w:hAnsi="Calibri"/>
                <w:sz w:val="17"/>
              </w:rPr>
              <w:t>Viscosidad a 40 °C, ppm agua, conteo de partículas ISO 4406</w:t>
            </w:r>
          </w:p>
        </w:tc>
        <w:tc>
          <w:tcPr>
            <w:tcW w:type="dxa" w:w="1440"/>
            <w:shd w:fill="F9FBFD"/>
            <w:tcMar>
              <w:top w:w="60" w:type="dxa"/>
              <w:bottom w:w="60" w:type="dxa"/>
              <w:left w:w="70" w:type="dxa"/>
              <w:right w:w="70" w:type="dxa"/>
            </w:tcMar>
            <w:vAlign w:val="center"/>
          </w:tcPr>
          <w:p>
            <w:pPr>
              <w:spacing w:before="0" w:after="0"/>
              <w:jc w:val="center"/>
            </w:pPr>
            <w:r>
              <w:rPr>
                <w:rFonts w:ascii="Calibri" w:hAnsi="Calibri"/>
                <w:sz w:val="17"/>
              </w:rPr>
              <w:t>Trimestral</w:t>
            </w:r>
          </w:p>
        </w:tc>
      </w:tr>
    </w:tbl>
    <w:p>
      <w:pPr>
        <w:pStyle w:val="Heading2"/>
        <w:keepNext/>
        <w:spacing w:before="280" w:after="120"/>
      </w:pPr>
      <w:r>
        <w:rPr>
          <w:rFonts w:ascii="Calibri" w:hAnsi="Calibri"/>
          <w:b/>
          <w:color w:val="0E2841"/>
          <w:sz w:val="24"/>
        </w:rPr>
        <w:t>Consigna 3: Asignación de Estrategias de Mantenimiento Proactivo</w:t>
      </w:r>
    </w:p>
    <w:tbl>
      <w:tblPr>
        <w:tblW w:type="auto" w:w="0"/>
        <w:jc w:val="center"/>
        <w:tblLayout w:type="fixed"/>
        <w:tblLook w:firstColumn="1" w:firstRow="1" w:lastColumn="0" w:lastRow="0" w:noHBand="0" w:noVBand="1" w:val="04A0"/>
      </w:tblPr>
      <w:tblGrid>
        <w:gridCol w:w="1958"/>
        <w:gridCol w:w="1958"/>
        <w:gridCol w:w="1958"/>
        <w:gridCol w:w="1958"/>
        <w:gridCol w:w="1958"/>
      </w:tblGrid>
      <w:tr>
        <w:tc>
          <w:tcPr>
            <w:tcW w:type="dxa" w:w="1958"/>
            <w:shd w:fill="1F4E79"/>
            <w:tcMar>
              <w:top w:w="120" w:type="dxa"/>
              <w:bottom w:w="120" w:type="dxa"/>
              <w:left w:w="130" w:type="dxa"/>
              <w:right w:w="130" w:type="dxa"/>
            </w:tcMar>
            <w:vAlign w:val="center"/>
          </w:tcPr>
          <w:p>
            <w:pPr>
              <w:spacing w:before="0" w:after="0"/>
              <w:jc w:val="center"/>
            </w:pPr>
            <w:r>
              <w:rPr>
                <w:rFonts w:ascii="Calibri" w:hAnsi="Calibri"/>
                <w:b/>
                <w:color w:val="FFFFFF"/>
                <w:sz w:val="18"/>
              </w:rPr>
              <w:t>Evento</w:t>
            </w:r>
          </w:p>
        </w:tc>
        <w:tc>
          <w:tcPr>
            <w:tcW w:type="dxa" w:w="1958"/>
            <w:shd w:fill="1F4E79"/>
            <w:tcMar>
              <w:top w:w="120" w:type="dxa"/>
              <w:bottom w:w="120" w:type="dxa"/>
              <w:left w:w="130" w:type="dxa"/>
              <w:right w:w="130" w:type="dxa"/>
            </w:tcMar>
            <w:vAlign w:val="center"/>
          </w:tcPr>
          <w:p>
            <w:pPr>
              <w:spacing w:before="0" w:after="0"/>
              <w:jc w:val="center"/>
            </w:pPr>
            <w:r>
              <w:rPr>
                <w:rFonts w:ascii="Calibri" w:hAnsi="Calibri"/>
                <w:b/>
                <w:color w:val="FFFFFF"/>
                <w:sz w:val="18"/>
              </w:rPr>
              <w:t>Componente</w:t>
            </w:r>
          </w:p>
        </w:tc>
        <w:tc>
          <w:tcPr>
            <w:tcW w:type="dxa" w:w="1958"/>
            <w:shd w:fill="1F4E79"/>
            <w:tcMar>
              <w:top w:w="120" w:type="dxa"/>
              <w:bottom w:w="120" w:type="dxa"/>
              <w:left w:w="130" w:type="dxa"/>
              <w:right w:w="130" w:type="dxa"/>
            </w:tcMar>
            <w:vAlign w:val="center"/>
          </w:tcPr>
          <w:p>
            <w:pPr>
              <w:spacing w:before="0" w:after="0"/>
              <w:jc w:val="center"/>
            </w:pPr>
            <w:r>
              <w:rPr>
                <w:rFonts w:ascii="Calibri" w:hAnsi="Calibri"/>
                <w:b/>
                <w:color w:val="FFFFFF"/>
                <w:sz w:val="18"/>
              </w:rPr>
              <w:t>Tipo Mantenimiento</w:t>
            </w:r>
          </w:p>
        </w:tc>
        <w:tc>
          <w:tcPr>
            <w:tcW w:type="dxa" w:w="1958"/>
            <w:shd w:fill="1F4E79"/>
            <w:tcMar>
              <w:top w:w="120" w:type="dxa"/>
              <w:bottom w:w="120" w:type="dxa"/>
              <w:left w:w="130" w:type="dxa"/>
              <w:right w:w="130" w:type="dxa"/>
            </w:tcMar>
            <w:vAlign w:val="center"/>
          </w:tcPr>
          <w:p>
            <w:pPr>
              <w:spacing w:before="0" w:after="0"/>
              <w:jc w:val="center"/>
            </w:pPr>
            <w:r>
              <w:rPr>
                <w:rFonts w:ascii="Calibri" w:hAnsi="Calibri"/>
                <w:b/>
                <w:color w:val="FFFFFF"/>
                <w:sz w:val="18"/>
              </w:rPr>
              <w:t>Tarea de Inspección Técnica</w:t>
            </w:r>
          </w:p>
        </w:tc>
        <w:tc>
          <w:tcPr>
            <w:tcW w:type="dxa" w:w="1958"/>
            <w:shd w:fill="1F4E79"/>
            <w:tcMar>
              <w:top w:w="120" w:type="dxa"/>
              <w:bottom w:w="120" w:type="dxa"/>
              <w:left w:w="130" w:type="dxa"/>
              <w:right w:w="130" w:type="dxa"/>
            </w:tcMar>
            <w:vAlign w:val="center"/>
          </w:tcPr>
          <w:p>
            <w:pPr>
              <w:spacing w:before="0" w:after="0"/>
              <w:jc w:val="center"/>
            </w:pPr>
            <w:r>
              <w:rPr>
                <w:rFonts w:ascii="Calibri" w:hAnsi="Calibri"/>
                <w:b/>
                <w:color w:val="FFFFFF"/>
                <w:sz w:val="18"/>
              </w:rPr>
              <w:t>Frecuencia</w:t>
            </w:r>
          </w:p>
        </w:tc>
      </w:tr>
      <w:tr>
        <w:tc>
          <w:tcPr>
            <w:tcW w:type="dxa" w:w="864"/>
            <w:shd w:fill="FFFFFF"/>
            <w:tcMar>
              <w:top w:w="60" w:type="dxa"/>
              <w:bottom w:w="60" w:type="dxa"/>
              <w:left w:w="70" w:type="dxa"/>
              <w:right w:w="70" w:type="dxa"/>
            </w:tcMar>
            <w:vAlign w:val="center"/>
          </w:tcPr>
          <w:p>
            <w:pPr>
              <w:spacing w:before="0" w:after="0"/>
              <w:jc w:val="center"/>
            </w:pPr>
            <w:r>
              <w:rPr>
                <w:rFonts w:ascii="Calibri" w:hAnsi="Calibri"/>
                <w:b/>
                <w:sz w:val="17"/>
              </w:rPr>
              <w:t>F1</w:t>
            </w:r>
          </w:p>
        </w:tc>
        <w:tc>
          <w:tcPr>
            <w:tcW w:type="dxa" w:w="2016"/>
            <w:shd w:fill="FFFFFF"/>
            <w:tcMar>
              <w:top w:w="60" w:type="dxa"/>
              <w:bottom w:w="60" w:type="dxa"/>
              <w:left w:w="70" w:type="dxa"/>
              <w:right w:w="70" w:type="dxa"/>
            </w:tcMar>
            <w:vAlign w:val="center"/>
          </w:tcPr>
          <w:p>
            <w:pPr>
              <w:spacing w:before="0" w:after="0"/>
              <w:jc w:val="left"/>
            </w:pPr>
            <w:r>
              <w:rPr>
                <w:rFonts w:ascii="Calibri" w:hAnsi="Calibri"/>
                <w:sz w:val="17"/>
              </w:rPr>
              <w:t>Rodamiento SKF 22220 EK</w:t>
            </w:r>
          </w:p>
        </w:tc>
        <w:tc>
          <w:tcPr>
            <w:tcW w:type="dxa" w:w="1872"/>
            <w:shd w:fill="FFFFFF"/>
            <w:tcMar>
              <w:top w:w="60" w:type="dxa"/>
              <w:bottom w:w="60" w:type="dxa"/>
              <w:left w:w="70" w:type="dxa"/>
              <w:right w:w="70" w:type="dxa"/>
            </w:tcMar>
            <w:vAlign w:val="center"/>
          </w:tcPr>
          <w:p>
            <w:pPr>
              <w:spacing w:before="0" w:after="0"/>
              <w:jc w:val="left"/>
            </w:pPr>
            <w:r>
              <w:rPr>
                <w:rFonts w:ascii="Calibri" w:hAnsi="Calibri"/>
                <w:sz w:val="17"/>
              </w:rPr>
              <w:t>Predictivo (CBM)</w:t>
            </w:r>
          </w:p>
        </w:tc>
        <w:tc>
          <w:tcPr>
            <w:tcW w:type="dxa" w:w="3168"/>
            <w:shd w:fill="FFFFFF"/>
            <w:tcMar>
              <w:top w:w="60" w:type="dxa"/>
              <w:bottom w:w="60" w:type="dxa"/>
              <w:left w:w="70" w:type="dxa"/>
              <w:right w:w="70" w:type="dxa"/>
            </w:tcMar>
            <w:vAlign w:val="center"/>
          </w:tcPr>
          <w:p>
            <w:pPr>
              <w:spacing w:before="0" w:after="0"/>
              <w:jc w:val="left"/>
            </w:pPr>
            <w:r>
              <w:rPr>
                <w:rFonts w:ascii="Calibri" w:hAnsi="Calibri"/>
                <w:sz w:val="17"/>
              </w:rPr>
              <w:t>Análisis de vibraciones por demodulación y relubricación asistida por ultrasonido acústico.</w:t>
            </w:r>
          </w:p>
        </w:tc>
        <w:tc>
          <w:tcPr>
            <w:tcW w:type="dxa" w:w="1440"/>
            <w:shd w:fill="FFFFFF"/>
            <w:tcMar>
              <w:top w:w="60" w:type="dxa"/>
              <w:bottom w:w="60" w:type="dxa"/>
              <w:left w:w="70" w:type="dxa"/>
              <w:right w:w="70" w:type="dxa"/>
            </w:tcMar>
            <w:vAlign w:val="center"/>
          </w:tcPr>
          <w:p>
            <w:pPr>
              <w:spacing w:before="0" w:after="0"/>
              <w:jc w:val="center"/>
            </w:pPr>
            <w:r>
              <w:rPr>
                <w:rFonts w:ascii="Calibri" w:hAnsi="Calibri"/>
                <w:sz w:val="17"/>
              </w:rPr>
              <w:t>Quincenal</w:t>
            </w:r>
          </w:p>
        </w:tc>
      </w:tr>
      <w:tr>
        <w:tc>
          <w:tcPr>
            <w:tcW w:type="dxa" w:w="864"/>
            <w:shd w:fill="F9FBFD"/>
            <w:tcMar>
              <w:top w:w="60" w:type="dxa"/>
              <w:bottom w:w="60" w:type="dxa"/>
              <w:left w:w="70" w:type="dxa"/>
              <w:right w:w="70" w:type="dxa"/>
            </w:tcMar>
            <w:vAlign w:val="center"/>
          </w:tcPr>
          <w:p>
            <w:pPr>
              <w:spacing w:before="0" w:after="0"/>
              <w:jc w:val="center"/>
            </w:pPr>
            <w:r>
              <w:rPr>
                <w:rFonts w:ascii="Calibri" w:hAnsi="Calibri"/>
                <w:b/>
                <w:sz w:val="17"/>
              </w:rPr>
              <w:t>F2</w:t>
            </w:r>
          </w:p>
        </w:tc>
        <w:tc>
          <w:tcPr>
            <w:tcW w:type="dxa" w:w="2016"/>
            <w:shd w:fill="F9FBFD"/>
            <w:tcMar>
              <w:top w:w="60" w:type="dxa"/>
              <w:bottom w:w="60" w:type="dxa"/>
              <w:left w:w="70" w:type="dxa"/>
              <w:right w:w="70" w:type="dxa"/>
            </w:tcMar>
            <w:vAlign w:val="center"/>
          </w:tcPr>
          <w:p>
            <w:pPr>
              <w:spacing w:before="0" w:after="0"/>
              <w:jc w:val="left"/>
            </w:pPr>
            <w:r>
              <w:rPr>
                <w:rFonts w:ascii="Calibri" w:hAnsi="Calibri"/>
                <w:sz w:val="17"/>
              </w:rPr>
              <w:t>Motor asincrónico 55 kW</w:t>
            </w:r>
          </w:p>
        </w:tc>
        <w:tc>
          <w:tcPr>
            <w:tcW w:type="dxa" w:w="1872"/>
            <w:shd w:fill="F9FBFD"/>
            <w:tcMar>
              <w:top w:w="60" w:type="dxa"/>
              <w:bottom w:w="60" w:type="dxa"/>
              <w:left w:w="70" w:type="dxa"/>
              <w:right w:w="70" w:type="dxa"/>
            </w:tcMar>
            <w:vAlign w:val="center"/>
          </w:tcPr>
          <w:p>
            <w:pPr>
              <w:spacing w:before="0" w:after="0"/>
              <w:jc w:val="left"/>
            </w:pPr>
            <w:r>
              <w:rPr>
                <w:rFonts w:ascii="Calibri" w:hAnsi="Calibri"/>
                <w:sz w:val="17"/>
              </w:rPr>
              <w:t>Preventivo / TPM</w:t>
            </w:r>
          </w:p>
        </w:tc>
        <w:tc>
          <w:tcPr>
            <w:tcW w:type="dxa" w:w="3168"/>
            <w:shd w:fill="F9FBFD"/>
            <w:tcMar>
              <w:top w:w="60" w:type="dxa"/>
              <w:bottom w:w="60" w:type="dxa"/>
              <w:left w:w="70" w:type="dxa"/>
              <w:right w:w="70" w:type="dxa"/>
            </w:tcMar>
            <w:vAlign w:val="center"/>
          </w:tcPr>
          <w:p>
            <w:pPr>
              <w:spacing w:before="0" w:after="0"/>
              <w:jc w:val="left"/>
            </w:pPr>
            <w:r>
              <w:rPr>
                <w:rFonts w:ascii="Calibri" w:hAnsi="Calibri"/>
                <w:sz w:val="17"/>
              </w:rPr>
              <w:t>Limpieza de tobera de ventilador y carcasa (TPM) + Termografía y megado de aislación.</w:t>
            </w:r>
          </w:p>
        </w:tc>
        <w:tc>
          <w:tcPr>
            <w:tcW w:type="dxa" w:w="1440"/>
            <w:shd w:fill="F9FBFD"/>
            <w:tcMar>
              <w:top w:w="60" w:type="dxa"/>
              <w:bottom w:w="60" w:type="dxa"/>
              <w:left w:w="70" w:type="dxa"/>
              <w:right w:w="70" w:type="dxa"/>
            </w:tcMar>
            <w:vAlign w:val="center"/>
          </w:tcPr>
          <w:p>
            <w:pPr>
              <w:spacing w:before="0" w:after="0"/>
              <w:jc w:val="center"/>
            </w:pPr>
            <w:r>
              <w:rPr>
                <w:rFonts w:ascii="Calibri" w:hAnsi="Calibri"/>
                <w:sz w:val="17"/>
              </w:rPr>
              <w:t>Semanal / Mensual</w:t>
            </w:r>
          </w:p>
        </w:tc>
      </w:tr>
      <w:tr>
        <w:tc>
          <w:tcPr>
            <w:tcW w:type="dxa" w:w="864"/>
            <w:shd w:fill="FFFFFF"/>
            <w:tcMar>
              <w:top w:w="60" w:type="dxa"/>
              <w:bottom w:w="60" w:type="dxa"/>
              <w:left w:w="70" w:type="dxa"/>
              <w:right w:w="70" w:type="dxa"/>
            </w:tcMar>
            <w:vAlign w:val="center"/>
          </w:tcPr>
          <w:p>
            <w:pPr>
              <w:spacing w:before="0" w:after="0"/>
              <w:jc w:val="center"/>
            </w:pPr>
            <w:r>
              <w:rPr>
                <w:rFonts w:ascii="Calibri" w:hAnsi="Calibri"/>
                <w:b/>
                <w:sz w:val="17"/>
              </w:rPr>
              <w:t>F3</w:t>
            </w:r>
          </w:p>
        </w:tc>
        <w:tc>
          <w:tcPr>
            <w:tcW w:type="dxa" w:w="2016"/>
            <w:shd w:fill="FFFFFF"/>
            <w:tcMar>
              <w:top w:w="60" w:type="dxa"/>
              <w:bottom w:w="60" w:type="dxa"/>
              <w:left w:w="70" w:type="dxa"/>
              <w:right w:w="70" w:type="dxa"/>
            </w:tcMar>
            <w:vAlign w:val="center"/>
          </w:tcPr>
          <w:p>
            <w:pPr>
              <w:spacing w:before="0" w:after="0"/>
              <w:jc w:val="left"/>
            </w:pPr>
            <w:r>
              <w:rPr>
                <w:rFonts w:ascii="Calibri" w:hAnsi="Calibri"/>
                <w:sz w:val="17"/>
              </w:rPr>
              <w:t>Latiguillo de 20 bar</w:t>
            </w:r>
          </w:p>
        </w:tc>
        <w:tc>
          <w:tcPr>
            <w:tcW w:type="dxa" w:w="1872"/>
            <w:shd w:fill="FFFFFF"/>
            <w:tcMar>
              <w:top w:w="60" w:type="dxa"/>
              <w:bottom w:w="60" w:type="dxa"/>
              <w:left w:w="70" w:type="dxa"/>
              <w:right w:w="70" w:type="dxa"/>
            </w:tcMar>
            <w:vAlign w:val="center"/>
          </w:tcPr>
          <w:p>
            <w:pPr>
              <w:spacing w:before="0" w:after="0"/>
              <w:jc w:val="left"/>
            </w:pPr>
            <w:r>
              <w:rPr>
                <w:rFonts w:ascii="Calibri" w:hAnsi="Calibri"/>
                <w:sz w:val="17"/>
              </w:rPr>
              <w:t>Preventivo Sistemático</w:t>
            </w:r>
          </w:p>
        </w:tc>
        <w:tc>
          <w:tcPr>
            <w:tcW w:type="dxa" w:w="3168"/>
            <w:shd w:fill="FFFFFF"/>
            <w:tcMar>
              <w:top w:w="60" w:type="dxa"/>
              <w:bottom w:w="60" w:type="dxa"/>
              <w:left w:w="70" w:type="dxa"/>
              <w:right w:w="70" w:type="dxa"/>
            </w:tcMar>
            <w:vAlign w:val="center"/>
          </w:tcPr>
          <w:p>
            <w:pPr>
              <w:spacing w:before="0" w:after="0"/>
              <w:jc w:val="left"/>
            </w:pPr>
            <w:r>
              <w:rPr>
                <w:rFonts w:ascii="Calibri" w:hAnsi="Calibri"/>
                <w:sz w:val="17"/>
              </w:rPr>
              <w:t>Inspección de fatiga por pulsación y sustitución calendarizada preventiva cada 24 meses.</w:t>
            </w:r>
          </w:p>
        </w:tc>
        <w:tc>
          <w:tcPr>
            <w:tcW w:type="dxa" w:w="1440"/>
            <w:shd w:fill="FFFFFF"/>
            <w:tcMar>
              <w:top w:w="60" w:type="dxa"/>
              <w:bottom w:w="60" w:type="dxa"/>
              <w:left w:w="70" w:type="dxa"/>
              <w:right w:w="70" w:type="dxa"/>
            </w:tcMar>
            <w:vAlign w:val="center"/>
          </w:tcPr>
          <w:p>
            <w:pPr>
              <w:spacing w:before="0" w:after="0"/>
              <w:jc w:val="center"/>
            </w:pPr>
            <w:r>
              <w:rPr>
                <w:rFonts w:ascii="Calibri" w:hAnsi="Calibri"/>
                <w:sz w:val="17"/>
              </w:rPr>
              <w:t>Mensual / 2 años</w:t>
            </w:r>
          </w:p>
        </w:tc>
      </w:tr>
      <w:tr>
        <w:tc>
          <w:tcPr>
            <w:tcW w:type="dxa" w:w="864"/>
            <w:shd w:fill="F9FBFD"/>
            <w:tcMar>
              <w:top w:w="60" w:type="dxa"/>
              <w:bottom w:w="60" w:type="dxa"/>
              <w:left w:w="70" w:type="dxa"/>
              <w:right w:w="70" w:type="dxa"/>
            </w:tcMar>
            <w:vAlign w:val="center"/>
          </w:tcPr>
          <w:p>
            <w:pPr>
              <w:spacing w:before="0" w:after="0"/>
              <w:jc w:val="center"/>
            </w:pPr>
            <w:r>
              <w:rPr>
                <w:rFonts w:ascii="Calibri" w:hAnsi="Calibri"/>
                <w:b/>
                <w:sz w:val="17"/>
              </w:rPr>
              <w:t>F4</w:t>
            </w:r>
          </w:p>
        </w:tc>
        <w:tc>
          <w:tcPr>
            <w:tcW w:type="dxa" w:w="2016"/>
            <w:shd w:fill="F9FBFD"/>
            <w:tcMar>
              <w:top w:w="60" w:type="dxa"/>
              <w:bottom w:w="60" w:type="dxa"/>
              <w:left w:w="70" w:type="dxa"/>
              <w:right w:w="70" w:type="dxa"/>
            </w:tcMar>
            <w:vAlign w:val="center"/>
          </w:tcPr>
          <w:p>
            <w:pPr>
              <w:spacing w:before="0" w:after="0"/>
              <w:jc w:val="left"/>
            </w:pPr>
            <w:r>
              <w:rPr>
                <w:rFonts w:ascii="Calibri" w:hAnsi="Calibri"/>
                <w:sz w:val="17"/>
              </w:rPr>
              <w:t>Banda transportadora 15 m</w:t>
            </w:r>
          </w:p>
        </w:tc>
        <w:tc>
          <w:tcPr>
            <w:tcW w:type="dxa" w:w="1872"/>
            <w:shd w:fill="F9FBFD"/>
            <w:tcMar>
              <w:top w:w="60" w:type="dxa"/>
              <w:bottom w:w="60" w:type="dxa"/>
              <w:left w:w="70" w:type="dxa"/>
              <w:right w:w="70" w:type="dxa"/>
            </w:tcMar>
            <w:vAlign w:val="center"/>
          </w:tcPr>
          <w:p>
            <w:pPr>
              <w:spacing w:before="0" w:after="0"/>
              <w:jc w:val="left"/>
            </w:pPr>
            <w:r>
              <w:rPr>
                <w:rFonts w:ascii="Calibri" w:hAnsi="Calibri"/>
                <w:sz w:val="17"/>
              </w:rPr>
              <w:t>TPM y Predictivo</w:t>
            </w:r>
          </w:p>
        </w:tc>
        <w:tc>
          <w:tcPr>
            <w:tcW w:type="dxa" w:w="3168"/>
            <w:shd w:fill="F9FBFD"/>
            <w:tcMar>
              <w:top w:w="60" w:type="dxa"/>
              <w:bottom w:w="60" w:type="dxa"/>
              <w:left w:w="70" w:type="dxa"/>
              <w:right w:w="70" w:type="dxa"/>
            </w:tcMar>
            <w:vAlign w:val="center"/>
          </w:tcPr>
          <w:p>
            <w:pPr>
              <w:spacing w:before="0" w:after="0"/>
              <w:jc w:val="left"/>
            </w:pPr>
            <w:r>
              <w:rPr>
                <w:rFonts w:ascii="Calibri" w:hAnsi="Calibri"/>
                <w:sz w:val="17"/>
              </w:rPr>
              <w:t>Limpieza de tambor de cola por rascador interior + Chequeo funcional de sensores inductivos.</w:t>
            </w:r>
          </w:p>
        </w:tc>
        <w:tc>
          <w:tcPr>
            <w:tcW w:type="dxa" w:w="1440"/>
            <w:shd w:fill="F9FBFD"/>
            <w:tcMar>
              <w:top w:w="60" w:type="dxa"/>
              <w:bottom w:w="60" w:type="dxa"/>
              <w:left w:w="70" w:type="dxa"/>
              <w:right w:w="70" w:type="dxa"/>
            </w:tcMar>
            <w:vAlign w:val="center"/>
          </w:tcPr>
          <w:p>
            <w:pPr>
              <w:spacing w:before="0" w:after="0"/>
              <w:jc w:val="center"/>
            </w:pPr>
            <w:r>
              <w:rPr>
                <w:rFonts w:ascii="Calibri" w:hAnsi="Calibri"/>
                <w:sz w:val="17"/>
              </w:rPr>
              <w:t>Diaria</w:t>
            </w:r>
          </w:p>
        </w:tc>
      </w:tr>
      <w:tr>
        <w:tc>
          <w:tcPr>
            <w:tcW w:type="dxa" w:w="864"/>
            <w:shd w:fill="FFFFFF"/>
            <w:tcMar>
              <w:top w:w="60" w:type="dxa"/>
              <w:bottom w:w="60" w:type="dxa"/>
              <w:left w:w="70" w:type="dxa"/>
              <w:right w:w="70" w:type="dxa"/>
            </w:tcMar>
            <w:vAlign w:val="center"/>
          </w:tcPr>
          <w:p>
            <w:pPr>
              <w:spacing w:before="0" w:after="0"/>
              <w:jc w:val="center"/>
            </w:pPr>
            <w:r>
              <w:rPr>
                <w:rFonts w:ascii="Calibri" w:hAnsi="Calibri"/>
                <w:b/>
                <w:sz w:val="17"/>
              </w:rPr>
              <w:t>F5</w:t>
            </w:r>
          </w:p>
        </w:tc>
        <w:tc>
          <w:tcPr>
            <w:tcW w:type="dxa" w:w="2016"/>
            <w:shd w:fill="FFFFFF"/>
            <w:tcMar>
              <w:top w:w="60" w:type="dxa"/>
              <w:bottom w:w="60" w:type="dxa"/>
              <w:left w:w="70" w:type="dxa"/>
              <w:right w:w="70" w:type="dxa"/>
            </w:tcMar>
            <w:vAlign w:val="center"/>
          </w:tcPr>
          <w:p>
            <w:pPr>
              <w:spacing w:before="0" w:after="0"/>
              <w:jc w:val="left"/>
            </w:pPr>
            <w:r>
              <w:rPr>
                <w:rFonts w:ascii="Calibri" w:hAnsi="Calibri"/>
                <w:sz w:val="17"/>
              </w:rPr>
              <w:t>Rascador de uretano</w:t>
            </w:r>
          </w:p>
        </w:tc>
        <w:tc>
          <w:tcPr>
            <w:tcW w:type="dxa" w:w="1872"/>
            <w:shd w:fill="FFFFFF"/>
            <w:tcMar>
              <w:top w:w="60" w:type="dxa"/>
              <w:bottom w:w="60" w:type="dxa"/>
              <w:left w:w="70" w:type="dxa"/>
              <w:right w:w="70" w:type="dxa"/>
            </w:tcMar>
            <w:vAlign w:val="center"/>
          </w:tcPr>
          <w:p>
            <w:pPr>
              <w:spacing w:before="0" w:after="0"/>
              <w:jc w:val="left"/>
            </w:pPr>
            <w:r>
              <w:rPr>
                <w:rFonts w:ascii="Calibri" w:hAnsi="Calibri"/>
                <w:sz w:val="17"/>
              </w:rPr>
              <w:t>Mantenimiento Autónomo (TPM)</w:t>
            </w:r>
          </w:p>
        </w:tc>
        <w:tc>
          <w:tcPr>
            <w:tcW w:type="dxa" w:w="3168"/>
            <w:shd w:fill="FFFFFF"/>
            <w:tcMar>
              <w:top w:w="60" w:type="dxa"/>
              <w:bottom w:w="60" w:type="dxa"/>
              <w:left w:w="70" w:type="dxa"/>
              <w:right w:w="70" w:type="dxa"/>
            </w:tcMar>
            <w:vAlign w:val="center"/>
          </w:tcPr>
          <w:p>
            <w:pPr>
              <w:spacing w:before="0" w:after="0"/>
              <w:jc w:val="left"/>
            </w:pPr>
            <w:r>
              <w:rPr>
                <w:rFonts w:ascii="Calibri" w:hAnsi="Calibri"/>
                <w:sz w:val="17"/>
              </w:rPr>
              <w:t>Inspección de labio de contacto, ajuste de resorte tensor y remoción de costra de mineral.</w:t>
            </w:r>
          </w:p>
        </w:tc>
        <w:tc>
          <w:tcPr>
            <w:tcW w:type="dxa" w:w="1440"/>
            <w:shd w:fill="FFFFFF"/>
            <w:tcMar>
              <w:top w:w="60" w:type="dxa"/>
              <w:bottom w:w="60" w:type="dxa"/>
              <w:left w:w="70" w:type="dxa"/>
              <w:right w:w="70" w:type="dxa"/>
            </w:tcMar>
            <w:vAlign w:val="center"/>
          </w:tcPr>
          <w:p>
            <w:pPr>
              <w:spacing w:before="0" w:after="0"/>
              <w:jc w:val="center"/>
            </w:pPr>
            <w:r>
              <w:rPr>
                <w:rFonts w:ascii="Calibri" w:hAnsi="Calibri"/>
                <w:sz w:val="17"/>
              </w:rPr>
              <w:t>Diaria</w:t>
            </w:r>
          </w:p>
        </w:tc>
      </w:tr>
    </w:tbl>
    <w:p>
      <w:pPr>
        <w:pStyle w:val="Heading2"/>
        <w:keepNext/>
        <w:spacing w:before="280" w:after="120"/>
      </w:pPr>
      <w:r>
        <w:rPr>
          <w:rFonts w:ascii="Calibri" w:hAnsi="Calibri"/>
          <w:b/>
          <w:color w:val="0E2841"/>
          <w:sz w:val="24"/>
        </w:rPr>
        <w:t>Consigna 4: Determinación de KPIs y Análisis de Patrones de Nowlan &amp; Heap</w:t>
      </w:r>
    </w:p>
    <w:p>
      <w:r>
        <w:rPr>
          <w:b/>
        </w:rPr>
        <w:t>a) Memoria de Cálculo de Indicadores de Confiabilidad y Mantenibilidad:</w:t>
        <w:br/>
      </w:r>
      <w:r>
        <w:t>• Tiempo Operativo Programado (TOP): 7,200 h/año (24 h × 300 días).</w:t>
        <w:br/>
        <w:t>• Tiempo Total de Paradas por Falla (TTP): 120.0 h (sumatoria F1 a F5).</w:t>
        <w:br/>
        <w:t>• Tiempo de Funcionamiento Real (TFR): TOP - TTP = 7,080.0 h.</w:t>
        <w:br/>
        <w:t>• Caso Base Nominal (N = 5):</w:t>
        <w:br/>
        <w:t xml:space="preserve">   - MTBF = TFR / N = 1,416.00 h | MTTR = TTP / N = 24.00 h.</w:t>
        <w:br/>
        <w:t xml:space="preserve">   - Disponibilidad Inherente (Ai) = 98.33% | Disponibilidad Operacional (Ao) = 98.33%.</w:t>
        <w:br/>
        <w:t>• Caso Refinado con Repetición Estimada de Fallas (N_est = 9):</w:t>
        <w:br/>
        <w:t xml:space="preserve">   - MTBF = 786.67 h | MTTR = 13.33 h | Ai = Ao = 98.33%.</w:t>
      </w:r>
    </w:p>
    <w:p>
      <w:r>
        <w:rPr>
          <w:b/>
        </w:rPr>
        <w:t>b) Análisis de Patrones de Falla de Nowlan &amp; Heap:</w:t>
        <w:br/>
      </w:r>
      <w:r>
        <w:t>¿Sigue la línea de transporte la 'curva de la bañera' (Patrón A)?</w:t>
        <w:br/>
        <w:t>RESPUESTA: NO. La investigación clásica de Nowlan &amp; Heap (1978) demostró que la curva de la bañera (Patrón A) solo representa el 4% de las fallas en la industria moderna, mientras que los patrones dependientes de la edad (A, B, C) suman apenas el 11%. En marcado contraste, los Patrones Aleatorios e Incondicionales a la Edad (D, E, F) representan el 89%:</w:t>
        <w:br/>
        <w:t>• Patrón D (7%): Falla aleatoria tras período inicial de asentamiento.</w:t>
        <w:br/>
        <w:t>• Patrón E (14%): Tasa de falla estrictamente constante y aleatoria durante toda la vida útil.</w:t>
        <w:br/>
        <w:t>• Patrón F (68%): Altísima mortalidad infantil inicial seguida de tasa de falla aleatoria constante.</w:t>
        <w:br/>
        <w:br/>
        <w:t>En nuestra cinta transportadora, el 100% de las fallas obedecen a los Patrones D, E y F:</w:t>
        <w:br/>
        <w:t>• F1 (Rodamiento): Contaminación accidental con polvo de sílice y daño en retén (Patrón E/F), no fatiga L10.</w:t>
        <w:br/>
        <w:t>• F2 (Motor): Bloqueo aerodinámico de ventilador por barro mineral y calentamiento extremo (Patrón E).</w:t>
        <w:br/>
        <w:t>• F3 (Latiguillo): Fatiga cíclica por picos de pulsación hidráulica (Patrón D/E).</w:t>
        <w:br/>
        <w:t>• F4 (Cinta): Rasgado aleatorio por atascamiento de áridos en cola (Patrón E).</w:t>
        <w:br/>
        <w:t>• F5 (Rascador): Trabamiento por acumulación de barro (Patrón D/E).</w:t>
        <w:br/>
        <w:br/>
        <w:t>Conclusión Estratégica: Desarmar equipos por horas de calendario no previene estas contingencias y aumenta drásticamente el riesgo de inducir fallas de mortalidad infantil (Patrón F). La estrategia óptima es el CBM y TPM.</w:t>
      </w:r>
    </w:p>
    <w:p>
      <w:pPr>
        <w:pStyle w:val="Heading2"/>
        <w:keepNext/>
        <w:spacing w:before="280" w:after="120"/>
      </w:pPr>
      <w:r>
        <w:rPr>
          <w:rFonts w:ascii="Calibri" w:hAnsi="Calibri"/>
          <w:b/>
          <w:color w:val="0E2841"/>
          <w:sz w:val="24"/>
        </w:rPr>
        <w:t>Consigna 5: Balance Económico y Caso de Negocio de Motor Standby</w:t>
      </w:r>
    </w:p>
    <w:tbl>
      <w:tblPr>
        <w:tblW w:type="auto" w:w="0"/>
        <w:jc w:val="center"/>
        <w:tblLayout w:type="fixed"/>
        <w:tblLook w:firstColumn="1" w:firstRow="1" w:lastColumn="0" w:lastRow="0" w:noHBand="0" w:noVBand="1" w:val="04A0"/>
      </w:tblPr>
      <w:tblGrid>
        <w:gridCol w:w="1399"/>
        <w:gridCol w:w="1399"/>
        <w:gridCol w:w="1399"/>
        <w:gridCol w:w="1399"/>
        <w:gridCol w:w="1399"/>
        <w:gridCol w:w="1399"/>
        <w:gridCol w:w="1399"/>
      </w:tblGrid>
      <w:tr>
        <w:tc>
          <w:tcPr>
            <w:tcW w:type="dxa" w:w="1399"/>
            <w:shd w:fill="1F4E79"/>
            <w:tcMar>
              <w:top w:w="120" w:type="dxa"/>
              <w:bottom w:w="120" w:type="dxa"/>
              <w:left w:w="130" w:type="dxa"/>
              <w:right w:w="130" w:type="dxa"/>
            </w:tcMar>
            <w:vAlign w:val="center"/>
          </w:tcPr>
          <w:p>
            <w:pPr>
              <w:spacing w:before="0" w:after="0"/>
              <w:jc w:val="center"/>
            </w:pPr>
            <w:r>
              <w:rPr>
                <w:rFonts w:ascii="Calibri" w:hAnsi="Calibri"/>
                <w:b/>
                <w:color w:val="FFFFFF"/>
                <w:sz w:val="18"/>
              </w:rPr>
              <w:t>Evento</w:t>
            </w:r>
          </w:p>
        </w:tc>
        <w:tc>
          <w:tcPr>
            <w:tcW w:type="dxa" w:w="1399"/>
            <w:shd w:fill="1F4E79"/>
            <w:tcMar>
              <w:top w:w="120" w:type="dxa"/>
              <w:bottom w:w="120" w:type="dxa"/>
              <w:left w:w="130" w:type="dxa"/>
              <w:right w:w="130" w:type="dxa"/>
            </w:tcMar>
            <w:vAlign w:val="center"/>
          </w:tcPr>
          <w:p>
            <w:pPr>
              <w:spacing w:before="0" w:after="0"/>
              <w:jc w:val="center"/>
            </w:pPr>
            <w:r>
              <w:rPr>
                <w:rFonts w:ascii="Calibri" w:hAnsi="Calibri"/>
                <w:b/>
                <w:color w:val="FFFFFF"/>
                <w:sz w:val="18"/>
              </w:rPr>
              <w:t>TTP (h)</w:t>
            </w:r>
          </w:p>
        </w:tc>
        <w:tc>
          <w:tcPr>
            <w:tcW w:type="dxa" w:w="1399"/>
            <w:shd w:fill="1F4E79"/>
            <w:tcMar>
              <w:top w:w="120" w:type="dxa"/>
              <w:bottom w:w="120" w:type="dxa"/>
              <w:left w:w="130" w:type="dxa"/>
              <w:right w:w="130" w:type="dxa"/>
            </w:tcMar>
            <w:vAlign w:val="center"/>
          </w:tcPr>
          <w:p>
            <w:pPr>
              <w:spacing w:before="0" w:after="0"/>
              <w:jc w:val="center"/>
            </w:pPr>
            <w:r>
              <w:rPr>
                <w:rFonts w:ascii="Calibri" w:hAnsi="Calibri"/>
                <w:b/>
                <w:color w:val="FFFFFF"/>
                <w:sz w:val="18"/>
              </w:rPr>
              <w:t>Costo Parada (USD)</w:t>
            </w:r>
          </w:p>
        </w:tc>
        <w:tc>
          <w:tcPr>
            <w:tcW w:type="dxa" w:w="1399"/>
            <w:shd w:fill="1F4E79"/>
            <w:tcMar>
              <w:top w:w="120" w:type="dxa"/>
              <w:bottom w:w="120" w:type="dxa"/>
              <w:left w:w="130" w:type="dxa"/>
              <w:right w:w="130" w:type="dxa"/>
            </w:tcMar>
            <w:vAlign w:val="center"/>
          </w:tcPr>
          <w:p>
            <w:pPr>
              <w:spacing w:before="0" w:after="0"/>
              <w:jc w:val="center"/>
            </w:pPr>
            <w:r>
              <w:rPr>
                <w:rFonts w:ascii="Calibri" w:hAnsi="Calibri"/>
                <w:b/>
                <w:color w:val="FFFFFF"/>
                <w:sz w:val="18"/>
              </w:rPr>
              <w:t>Repuestos (USD)</w:t>
            </w:r>
          </w:p>
        </w:tc>
        <w:tc>
          <w:tcPr>
            <w:tcW w:type="dxa" w:w="1399"/>
            <w:shd w:fill="1F4E79"/>
            <w:tcMar>
              <w:top w:w="120" w:type="dxa"/>
              <w:bottom w:w="120" w:type="dxa"/>
              <w:left w:w="130" w:type="dxa"/>
              <w:right w:w="130" w:type="dxa"/>
            </w:tcMar>
            <w:vAlign w:val="center"/>
          </w:tcPr>
          <w:p>
            <w:pPr>
              <w:spacing w:before="0" w:after="0"/>
              <w:jc w:val="center"/>
            </w:pPr>
            <w:r>
              <w:rPr>
                <w:rFonts w:ascii="Calibri" w:hAnsi="Calibri"/>
                <w:b/>
                <w:color w:val="FFFFFF"/>
                <w:sz w:val="18"/>
              </w:rPr>
              <w:t>HH</w:t>
            </w:r>
          </w:p>
        </w:tc>
        <w:tc>
          <w:tcPr>
            <w:tcW w:type="dxa" w:w="1399"/>
            <w:shd w:fill="1F4E79"/>
            <w:tcMar>
              <w:top w:w="120" w:type="dxa"/>
              <w:bottom w:w="120" w:type="dxa"/>
              <w:left w:w="130" w:type="dxa"/>
              <w:right w:w="130" w:type="dxa"/>
            </w:tcMar>
            <w:vAlign w:val="center"/>
          </w:tcPr>
          <w:p>
            <w:pPr>
              <w:spacing w:before="0" w:after="0"/>
              <w:jc w:val="center"/>
            </w:pPr>
            <w:r>
              <w:rPr>
                <w:rFonts w:ascii="Calibri" w:hAnsi="Calibri"/>
                <w:b/>
                <w:color w:val="FFFFFF"/>
                <w:sz w:val="18"/>
              </w:rPr>
              <w:t>Costo MO (USD)</w:t>
            </w:r>
          </w:p>
        </w:tc>
        <w:tc>
          <w:tcPr>
            <w:tcW w:type="dxa" w:w="1399"/>
            <w:shd w:fill="1F4E79"/>
            <w:tcMar>
              <w:top w:w="120" w:type="dxa"/>
              <w:bottom w:w="120" w:type="dxa"/>
              <w:left w:w="130" w:type="dxa"/>
              <w:right w:w="130" w:type="dxa"/>
            </w:tcMar>
            <w:vAlign w:val="center"/>
          </w:tcPr>
          <w:p>
            <w:pPr>
              <w:spacing w:before="0" w:after="0"/>
              <w:jc w:val="center"/>
            </w:pPr>
            <w:r>
              <w:rPr>
                <w:rFonts w:ascii="Calibri" w:hAnsi="Calibri"/>
                <w:b/>
                <w:color w:val="FFFFFF"/>
                <w:sz w:val="18"/>
              </w:rPr>
              <w:t>Costo Total (USD)</w:t>
            </w:r>
          </w:p>
        </w:tc>
      </w:tr>
      <w:tr>
        <w:tc>
          <w:tcPr>
            <w:tcW w:type="dxa" w:w="864"/>
            <w:shd w:fill="FFFFFF"/>
            <w:tcMar>
              <w:top w:w="60" w:type="dxa"/>
              <w:bottom w:w="60" w:type="dxa"/>
              <w:left w:w="70" w:type="dxa"/>
              <w:right w:w="70" w:type="dxa"/>
            </w:tcMar>
            <w:vAlign w:val="center"/>
          </w:tcPr>
          <w:p>
            <w:pPr>
              <w:spacing w:before="0" w:after="0"/>
              <w:jc w:val="center"/>
            </w:pPr>
            <w:r>
              <w:rPr>
                <w:rFonts w:ascii="Calibri" w:hAnsi="Calibri"/>
                <w:b/>
                <w:sz w:val="17"/>
              </w:rPr>
              <w:t>F1</w:t>
            </w:r>
          </w:p>
        </w:tc>
        <w:tc>
          <w:tcPr>
            <w:tcW w:type="dxa" w:w="1008"/>
            <w:shd w:fill="FFFFFF"/>
            <w:tcMar>
              <w:top w:w="60" w:type="dxa"/>
              <w:bottom w:w="60" w:type="dxa"/>
              <w:left w:w="70" w:type="dxa"/>
              <w:right w:w="70" w:type="dxa"/>
            </w:tcMar>
            <w:vAlign w:val="center"/>
          </w:tcPr>
          <w:p>
            <w:pPr>
              <w:spacing w:before="0" w:after="0"/>
              <w:jc w:val="center"/>
            </w:pPr>
            <w:r>
              <w:rPr>
                <w:rFonts w:ascii="Calibri" w:hAnsi="Calibri"/>
                <w:sz w:val="17"/>
              </w:rPr>
              <w:t>28</w:t>
            </w:r>
          </w:p>
        </w:tc>
        <w:tc>
          <w:tcPr>
            <w:tcW w:type="dxa" w:w="1872"/>
            <w:shd w:fill="FFFFFF"/>
            <w:tcMar>
              <w:top w:w="60" w:type="dxa"/>
              <w:bottom w:w="60" w:type="dxa"/>
              <w:left w:w="70" w:type="dxa"/>
              <w:right w:w="70" w:type="dxa"/>
            </w:tcMar>
            <w:vAlign w:val="center"/>
          </w:tcPr>
          <w:p>
            <w:pPr>
              <w:spacing w:before="0" w:after="0"/>
              <w:jc w:val="right"/>
            </w:pPr>
            <w:r>
              <w:rPr>
                <w:rFonts w:ascii="Calibri" w:hAnsi="Calibri"/>
                <w:sz w:val="17"/>
              </w:rPr>
              <w:t>$70,000</w:t>
            </w:r>
          </w:p>
        </w:tc>
        <w:tc>
          <w:tcPr>
            <w:tcW w:type="dxa" w:w="1440"/>
            <w:shd w:fill="FFFFFF"/>
            <w:tcMar>
              <w:top w:w="60" w:type="dxa"/>
              <w:bottom w:w="60" w:type="dxa"/>
              <w:left w:w="70" w:type="dxa"/>
              <w:right w:w="70" w:type="dxa"/>
            </w:tcMar>
            <w:vAlign w:val="center"/>
          </w:tcPr>
          <w:p>
            <w:pPr>
              <w:spacing w:before="0" w:after="0"/>
              <w:jc w:val="right"/>
            </w:pPr>
            <w:r>
              <w:rPr>
                <w:rFonts w:ascii="Calibri" w:hAnsi="Calibri"/>
                <w:sz w:val="17"/>
              </w:rPr>
              <w:t>$1,850</w:t>
            </w:r>
          </w:p>
        </w:tc>
        <w:tc>
          <w:tcPr>
            <w:tcW w:type="dxa" w:w="864"/>
            <w:shd w:fill="FFFFFF"/>
            <w:tcMar>
              <w:top w:w="60" w:type="dxa"/>
              <w:bottom w:w="60" w:type="dxa"/>
              <w:left w:w="70" w:type="dxa"/>
              <w:right w:w="70" w:type="dxa"/>
            </w:tcMar>
            <w:vAlign w:val="center"/>
          </w:tcPr>
          <w:p>
            <w:pPr>
              <w:spacing w:before="0" w:after="0"/>
              <w:jc w:val="center"/>
            </w:pPr>
            <w:r>
              <w:rPr>
                <w:rFonts w:ascii="Calibri" w:hAnsi="Calibri"/>
                <w:sz w:val="17"/>
              </w:rPr>
              <w:t>48</w:t>
            </w:r>
          </w:p>
        </w:tc>
        <w:tc>
          <w:tcPr>
            <w:tcW w:type="dxa" w:w="1440"/>
            <w:shd w:fill="FFFFFF"/>
            <w:tcMar>
              <w:top w:w="60" w:type="dxa"/>
              <w:bottom w:w="60" w:type="dxa"/>
              <w:left w:w="70" w:type="dxa"/>
              <w:right w:w="70" w:type="dxa"/>
            </w:tcMar>
            <w:vAlign w:val="center"/>
          </w:tcPr>
          <w:p>
            <w:pPr>
              <w:spacing w:before="0" w:after="0"/>
              <w:jc w:val="right"/>
            </w:pPr>
            <w:r>
              <w:rPr>
                <w:rFonts w:ascii="Calibri" w:hAnsi="Calibri"/>
                <w:sz w:val="17"/>
              </w:rPr>
              <w:t>$1,200</w:t>
            </w:r>
          </w:p>
        </w:tc>
        <w:tc>
          <w:tcPr>
            <w:tcW w:type="dxa" w:w="1872"/>
            <w:shd w:fill="FFFFFF"/>
            <w:tcMar>
              <w:top w:w="60" w:type="dxa"/>
              <w:bottom w:w="60" w:type="dxa"/>
              <w:left w:w="70" w:type="dxa"/>
              <w:right w:w="70" w:type="dxa"/>
            </w:tcMar>
            <w:vAlign w:val="center"/>
          </w:tcPr>
          <w:p>
            <w:pPr>
              <w:spacing w:before="0" w:after="0"/>
              <w:jc w:val="right"/>
            </w:pPr>
            <w:r>
              <w:rPr>
                <w:rFonts w:ascii="Calibri" w:hAnsi="Calibri"/>
                <w:sz w:val="17"/>
              </w:rPr>
              <w:t>$73,050</w:t>
            </w:r>
          </w:p>
        </w:tc>
      </w:tr>
      <w:tr>
        <w:tc>
          <w:tcPr>
            <w:tcW w:type="dxa" w:w="864"/>
            <w:shd w:fill="F9FBFD"/>
            <w:tcMar>
              <w:top w:w="60" w:type="dxa"/>
              <w:bottom w:w="60" w:type="dxa"/>
              <w:left w:w="70" w:type="dxa"/>
              <w:right w:w="70" w:type="dxa"/>
            </w:tcMar>
            <w:vAlign w:val="center"/>
          </w:tcPr>
          <w:p>
            <w:pPr>
              <w:spacing w:before="0" w:after="0"/>
              <w:jc w:val="center"/>
            </w:pPr>
            <w:r>
              <w:rPr>
                <w:rFonts w:ascii="Calibri" w:hAnsi="Calibri"/>
                <w:b/>
                <w:sz w:val="17"/>
              </w:rPr>
              <w:t>F2</w:t>
            </w:r>
          </w:p>
        </w:tc>
        <w:tc>
          <w:tcPr>
            <w:tcW w:type="dxa" w:w="1008"/>
            <w:shd w:fill="F9FBFD"/>
            <w:tcMar>
              <w:top w:w="60" w:type="dxa"/>
              <w:bottom w:w="60" w:type="dxa"/>
              <w:left w:w="70" w:type="dxa"/>
              <w:right w:w="70" w:type="dxa"/>
            </w:tcMar>
            <w:vAlign w:val="center"/>
          </w:tcPr>
          <w:p>
            <w:pPr>
              <w:spacing w:before="0" w:after="0"/>
              <w:jc w:val="center"/>
            </w:pPr>
            <w:r>
              <w:rPr>
                <w:rFonts w:ascii="Calibri" w:hAnsi="Calibri"/>
                <w:sz w:val="17"/>
              </w:rPr>
              <w:t>42</w:t>
            </w:r>
          </w:p>
        </w:tc>
        <w:tc>
          <w:tcPr>
            <w:tcW w:type="dxa" w:w="1872"/>
            <w:shd w:fill="F9FBFD"/>
            <w:tcMar>
              <w:top w:w="60" w:type="dxa"/>
              <w:bottom w:w="60" w:type="dxa"/>
              <w:left w:w="70" w:type="dxa"/>
              <w:right w:w="70" w:type="dxa"/>
            </w:tcMar>
            <w:vAlign w:val="center"/>
          </w:tcPr>
          <w:p>
            <w:pPr>
              <w:spacing w:before="0" w:after="0"/>
              <w:jc w:val="right"/>
            </w:pPr>
            <w:r>
              <w:rPr>
                <w:rFonts w:ascii="Calibri" w:hAnsi="Calibri"/>
                <w:sz w:val="17"/>
              </w:rPr>
              <w:t>$105,000</w:t>
            </w:r>
          </w:p>
        </w:tc>
        <w:tc>
          <w:tcPr>
            <w:tcW w:type="dxa" w:w="1440"/>
            <w:shd w:fill="F9FBFD"/>
            <w:tcMar>
              <w:top w:w="60" w:type="dxa"/>
              <w:bottom w:w="60" w:type="dxa"/>
              <w:left w:w="70" w:type="dxa"/>
              <w:right w:w="70" w:type="dxa"/>
            </w:tcMar>
            <w:vAlign w:val="center"/>
          </w:tcPr>
          <w:p>
            <w:pPr>
              <w:spacing w:before="0" w:after="0"/>
              <w:jc w:val="right"/>
            </w:pPr>
            <w:r>
              <w:rPr>
                <w:rFonts w:ascii="Calibri" w:hAnsi="Calibri"/>
                <w:sz w:val="17"/>
              </w:rPr>
              <w:t>$3,400</w:t>
            </w:r>
          </w:p>
        </w:tc>
        <w:tc>
          <w:tcPr>
            <w:tcW w:type="dxa" w:w="864"/>
            <w:shd w:fill="F9FBFD"/>
            <w:tcMar>
              <w:top w:w="60" w:type="dxa"/>
              <w:bottom w:w="60" w:type="dxa"/>
              <w:left w:w="70" w:type="dxa"/>
              <w:right w:w="70" w:type="dxa"/>
            </w:tcMar>
            <w:vAlign w:val="center"/>
          </w:tcPr>
          <w:p>
            <w:pPr>
              <w:spacing w:before="0" w:after="0"/>
              <w:jc w:val="center"/>
            </w:pPr>
            <w:r>
              <w:rPr>
                <w:rFonts w:ascii="Calibri" w:hAnsi="Calibri"/>
                <w:sz w:val="17"/>
              </w:rPr>
              <w:t>24</w:t>
            </w:r>
          </w:p>
        </w:tc>
        <w:tc>
          <w:tcPr>
            <w:tcW w:type="dxa" w:w="1440"/>
            <w:shd w:fill="F9FBFD"/>
            <w:tcMar>
              <w:top w:w="60" w:type="dxa"/>
              <w:bottom w:w="60" w:type="dxa"/>
              <w:left w:w="70" w:type="dxa"/>
              <w:right w:w="70" w:type="dxa"/>
            </w:tcMar>
            <w:vAlign w:val="center"/>
          </w:tcPr>
          <w:p>
            <w:pPr>
              <w:spacing w:before="0" w:after="0"/>
              <w:jc w:val="right"/>
            </w:pPr>
            <w:r>
              <w:rPr>
                <w:rFonts w:ascii="Calibri" w:hAnsi="Calibri"/>
                <w:sz w:val="17"/>
              </w:rPr>
              <w:t>$600</w:t>
            </w:r>
          </w:p>
        </w:tc>
        <w:tc>
          <w:tcPr>
            <w:tcW w:type="dxa" w:w="1872"/>
            <w:shd w:fill="F9FBFD"/>
            <w:tcMar>
              <w:top w:w="60" w:type="dxa"/>
              <w:bottom w:w="60" w:type="dxa"/>
              <w:left w:w="70" w:type="dxa"/>
              <w:right w:w="70" w:type="dxa"/>
            </w:tcMar>
            <w:vAlign w:val="center"/>
          </w:tcPr>
          <w:p>
            <w:pPr>
              <w:spacing w:before="0" w:after="0"/>
              <w:jc w:val="right"/>
            </w:pPr>
            <w:r>
              <w:rPr>
                <w:rFonts w:ascii="Calibri" w:hAnsi="Calibri"/>
                <w:sz w:val="17"/>
              </w:rPr>
              <w:t>$109,000</w:t>
            </w:r>
          </w:p>
        </w:tc>
      </w:tr>
      <w:tr>
        <w:tc>
          <w:tcPr>
            <w:tcW w:type="dxa" w:w="864"/>
            <w:shd w:fill="FFFFFF"/>
            <w:tcMar>
              <w:top w:w="60" w:type="dxa"/>
              <w:bottom w:w="60" w:type="dxa"/>
              <w:left w:w="70" w:type="dxa"/>
              <w:right w:w="70" w:type="dxa"/>
            </w:tcMar>
            <w:vAlign w:val="center"/>
          </w:tcPr>
          <w:p>
            <w:pPr>
              <w:spacing w:before="0" w:after="0"/>
              <w:jc w:val="center"/>
            </w:pPr>
            <w:r>
              <w:rPr>
                <w:rFonts w:ascii="Calibri" w:hAnsi="Calibri"/>
                <w:b/>
                <w:sz w:val="17"/>
              </w:rPr>
              <w:t>F3</w:t>
            </w:r>
          </w:p>
        </w:tc>
        <w:tc>
          <w:tcPr>
            <w:tcW w:type="dxa" w:w="1008"/>
            <w:shd w:fill="FFFFFF"/>
            <w:tcMar>
              <w:top w:w="60" w:type="dxa"/>
              <w:bottom w:w="60" w:type="dxa"/>
              <w:left w:w="70" w:type="dxa"/>
              <w:right w:w="70" w:type="dxa"/>
            </w:tcMar>
            <w:vAlign w:val="center"/>
          </w:tcPr>
          <w:p>
            <w:pPr>
              <w:spacing w:before="0" w:after="0"/>
              <w:jc w:val="center"/>
            </w:pPr>
            <w:r>
              <w:rPr>
                <w:rFonts w:ascii="Calibri" w:hAnsi="Calibri"/>
                <w:sz w:val="17"/>
              </w:rPr>
              <w:t>6</w:t>
            </w:r>
          </w:p>
        </w:tc>
        <w:tc>
          <w:tcPr>
            <w:tcW w:type="dxa" w:w="1872"/>
            <w:shd w:fill="FFFFFF"/>
            <w:tcMar>
              <w:top w:w="60" w:type="dxa"/>
              <w:bottom w:w="60" w:type="dxa"/>
              <w:left w:w="70" w:type="dxa"/>
              <w:right w:w="70" w:type="dxa"/>
            </w:tcMar>
            <w:vAlign w:val="center"/>
          </w:tcPr>
          <w:p>
            <w:pPr>
              <w:spacing w:before="0" w:after="0"/>
              <w:jc w:val="right"/>
            </w:pPr>
            <w:r>
              <w:rPr>
                <w:rFonts w:ascii="Calibri" w:hAnsi="Calibri"/>
                <w:sz w:val="17"/>
              </w:rPr>
              <w:t>$15,000</w:t>
            </w:r>
          </w:p>
        </w:tc>
        <w:tc>
          <w:tcPr>
            <w:tcW w:type="dxa" w:w="1440"/>
            <w:shd w:fill="FFFFFF"/>
            <w:tcMar>
              <w:top w:w="60" w:type="dxa"/>
              <w:bottom w:w="60" w:type="dxa"/>
              <w:left w:w="70" w:type="dxa"/>
              <w:right w:w="70" w:type="dxa"/>
            </w:tcMar>
            <w:vAlign w:val="center"/>
          </w:tcPr>
          <w:p>
            <w:pPr>
              <w:spacing w:before="0" w:after="0"/>
              <w:jc w:val="right"/>
            </w:pPr>
            <w:r>
              <w:rPr>
                <w:rFonts w:ascii="Calibri" w:hAnsi="Calibri"/>
                <w:sz w:val="17"/>
              </w:rPr>
              <w:t>$320</w:t>
            </w:r>
          </w:p>
        </w:tc>
        <w:tc>
          <w:tcPr>
            <w:tcW w:type="dxa" w:w="864"/>
            <w:shd w:fill="FFFFFF"/>
            <w:tcMar>
              <w:top w:w="60" w:type="dxa"/>
              <w:bottom w:w="60" w:type="dxa"/>
              <w:left w:w="70" w:type="dxa"/>
              <w:right w:w="70" w:type="dxa"/>
            </w:tcMar>
            <w:vAlign w:val="center"/>
          </w:tcPr>
          <w:p>
            <w:pPr>
              <w:spacing w:before="0" w:after="0"/>
              <w:jc w:val="center"/>
            </w:pPr>
            <w:r>
              <w:rPr>
                <w:rFonts w:ascii="Calibri" w:hAnsi="Calibri"/>
                <w:sz w:val="17"/>
              </w:rPr>
              <w:t>12</w:t>
            </w:r>
          </w:p>
        </w:tc>
        <w:tc>
          <w:tcPr>
            <w:tcW w:type="dxa" w:w="1440"/>
            <w:shd w:fill="FFFFFF"/>
            <w:tcMar>
              <w:top w:w="60" w:type="dxa"/>
              <w:bottom w:w="60" w:type="dxa"/>
              <w:left w:w="70" w:type="dxa"/>
              <w:right w:w="70" w:type="dxa"/>
            </w:tcMar>
            <w:vAlign w:val="center"/>
          </w:tcPr>
          <w:p>
            <w:pPr>
              <w:spacing w:before="0" w:after="0"/>
              <w:jc w:val="right"/>
            </w:pPr>
            <w:r>
              <w:rPr>
                <w:rFonts w:ascii="Calibri" w:hAnsi="Calibri"/>
                <w:sz w:val="17"/>
              </w:rPr>
              <w:t>$300</w:t>
            </w:r>
          </w:p>
        </w:tc>
        <w:tc>
          <w:tcPr>
            <w:tcW w:type="dxa" w:w="1872"/>
            <w:shd w:fill="FFFFFF"/>
            <w:tcMar>
              <w:top w:w="60" w:type="dxa"/>
              <w:bottom w:w="60" w:type="dxa"/>
              <w:left w:w="70" w:type="dxa"/>
              <w:right w:w="70" w:type="dxa"/>
            </w:tcMar>
            <w:vAlign w:val="center"/>
          </w:tcPr>
          <w:p>
            <w:pPr>
              <w:spacing w:before="0" w:after="0"/>
              <w:jc w:val="right"/>
            </w:pPr>
            <w:r>
              <w:rPr>
                <w:rFonts w:ascii="Calibri" w:hAnsi="Calibri"/>
                <w:sz w:val="17"/>
              </w:rPr>
              <w:t>$15,620</w:t>
            </w:r>
          </w:p>
        </w:tc>
      </w:tr>
      <w:tr>
        <w:tc>
          <w:tcPr>
            <w:tcW w:type="dxa" w:w="864"/>
            <w:shd w:fill="F9FBFD"/>
            <w:tcMar>
              <w:top w:w="60" w:type="dxa"/>
              <w:bottom w:w="60" w:type="dxa"/>
              <w:left w:w="70" w:type="dxa"/>
              <w:right w:w="70" w:type="dxa"/>
            </w:tcMar>
            <w:vAlign w:val="center"/>
          </w:tcPr>
          <w:p>
            <w:pPr>
              <w:spacing w:before="0" w:after="0"/>
              <w:jc w:val="center"/>
            </w:pPr>
            <w:r>
              <w:rPr>
                <w:rFonts w:ascii="Calibri" w:hAnsi="Calibri"/>
                <w:b/>
                <w:sz w:val="17"/>
              </w:rPr>
              <w:t>F4</w:t>
            </w:r>
          </w:p>
        </w:tc>
        <w:tc>
          <w:tcPr>
            <w:tcW w:type="dxa" w:w="1008"/>
            <w:shd w:fill="F9FBFD"/>
            <w:tcMar>
              <w:top w:w="60" w:type="dxa"/>
              <w:bottom w:w="60" w:type="dxa"/>
              <w:left w:w="70" w:type="dxa"/>
              <w:right w:w="70" w:type="dxa"/>
            </w:tcMar>
            <w:vAlign w:val="center"/>
          </w:tcPr>
          <w:p>
            <w:pPr>
              <w:spacing w:before="0" w:after="0"/>
              <w:jc w:val="center"/>
            </w:pPr>
            <w:r>
              <w:rPr>
                <w:rFonts w:ascii="Calibri" w:hAnsi="Calibri"/>
                <w:sz w:val="17"/>
              </w:rPr>
              <w:t>36</w:t>
            </w:r>
          </w:p>
        </w:tc>
        <w:tc>
          <w:tcPr>
            <w:tcW w:type="dxa" w:w="1872"/>
            <w:shd w:fill="F9FBFD"/>
            <w:tcMar>
              <w:top w:w="60" w:type="dxa"/>
              <w:bottom w:w="60" w:type="dxa"/>
              <w:left w:w="70" w:type="dxa"/>
              <w:right w:w="70" w:type="dxa"/>
            </w:tcMar>
            <w:vAlign w:val="center"/>
          </w:tcPr>
          <w:p>
            <w:pPr>
              <w:spacing w:before="0" w:after="0"/>
              <w:jc w:val="right"/>
            </w:pPr>
            <w:r>
              <w:rPr>
                <w:rFonts w:ascii="Calibri" w:hAnsi="Calibri"/>
                <w:sz w:val="17"/>
              </w:rPr>
              <w:t>$90,000</w:t>
            </w:r>
          </w:p>
        </w:tc>
        <w:tc>
          <w:tcPr>
            <w:tcW w:type="dxa" w:w="1440"/>
            <w:shd w:fill="F9FBFD"/>
            <w:tcMar>
              <w:top w:w="60" w:type="dxa"/>
              <w:bottom w:w="60" w:type="dxa"/>
              <w:left w:w="70" w:type="dxa"/>
              <w:right w:w="70" w:type="dxa"/>
            </w:tcMar>
            <w:vAlign w:val="center"/>
          </w:tcPr>
          <w:p>
            <w:pPr>
              <w:spacing w:before="0" w:after="0"/>
              <w:jc w:val="right"/>
            </w:pPr>
            <w:r>
              <w:rPr>
                <w:rFonts w:ascii="Calibri" w:hAnsi="Calibri"/>
                <w:sz w:val="17"/>
              </w:rPr>
              <w:t>$4,200</w:t>
            </w:r>
          </w:p>
        </w:tc>
        <w:tc>
          <w:tcPr>
            <w:tcW w:type="dxa" w:w="864"/>
            <w:shd w:fill="F9FBFD"/>
            <w:tcMar>
              <w:top w:w="60" w:type="dxa"/>
              <w:bottom w:w="60" w:type="dxa"/>
              <w:left w:w="70" w:type="dxa"/>
              <w:right w:w="70" w:type="dxa"/>
            </w:tcMar>
            <w:vAlign w:val="center"/>
          </w:tcPr>
          <w:p>
            <w:pPr>
              <w:spacing w:before="0" w:after="0"/>
              <w:jc w:val="center"/>
            </w:pPr>
            <w:r>
              <w:rPr>
                <w:rFonts w:ascii="Calibri" w:hAnsi="Calibri"/>
                <w:sz w:val="17"/>
              </w:rPr>
              <w:t>36</w:t>
            </w:r>
          </w:p>
        </w:tc>
        <w:tc>
          <w:tcPr>
            <w:tcW w:type="dxa" w:w="1440"/>
            <w:shd w:fill="F9FBFD"/>
            <w:tcMar>
              <w:top w:w="60" w:type="dxa"/>
              <w:bottom w:w="60" w:type="dxa"/>
              <w:left w:w="70" w:type="dxa"/>
              <w:right w:w="70" w:type="dxa"/>
            </w:tcMar>
            <w:vAlign w:val="center"/>
          </w:tcPr>
          <w:p>
            <w:pPr>
              <w:spacing w:before="0" w:after="0"/>
              <w:jc w:val="right"/>
            </w:pPr>
            <w:r>
              <w:rPr>
                <w:rFonts w:ascii="Calibri" w:hAnsi="Calibri"/>
                <w:sz w:val="17"/>
              </w:rPr>
              <w:t>$900</w:t>
            </w:r>
          </w:p>
        </w:tc>
        <w:tc>
          <w:tcPr>
            <w:tcW w:type="dxa" w:w="1872"/>
            <w:shd w:fill="F9FBFD"/>
            <w:tcMar>
              <w:top w:w="60" w:type="dxa"/>
              <w:bottom w:w="60" w:type="dxa"/>
              <w:left w:w="70" w:type="dxa"/>
              <w:right w:w="70" w:type="dxa"/>
            </w:tcMar>
            <w:vAlign w:val="center"/>
          </w:tcPr>
          <w:p>
            <w:pPr>
              <w:spacing w:before="0" w:after="0"/>
              <w:jc w:val="right"/>
            </w:pPr>
            <w:r>
              <w:rPr>
                <w:rFonts w:ascii="Calibri" w:hAnsi="Calibri"/>
                <w:sz w:val="17"/>
              </w:rPr>
              <w:t>$95,100</w:t>
            </w:r>
          </w:p>
        </w:tc>
      </w:tr>
      <w:tr>
        <w:tc>
          <w:tcPr>
            <w:tcW w:type="dxa" w:w="864"/>
            <w:shd w:fill="FFFFFF"/>
            <w:tcMar>
              <w:top w:w="60" w:type="dxa"/>
              <w:bottom w:w="60" w:type="dxa"/>
              <w:left w:w="70" w:type="dxa"/>
              <w:right w:w="70" w:type="dxa"/>
            </w:tcMar>
            <w:vAlign w:val="center"/>
          </w:tcPr>
          <w:p>
            <w:pPr>
              <w:spacing w:before="0" w:after="0"/>
              <w:jc w:val="center"/>
            </w:pPr>
            <w:r>
              <w:rPr>
                <w:rFonts w:ascii="Calibri" w:hAnsi="Calibri"/>
                <w:b/>
                <w:sz w:val="17"/>
              </w:rPr>
              <w:t>F5</w:t>
            </w:r>
          </w:p>
        </w:tc>
        <w:tc>
          <w:tcPr>
            <w:tcW w:type="dxa" w:w="1008"/>
            <w:shd w:fill="FFFFFF"/>
            <w:tcMar>
              <w:top w:w="60" w:type="dxa"/>
              <w:bottom w:w="60" w:type="dxa"/>
              <w:left w:w="70" w:type="dxa"/>
              <w:right w:w="70" w:type="dxa"/>
            </w:tcMar>
            <w:vAlign w:val="center"/>
          </w:tcPr>
          <w:p>
            <w:pPr>
              <w:spacing w:before="0" w:after="0"/>
              <w:jc w:val="center"/>
            </w:pPr>
            <w:r>
              <w:rPr>
                <w:rFonts w:ascii="Calibri" w:hAnsi="Calibri"/>
                <w:sz w:val="17"/>
              </w:rPr>
              <w:t>8</w:t>
            </w:r>
          </w:p>
        </w:tc>
        <w:tc>
          <w:tcPr>
            <w:tcW w:type="dxa" w:w="1872"/>
            <w:shd w:fill="FFFFFF"/>
            <w:tcMar>
              <w:top w:w="60" w:type="dxa"/>
              <w:bottom w:w="60" w:type="dxa"/>
              <w:left w:w="70" w:type="dxa"/>
              <w:right w:w="70" w:type="dxa"/>
            </w:tcMar>
            <w:vAlign w:val="center"/>
          </w:tcPr>
          <w:p>
            <w:pPr>
              <w:spacing w:before="0" w:after="0"/>
              <w:jc w:val="right"/>
            </w:pPr>
            <w:r>
              <w:rPr>
                <w:rFonts w:ascii="Calibri" w:hAnsi="Calibri"/>
                <w:sz w:val="17"/>
              </w:rPr>
              <w:t>$20,000</w:t>
            </w:r>
          </w:p>
        </w:tc>
        <w:tc>
          <w:tcPr>
            <w:tcW w:type="dxa" w:w="1440"/>
            <w:shd w:fill="FFFFFF"/>
            <w:tcMar>
              <w:top w:w="60" w:type="dxa"/>
              <w:bottom w:w="60" w:type="dxa"/>
              <w:left w:w="70" w:type="dxa"/>
              <w:right w:w="70" w:type="dxa"/>
            </w:tcMar>
            <w:vAlign w:val="center"/>
          </w:tcPr>
          <w:p>
            <w:pPr>
              <w:spacing w:before="0" w:after="0"/>
              <w:jc w:val="right"/>
            </w:pPr>
            <w:r>
              <w:rPr>
                <w:rFonts w:ascii="Calibri" w:hAnsi="Calibri"/>
                <w:sz w:val="17"/>
              </w:rPr>
              <w:t>$450</w:t>
            </w:r>
          </w:p>
        </w:tc>
        <w:tc>
          <w:tcPr>
            <w:tcW w:type="dxa" w:w="864"/>
            <w:shd w:fill="FFFFFF"/>
            <w:tcMar>
              <w:top w:w="60" w:type="dxa"/>
              <w:bottom w:w="60" w:type="dxa"/>
              <w:left w:w="70" w:type="dxa"/>
              <w:right w:w="70" w:type="dxa"/>
            </w:tcMar>
            <w:vAlign w:val="center"/>
          </w:tcPr>
          <w:p>
            <w:pPr>
              <w:spacing w:before="0" w:after="0"/>
              <w:jc w:val="center"/>
            </w:pPr>
            <w:r>
              <w:rPr>
                <w:rFonts w:ascii="Calibri" w:hAnsi="Calibri"/>
                <w:sz w:val="17"/>
              </w:rPr>
              <w:t>16</w:t>
            </w:r>
          </w:p>
        </w:tc>
        <w:tc>
          <w:tcPr>
            <w:tcW w:type="dxa" w:w="1440"/>
            <w:shd w:fill="FFFFFF"/>
            <w:tcMar>
              <w:top w:w="60" w:type="dxa"/>
              <w:bottom w:w="60" w:type="dxa"/>
              <w:left w:w="70" w:type="dxa"/>
              <w:right w:w="70" w:type="dxa"/>
            </w:tcMar>
            <w:vAlign w:val="center"/>
          </w:tcPr>
          <w:p>
            <w:pPr>
              <w:spacing w:before="0" w:after="0"/>
              <w:jc w:val="right"/>
            </w:pPr>
            <w:r>
              <w:rPr>
                <w:rFonts w:ascii="Calibri" w:hAnsi="Calibri"/>
                <w:sz w:val="17"/>
              </w:rPr>
              <w:t>$400</w:t>
            </w:r>
          </w:p>
        </w:tc>
        <w:tc>
          <w:tcPr>
            <w:tcW w:type="dxa" w:w="1872"/>
            <w:shd w:fill="FFFFFF"/>
            <w:tcMar>
              <w:top w:w="60" w:type="dxa"/>
              <w:bottom w:w="60" w:type="dxa"/>
              <w:left w:w="70" w:type="dxa"/>
              <w:right w:w="70" w:type="dxa"/>
            </w:tcMar>
            <w:vAlign w:val="center"/>
          </w:tcPr>
          <w:p>
            <w:pPr>
              <w:spacing w:before="0" w:after="0"/>
              <w:jc w:val="right"/>
            </w:pPr>
            <w:r>
              <w:rPr>
                <w:rFonts w:ascii="Calibri" w:hAnsi="Calibri"/>
                <w:sz w:val="17"/>
              </w:rPr>
              <w:t>$20,850</w:t>
            </w:r>
          </w:p>
        </w:tc>
      </w:tr>
      <w:tr>
        <w:tc>
          <w:tcPr>
            <w:tcW w:type="dxa" w:w="864"/>
            <w:shd w:fill="F2F5F9"/>
            <w:tcMar>
              <w:top w:w="60" w:type="dxa"/>
              <w:bottom w:w="60" w:type="dxa"/>
              <w:left w:w="70" w:type="dxa"/>
              <w:right w:w="70" w:type="dxa"/>
            </w:tcMar>
            <w:vAlign w:val="center"/>
          </w:tcPr>
          <w:p>
            <w:pPr>
              <w:spacing w:before="0" w:after="0"/>
              <w:jc w:val="center"/>
            </w:pPr>
            <w:r>
              <w:rPr>
                <w:rFonts w:ascii="Calibri" w:hAnsi="Calibri"/>
                <w:b/>
                <w:color w:val="1F4E79"/>
                <w:sz w:val="17"/>
              </w:rPr>
              <w:t>TOTAL</w:t>
            </w:r>
          </w:p>
        </w:tc>
        <w:tc>
          <w:tcPr>
            <w:tcW w:type="dxa" w:w="1008"/>
            <w:shd w:fill="F2F5F9"/>
            <w:tcMar>
              <w:top w:w="60" w:type="dxa"/>
              <w:bottom w:w="60" w:type="dxa"/>
              <w:left w:w="70" w:type="dxa"/>
              <w:right w:w="70" w:type="dxa"/>
            </w:tcMar>
            <w:vAlign w:val="center"/>
          </w:tcPr>
          <w:p>
            <w:pPr>
              <w:spacing w:before="0" w:after="0"/>
              <w:jc w:val="center"/>
            </w:pPr>
            <w:r>
              <w:rPr>
                <w:rFonts w:ascii="Calibri" w:hAnsi="Calibri"/>
                <w:b/>
                <w:color w:val="1F4E79"/>
                <w:sz w:val="17"/>
              </w:rPr>
              <w:t>120</w:t>
            </w:r>
          </w:p>
        </w:tc>
        <w:tc>
          <w:tcPr>
            <w:tcW w:type="dxa" w:w="1872"/>
            <w:shd w:fill="F2F5F9"/>
            <w:tcMar>
              <w:top w:w="60" w:type="dxa"/>
              <w:bottom w:w="60" w:type="dxa"/>
              <w:left w:w="70" w:type="dxa"/>
              <w:right w:w="70" w:type="dxa"/>
            </w:tcMar>
            <w:vAlign w:val="center"/>
          </w:tcPr>
          <w:p>
            <w:pPr>
              <w:spacing w:before="0" w:after="0"/>
              <w:jc w:val="right"/>
            </w:pPr>
            <w:r>
              <w:rPr>
                <w:rFonts w:ascii="Calibri" w:hAnsi="Calibri"/>
                <w:b/>
                <w:color w:val="1F4E79"/>
                <w:sz w:val="17"/>
              </w:rPr>
              <w:t>$300,000</w:t>
            </w:r>
          </w:p>
        </w:tc>
        <w:tc>
          <w:tcPr>
            <w:tcW w:type="dxa" w:w="1440"/>
            <w:shd w:fill="F2F5F9"/>
            <w:tcMar>
              <w:top w:w="60" w:type="dxa"/>
              <w:bottom w:w="60" w:type="dxa"/>
              <w:left w:w="70" w:type="dxa"/>
              <w:right w:w="70" w:type="dxa"/>
            </w:tcMar>
            <w:vAlign w:val="center"/>
          </w:tcPr>
          <w:p>
            <w:pPr>
              <w:spacing w:before="0" w:after="0"/>
              <w:jc w:val="right"/>
            </w:pPr>
            <w:r>
              <w:rPr>
                <w:rFonts w:ascii="Calibri" w:hAnsi="Calibri"/>
                <w:b/>
                <w:color w:val="1F4E79"/>
                <w:sz w:val="17"/>
              </w:rPr>
              <w:t>$10,220</w:t>
            </w:r>
          </w:p>
        </w:tc>
        <w:tc>
          <w:tcPr>
            <w:tcW w:type="dxa" w:w="864"/>
            <w:shd w:fill="F2F5F9"/>
            <w:tcMar>
              <w:top w:w="60" w:type="dxa"/>
              <w:bottom w:w="60" w:type="dxa"/>
              <w:left w:w="70" w:type="dxa"/>
              <w:right w:w="70" w:type="dxa"/>
            </w:tcMar>
            <w:vAlign w:val="center"/>
          </w:tcPr>
          <w:p>
            <w:pPr>
              <w:spacing w:before="0" w:after="0"/>
              <w:jc w:val="center"/>
            </w:pPr>
            <w:r>
              <w:rPr>
                <w:rFonts w:ascii="Calibri" w:hAnsi="Calibri"/>
                <w:b/>
                <w:color w:val="1F4E79"/>
                <w:sz w:val="17"/>
              </w:rPr>
              <w:t>136</w:t>
            </w:r>
          </w:p>
        </w:tc>
        <w:tc>
          <w:tcPr>
            <w:tcW w:type="dxa" w:w="1440"/>
            <w:shd w:fill="F2F5F9"/>
            <w:tcMar>
              <w:top w:w="60" w:type="dxa"/>
              <w:bottom w:w="60" w:type="dxa"/>
              <w:left w:w="70" w:type="dxa"/>
              <w:right w:w="70" w:type="dxa"/>
            </w:tcMar>
            <w:vAlign w:val="center"/>
          </w:tcPr>
          <w:p>
            <w:pPr>
              <w:spacing w:before="0" w:after="0"/>
              <w:jc w:val="right"/>
            </w:pPr>
            <w:r>
              <w:rPr>
                <w:rFonts w:ascii="Calibri" w:hAnsi="Calibri"/>
                <w:b/>
                <w:color w:val="1F4E79"/>
                <w:sz w:val="17"/>
              </w:rPr>
              <w:t>$3,400</w:t>
            </w:r>
          </w:p>
        </w:tc>
        <w:tc>
          <w:tcPr>
            <w:tcW w:type="dxa" w:w="1872"/>
            <w:shd w:fill="F2F5F9"/>
            <w:tcMar>
              <w:top w:w="60" w:type="dxa"/>
              <w:bottom w:w="60" w:type="dxa"/>
              <w:left w:w="70" w:type="dxa"/>
              <w:right w:w="70" w:type="dxa"/>
            </w:tcMar>
            <w:vAlign w:val="center"/>
          </w:tcPr>
          <w:p>
            <w:pPr>
              <w:spacing w:before="0" w:after="0"/>
              <w:jc w:val="right"/>
            </w:pPr>
            <w:r>
              <w:rPr>
                <w:rFonts w:ascii="Calibri" w:hAnsi="Calibri"/>
                <w:b/>
                <w:color w:val="1F4E79"/>
                <w:sz w:val="17"/>
              </w:rPr>
              <w:t>$313,620</w:t>
            </w:r>
          </w:p>
        </w:tc>
      </w:tr>
    </w:tbl>
    <w:p>
      <w:pPr>
        <w:spacing w:after="80"/>
      </w:pPr>
    </w:p>
    <w:p>
      <w:r>
        <w:rPr>
          <w:b/>
        </w:rPr>
        <w:t>Estudio de Caso: Incorporación de Motor Standby de 55 kW en Pañol (R3):</w:t>
        <w:br/>
      </w:r>
      <w:r>
        <w:t>1. Diagnóstico de Cuello de Botella: Las 42 horas históricas de parada del evento F2 correspondieron a esperas logísticas externas (transporte a taller, rebobinado manual, barnizado e impregnación al vacío, horneado y ensayos dieléctricos).</w:t>
        <w:br/>
        <w:t>2. Propuesta Técnica: Adquirir y mantener en pañol 1 motor trifásico idéntico (55 kW, 4 polos, carcasa B3 normalizada). Ante falla, se realiza la sustitución electromecánica directa in situ con alineación láser de ejes.</w:t>
        <w:br/>
        <w:t>3. Demostración Financiera y Operativa:</w:t>
        <w:br/>
        <w:t xml:space="preserve">   • Reducción de MTTR de F2: De 42.0 h a 4.0 h (ahorro directo de 38 horas de parada de planta).</w:t>
        <w:br/>
        <w:t xml:space="preserve">   • Ahorro Neto Anual por Lucro Cesante: $105,000 USD - (4 h × $2,500 USD/h = $10,000 USD) = $95,000.00 USD de ahorro neto.</w:t>
        <w:br/>
        <w:t xml:space="preserve">   • Impacto en KPIs Globales:</w:t>
        <w:br/>
        <w:t xml:space="preserve">     - Tiempo Total de Paradas (TTP): Se reduce de 120.0 h a 82.0 h.</w:t>
        <w:br/>
        <w:t xml:space="preserve">     - MTTR Global de Planta: Se reduce de 24.00 h a 16.40 h (82.0 h / 5 fallas).</w:t>
        <w:br/>
        <w:t xml:space="preserve">     - Disponibilidad Global de Planta: Aumenta de 98.33% a 98.86% (+0.53% de disponibilidad productiva neta).</w:t>
        <w:br/>
        <w:t xml:space="preserve">   • Retorno de la Inversión (ROI) y Período de Recuperación (Payback):</w:t>
        <w:br/>
        <w:t xml:space="preserve">     - Costo de Inversión Inicial (I0): $4,000 USD (motor 55 kW IE3).</w:t>
        <w:br/>
        <w:t xml:space="preserve">     - Costo de Posesión Anual: ~$400 USD/año (mantenimiento en pañol y rotación trimestral de rotor).</w:t>
        <w:br/>
        <w:t xml:space="preserve">     - Beneficio Neto en el Año 1: $95,000 USD - $4,000 USD - $400 USD = $90,600 USD.</w:t>
        <w:br/>
        <w:t xml:space="preserve">     - ROI: (($95,000 - $4,000) / $4,000) × 100% = 2,275%.</w:t>
        <w:br/>
        <w:t xml:space="preserve">     - Payback: $4,000 / ($95,000 / 365 días) = 15.3 días de operación equivalente (o 1.6 horas de producción recuperada).</w:t>
      </w:r>
    </w:p>
    <w:p>
      <w:pPr>
        <w:pStyle w:val="Heading2"/>
        <w:keepNext/>
        <w:spacing w:before="280" w:after="120"/>
      </w:pPr>
      <w:r>
        <w:rPr>
          <w:rFonts w:ascii="Calibri" w:hAnsi="Calibri"/>
          <w:b/>
          <w:color w:val="0E2841"/>
          <w:sz w:val="24"/>
        </w:rPr>
        <w:t>Consigna 6: Modelo de Efecto Dominó en Falla F5 y Barrera TPM</w:t>
      </w:r>
    </w:p>
    <w:p>
      <w:r>
        <w:t>Se modela la cadena electromecánica desencadenada por la falla F5 (atrancamiento de rascador):</w:t>
        <w:br/>
        <w:t>1. Desgaste y Bloqueo Mecánico: La lámina de uretano sufre desgaste asimétrico y acumulación de costra en la articulación, trabándose en ángulo agudo contra la banda.</w:t>
        <w:br/>
        <w:t>2. Aumento de Rozamiento: Se incrementa drásticamente la fuerza de fricción tangencial (Fr = μ · Fn), convirtiendo el rascador en un freno continuo.</w:t>
        <w:br/>
        <w:t>3. Reacción Electromecánica en el Motor: Para vencer la cupla resistente (Tres), el motor de inducción incrementa su deslizamiento s = (ns - n)/ns, lo que eleva la corriente estatórica demandada, disparando el calentamiento por pérdidas Joule (P = 3 · I² · R).</w:t>
        <w:br/>
        <w:t>4. Daño Térmico en Reductor: La transmisión de sobretorque calienta el aceite sintético ISO VG 220 por encima de 95 °C, degradando la viscosidad y colapsando la película elastohidrodinámica (EHL), induciendo desgaste prematuro por micropitting.</w:t>
        <w:br/>
        <w:t>5. Bloqueo TPM: Una rutina diaria de 3 minutos al inicio de turno realizada por el operador (limpieza de costras y calibración de resorte) anula el Eslabón 1 y protege el tren de potencia completo.</w:t>
      </w:r>
    </w:p>
    <w:p>
      <w:pPr>
        <w:pStyle w:val="Heading1"/>
        <w:keepNext/>
        <w:spacing w:before="280" w:after="120"/>
      </w:pPr>
      <w:r>
        <w:rPr>
          <w:rFonts w:ascii="Calibri" w:hAnsi="Calibri"/>
          <w:b/>
          <w:color w:val="1F4E79"/>
          <w:sz w:val="28"/>
        </w:rPr>
        <w:t>4. Metodología de Análisis de Causa Raíz de Contingencias (Ishikawa 6M y 5 Porqués)</w:t>
      </w:r>
    </w:p>
    <w:p>
      <w:r>
        <w:t>Para erradicar la recurrencia de las contingencias operativas, se aplica un análisis riguroso de resolución de problemas de ingeniería combinando el Diagrama de Causa y Efecto (Ishikawa 6M) para la visión sistémica del activo y el Árbol de los 5 Porqués para investigar la profundidad física, humana y latente de los eventos críticos.</w:t>
      </w:r>
    </w:p>
    <w:p>
      <w:pPr>
        <w:pStyle w:val="Heading2"/>
        <w:keepNext/>
        <w:spacing w:before="280" w:after="120"/>
      </w:pPr>
      <w:r>
        <w:rPr>
          <w:rFonts w:ascii="Calibri" w:hAnsi="Calibri"/>
          <w:b/>
          <w:color w:val="0E2841"/>
          <w:sz w:val="24"/>
        </w:rPr>
        <w:t>4.1 Diagrama de Ishikawa de las 6M Aplicado a la Cinta y Eventos F1 a F5</w:t>
      </w:r>
    </w:p>
    <w:tbl>
      <w:tblPr>
        <w:tblW w:type="auto" w:w="0"/>
        <w:jc w:val="center"/>
        <w:tblLayout w:type="fixed"/>
        <w:tblLook w:firstColumn="1" w:firstRow="1" w:lastColumn="0" w:lastRow="0" w:noHBand="0" w:noVBand="1" w:val="04A0"/>
      </w:tblPr>
      <w:tblGrid>
        <w:gridCol w:w="3264"/>
        <w:gridCol w:w="3264"/>
        <w:gridCol w:w="3264"/>
      </w:tblGrid>
      <w:tr>
        <w:tc>
          <w:tcPr>
            <w:tcW w:type="dxa" w:w="3264"/>
            <w:shd w:fill="1F4E79"/>
            <w:tcMar>
              <w:top w:w="120" w:type="dxa"/>
              <w:bottom w:w="120" w:type="dxa"/>
              <w:left w:w="130" w:type="dxa"/>
              <w:right w:w="130" w:type="dxa"/>
            </w:tcMar>
            <w:vAlign w:val="center"/>
          </w:tcPr>
          <w:p>
            <w:pPr>
              <w:spacing w:before="0" w:after="0"/>
              <w:jc w:val="center"/>
            </w:pPr>
            <w:r>
              <w:rPr>
                <w:rFonts w:ascii="Calibri" w:hAnsi="Calibri"/>
                <w:b/>
                <w:color w:val="FFFFFF"/>
                <w:sz w:val="18"/>
              </w:rPr>
              <w:t>Dimensión (6M)</w:t>
            </w:r>
          </w:p>
        </w:tc>
        <w:tc>
          <w:tcPr>
            <w:tcW w:type="dxa" w:w="3264"/>
            <w:shd w:fill="1F4E79"/>
            <w:tcMar>
              <w:top w:w="120" w:type="dxa"/>
              <w:bottom w:w="120" w:type="dxa"/>
              <w:left w:w="130" w:type="dxa"/>
              <w:right w:w="130" w:type="dxa"/>
            </w:tcMar>
            <w:vAlign w:val="center"/>
          </w:tcPr>
          <w:p>
            <w:pPr>
              <w:spacing w:before="0" w:after="0"/>
              <w:jc w:val="center"/>
            </w:pPr>
            <w:r>
              <w:rPr>
                <w:rFonts w:ascii="Calibri" w:hAnsi="Calibri"/>
                <w:b/>
                <w:color w:val="FFFFFF"/>
                <w:sz w:val="18"/>
              </w:rPr>
              <w:t>Factores Contribuyentes Identificados en el Activo</w:t>
            </w:r>
          </w:p>
        </w:tc>
        <w:tc>
          <w:tcPr>
            <w:tcW w:type="dxa" w:w="3264"/>
            <w:shd w:fill="1F4E79"/>
            <w:tcMar>
              <w:top w:w="120" w:type="dxa"/>
              <w:bottom w:w="120" w:type="dxa"/>
              <w:left w:w="130" w:type="dxa"/>
              <w:right w:w="130" w:type="dxa"/>
            </w:tcMar>
            <w:vAlign w:val="center"/>
          </w:tcPr>
          <w:p>
            <w:pPr>
              <w:spacing w:before="0" w:after="0"/>
              <w:jc w:val="center"/>
            </w:pPr>
            <w:r>
              <w:rPr>
                <w:rFonts w:ascii="Calibri" w:hAnsi="Calibri"/>
                <w:b/>
                <w:color w:val="FFFFFF"/>
                <w:sz w:val="18"/>
              </w:rPr>
              <w:t>Eventos Asociados</w:t>
            </w:r>
          </w:p>
        </w:tc>
      </w:tr>
      <w:tr>
        <w:tc>
          <w:tcPr>
            <w:tcW w:type="dxa" w:w="1872"/>
            <w:shd w:fill="FFFFFF"/>
            <w:tcMar>
              <w:top w:w="70" w:type="dxa"/>
              <w:bottom w:w="70" w:type="dxa"/>
              <w:left w:w="80" w:type="dxa"/>
              <w:right w:w="80" w:type="dxa"/>
            </w:tcMar>
            <w:vAlign w:val="center"/>
          </w:tcPr>
          <w:p>
            <w:pPr>
              <w:spacing w:before="0" w:after="0"/>
              <w:jc w:val="center"/>
            </w:pPr>
            <w:r>
              <w:rPr>
                <w:rFonts w:ascii="Calibri" w:hAnsi="Calibri"/>
                <w:b/>
                <w:color w:val="1F4E79"/>
                <w:sz w:val="17"/>
              </w:rPr>
              <w:t>Maquinaria</w:t>
              <w:br/>
              <w:t>(Machine)</w:t>
            </w:r>
          </w:p>
        </w:tc>
        <w:tc>
          <w:tcPr>
            <w:tcW w:type="dxa" w:w="6192"/>
            <w:shd w:fill="FFFFFF"/>
            <w:tcMar>
              <w:top w:w="70" w:type="dxa"/>
              <w:bottom w:w="70" w:type="dxa"/>
              <w:left w:w="80" w:type="dxa"/>
              <w:right w:w="80" w:type="dxa"/>
            </w:tcMar>
            <w:vAlign w:val="center"/>
          </w:tcPr>
          <w:p>
            <w:pPr>
              <w:spacing w:before="0" w:after="0"/>
              <w:jc w:val="left"/>
            </w:pPr>
            <w:r>
              <w:rPr>
                <w:rFonts w:ascii="Calibri" w:hAnsi="Calibri"/>
                <w:sz w:val="17"/>
              </w:rPr>
              <w:t>• F1: Retén laberíntico defectuoso en soporte monobloc SNH con ingreso de sílice.</w:t>
              <w:br/>
              <w:t>• F2: Tobera del ventilador con paso de rejilla inadecuado para polvo mineral.</w:t>
              <w:br/>
              <w:t>• F3: Circuito hidráulico de 20 bar sin amortiguador de pulsaciones; radio de curvatura crítico.</w:t>
              <w:br/>
              <w:t>• F4: Tambor de reenvío cilíndrico liso en vez de tambor autolimpiante en jaula de ardilla.</w:t>
              <w:br/>
              <w:t>• F5: Soporte de rascador rígido sin resorte autocompensador de desgaste de hoja.</w:t>
            </w:r>
          </w:p>
        </w:tc>
        <w:tc>
          <w:tcPr>
            <w:tcW w:type="dxa" w:w="1296"/>
            <w:shd w:fill="FFFFFF"/>
            <w:tcMar>
              <w:top w:w="70" w:type="dxa"/>
              <w:bottom w:w="70" w:type="dxa"/>
              <w:left w:w="80" w:type="dxa"/>
              <w:right w:w="80" w:type="dxa"/>
            </w:tcMar>
            <w:vAlign w:val="center"/>
          </w:tcPr>
          <w:p>
            <w:pPr>
              <w:spacing w:before="0" w:after="0"/>
              <w:jc w:val="center"/>
            </w:pPr>
            <w:r>
              <w:rPr>
                <w:rFonts w:ascii="Calibri" w:hAnsi="Calibri"/>
                <w:sz w:val="17"/>
              </w:rPr>
              <w:t>F1, F2, F3, F4, F5</w:t>
            </w:r>
          </w:p>
        </w:tc>
      </w:tr>
      <w:tr>
        <w:tc>
          <w:tcPr>
            <w:tcW w:type="dxa" w:w="1872"/>
            <w:shd w:fill="F9FBFD"/>
            <w:tcMar>
              <w:top w:w="70" w:type="dxa"/>
              <w:bottom w:w="70" w:type="dxa"/>
              <w:left w:w="80" w:type="dxa"/>
              <w:right w:w="80" w:type="dxa"/>
            </w:tcMar>
            <w:vAlign w:val="center"/>
          </w:tcPr>
          <w:p>
            <w:pPr>
              <w:spacing w:before="0" w:after="0"/>
              <w:jc w:val="center"/>
            </w:pPr>
            <w:r>
              <w:rPr>
                <w:rFonts w:ascii="Calibri" w:hAnsi="Calibri"/>
                <w:b/>
                <w:color w:val="1F4E79"/>
                <w:sz w:val="17"/>
              </w:rPr>
              <w:t>Mano de Obra</w:t>
              <w:br/>
              <w:t>(Manpower)</w:t>
            </w:r>
          </w:p>
        </w:tc>
        <w:tc>
          <w:tcPr>
            <w:tcW w:type="dxa" w:w="6192"/>
            <w:shd w:fill="F9FBFD"/>
            <w:tcMar>
              <w:top w:w="70" w:type="dxa"/>
              <w:bottom w:w="70" w:type="dxa"/>
              <w:left w:w="80" w:type="dxa"/>
              <w:right w:w="80" w:type="dxa"/>
            </w:tcMar>
            <w:vAlign w:val="center"/>
          </w:tcPr>
          <w:p>
            <w:pPr>
              <w:spacing w:before="0" w:after="0"/>
              <w:jc w:val="left"/>
            </w:pPr>
            <w:r>
              <w:rPr>
                <w:rFonts w:ascii="Calibri" w:hAnsi="Calibri"/>
                <w:sz w:val="17"/>
              </w:rPr>
              <w:t>• F1: Sobredosis manual de grasa con grasera sin retirar tapón de purga (reventón de retén).</w:t>
              <w:br/>
              <w:t>• F2: Omisión de verificación táctil/visual del flujo de aire forzado en rondas de turno.</w:t>
              <w:br/>
              <w:t>• F3: Montaje de latiguillo con torsión axial indebida sobre el cuerpo elastomérico.</w:t>
              <w:br/>
              <w:t>• F4: Omisión de control visual de alineación de banda en cola en arranque de turno.</w:t>
              <w:br/>
              <w:t>• F5: Falta de regulación periódica de tensión y perpendicularidad del filo rascador.</w:t>
            </w:r>
          </w:p>
        </w:tc>
        <w:tc>
          <w:tcPr>
            <w:tcW w:type="dxa" w:w="1296"/>
            <w:shd w:fill="F9FBFD"/>
            <w:tcMar>
              <w:top w:w="70" w:type="dxa"/>
              <w:bottom w:w="70" w:type="dxa"/>
              <w:left w:w="80" w:type="dxa"/>
              <w:right w:w="80" w:type="dxa"/>
            </w:tcMar>
            <w:vAlign w:val="center"/>
          </w:tcPr>
          <w:p>
            <w:pPr>
              <w:spacing w:before="0" w:after="0"/>
              <w:jc w:val="center"/>
            </w:pPr>
            <w:r>
              <w:rPr>
                <w:rFonts w:ascii="Calibri" w:hAnsi="Calibri"/>
                <w:sz w:val="17"/>
              </w:rPr>
              <w:t>F1, F2, F3, F4, F5</w:t>
            </w:r>
          </w:p>
        </w:tc>
      </w:tr>
      <w:tr>
        <w:tc>
          <w:tcPr>
            <w:tcW w:type="dxa" w:w="1872"/>
            <w:shd w:fill="FFFFFF"/>
            <w:tcMar>
              <w:top w:w="70" w:type="dxa"/>
              <w:bottom w:w="70" w:type="dxa"/>
              <w:left w:w="80" w:type="dxa"/>
              <w:right w:w="80" w:type="dxa"/>
            </w:tcMar>
            <w:vAlign w:val="center"/>
          </w:tcPr>
          <w:p>
            <w:pPr>
              <w:spacing w:before="0" w:after="0"/>
              <w:jc w:val="center"/>
            </w:pPr>
            <w:r>
              <w:rPr>
                <w:rFonts w:ascii="Calibri" w:hAnsi="Calibri"/>
                <w:b/>
                <w:color w:val="1F4E79"/>
                <w:sz w:val="17"/>
              </w:rPr>
              <w:t>Método</w:t>
              <w:br/>
              <w:t>(Method)</w:t>
            </w:r>
          </w:p>
        </w:tc>
        <w:tc>
          <w:tcPr>
            <w:tcW w:type="dxa" w:w="6192"/>
            <w:shd w:fill="FFFFFF"/>
            <w:tcMar>
              <w:top w:w="70" w:type="dxa"/>
              <w:bottom w:w="70" w:type="dxa"/>
              <w:left w:w="80" w:type="dxa"/>
              <w:right w:w="80" w:type="dxa"/>
            </w:tcMar>
            <w:vAlign w:val="center"/>
          </w:tcPr>
          <w:p>
            <w:pPr>
              <w:spacing w:before="0" w:after="0"/>
              <w:jc w:val="left"/>
            </w:pPr>
            <w:r>
              <w:rPr>
                <w:rFonts w:ascii="Calibri" w:hAnsi="Calibri"/>
                <w:sz w:val="17"/>
              </w:rPr>
              <w:t>• F1: Frecuencia de relubricación fija por calendario en lugar de lubricación por ultrasonido.</w:t>
              <w:br/>
              <w:t>• F2: Inexistencia de un estándar CIL (Mantenimiento Autónomo TPM) para soplado semanal de carcasa.</w:t>
              <w:br/>
              <w:t>• F3: Política 'run-to-failure' en componentes flexibles en vez de cambio preventivo a 24 meses.</w:t>
              <w:br/>
              <w:t>• F4: Procedimiento que no contempla parada inmediata ante acumulación en tolva de carga.</w:t>
              <w:br/>
              <w:t>• F5: Falta de checklist operativo de 3 minutos al inicio de cada turno de trabajo.</w:t>
            </w:r>
          </w:p>
        </w:tc>
        <w:tc>
          <w:tcPr>
            <w:tcW w:type="dxa" w:w="1296"/>
            <w:shd w:fill="FFFFFF"/>
            <w:tcMar>
              <w:top w:w="70" w:type="dxa"/>
              <w:bottom w:w="70" w:type="dxa"/>
              <w:left w:w="80" w:type="dxa"/>
              <w:right w:w="80" w:type="dxa"/>
            </w:tcMar>
            <w:vAlign w:val="center"/>
          </w:tcPr>
          <w:p>
            <w:pPr>
              <w:spacing w:before="0" w:after="0"/>
              <w:jc w:val="center"/>
            </w:pPr>
            <w:r>
              <w:rPr>
                <w:rFonts w:ascii="Calibri" w:hAnsi="Calibri"/>
                <w:sz w:val="17"/>
              </w:rPr>
              <w:t>F1, F2, F3, F4, F5</w:t>
            </w:r>
          </w:p>
        </w:tc>
      </w:tr>
      <w:tr>
        <w:tc>
          <w:tcPr>
            <w:tcW w:type="dxa" w:w="1872"/>
            <w:shd w:fill="F9FBFD"/>
            <w:tcMar>
              <w:top w:w="70" w:type="dxa"/>
              <w:bottom w:w="70" w:type="dxa"/>
              <w:left w:w="80" w:type="dxa"/>
              <w:right w:w="80" w:type="dxa"/>
            </w:tcMar>
            <w:vAlign w:val="center"/>
          </w:tcPr>
          <w:p>
            <w:pPr>
              <w:spacing w:before="0" w:after="0"/>
              <w:jc w:val="center"/>
            </w:pPr>
            <w:r>
              <w:rPr>
                <w:rFonts w:ascii="Calibri" w:hAnsi="Calibri"/>
                <w:b/>
                <w:color w:val="1F4E79"/>
                <w:sz w:val="17"/>
              </w:rPr>
              <w:t>Materiales</w:t>
              <w:br/>
              <w:t>(Materials)</w:t>
            </w:r>
          </w:p>
        </w:tc>
        <w:tc>
          <w:tcPr>
            <w:tcW w:type="dxa" w:w="6192"/>
            <w:shd w:fill="F9FBFD"/>
            <w:tcMar>
              <w:top w:w="70" w:type="dxa"/>
              <w:bottom w:w="70" w:type="dxa"/>
              <w:left w:w="80" w:type="dxa"/>
              <w:right w:w="80" w:type="dxa"/>
            </w:tcMar>
            <w:vAlign w:val="center"/>
          </w:tcPr>
          <w:p>
            <w:pPr>
              <w:spacing w:before="0" w:after="0"/>
              <w:jc w:val="left"/>
            </w:pPr>
            <w:r>
              <w:rPr>
                <w:rFonts w:ascii="Calibri" w:hAnsi="Calibri"/>
                <w:sz w:val="17"/>
              </w:rPr>
              <w:t>• F1: Grasa mineral básica con viscosidad insuficiente y sin aditivos sellantes para polvo de cuarzo.</w:t>
              <w:br/>
              <w:t>• F2: Costra de polvo mineral compactado con bajísima conductividad térmica (k &lt; 0.2 W/m·K).</w:t>
              <w:br/>
              <w:t>• F3: Manguera de 1 sola malla de acero (1SN) sometida a fatiga severa en 20 bar.</w:t>
              <w:br/>
              <w:t>• F4: Cubierta de caucho estándar sin cordones transversales antidesgarro (rip-stop breakers).</w:t>
              <w:br/>
              <w:t>• F5: Poliuretano de baja resiliencia que sufre desgaste abrasivo asimétrico y desgarro.</w:t>
            </w:r>
          </w:p>
        </w:tc>
        <w:tc>
          <w:tcPr>
            <w:tcW w:type="dxa" w:w="1296"/>
            <w:shd w:fill="F9FBFD"/>
            <w:tcMar>
              <w:top w:w="70" w:type="dxa"/>
              <w:bottom w:w="70" w:type="dxa"/>
              <w:left w:w="80" w:type="dxa"/>
              <w:right w:w="80" w:type="dxa"/>
            </w:tcMar>
            <w:vAlign w:val="center"/>
          </w:tcPr>
          <w:p>
            <w:pPr>
              <w:spacing w:before="0" w:after="0"/>
              <w:jc w:val="center"/>
            </w:pPr>
            <w:r>
              <w:rPr>
                <w:rFonts w:ascii="Calibri" w:hAnsi="Calibri"/>
                <w:sz w:val="17"/>
              </w:rPr>
              <w:t>F1, F2, F3, F4, F5</w:t>
            </w:r>
          </w:p>
        </w:tc>
      </w:tr>
      <w:tr>
        <w:tc>
          <w:tcPr>
            <w:tcW w:type="dxa" w:w="1872"/>
            <w:shd w:fill="FFFFFF"/>
            <w:tcMar>
              <w:top w:w="70" w:type="dxa"/>
              <w:bottom w:w="70" w:type="dxa"/>
              <w:left w:w="80" w:type="dxa"/>
              <w:right w:w="80" w:type="dxa"/>
            </w:tcMar>
            <w:vAlign w:val="center"/>
          </w:tcPr>
          <w:p>
            <w:pPr>
              <w:spacing w:before="0" w:after="0"/>
              <w:jc w:val="center"/>
            </w:pPr>
            <w:r>
              <w:rPr>
                <w:rFonts w:ascii="Calibri" w:hAnsi="Calibri"/>
                <w:b/>
                <w:color w:val="1F4E79"/>
                <w:sz w:val="17"/>
              </w:rPr>
              <w:t>Medio Ambiente</w:t>
              <w:br/>
              <w:t>(Milieu / Entorno)</w:t>
            </w:r>
          </w:p>
        </w:tc>
        <w:tc>
          <w:tcPr>
            <w:tcW w:type="dxa" w:w="6192"/>
            <w:shd w:fill="FFFFFF"/>
            <w:tcMar>
              <w:top w:w="70" w:type="dxa"/>
              <w:bottom w:w="70" w:type="dxa"/>
              <w:left w:w="80" w:type="dxa"/>
              <w:right w:w="80" w:type="dxa"/>
            </w:tcMar>
            <w:vAlign w:val="center"/>
          </w:tcPr>
          <w:p>
            <w:pPr>
              <w:spacing w:before="0" w:after="0"/>
              <w:jc w:val="left"/>
            </w:pPr>
            <w:r>
              <w:rPr>
                <w:rFonts w:ascii="Calibri" w:hAnsi="Calibri"/>
                <w:sz w:val="17"/>
              </w:rPr>
              <w:t>• F1: Atmósfera altamente pulvígena en cabezal de accionamiento por caída de finos.</w:t>
              <w:br/>
              <w:t>• F2: Temperatura ambiente estival elevada (&gt; 38 °C) en recinto confinado del motor.</w:t>
              <w:br/>
              <w:t>• F3: Radiación solar directa y salpicaduras de hidrocarburos sobre cubierta de mangueras.</w:t>
              <w:br/>
              <w:t>• F4: Caída accidental de terrones de áridos sobre el ramal inferior de retorno de la banda.</w:t>
              <w:br/>
              <w:t>• F5: Mezcla de finos con humedad ambiental que produce pasta arcillosa de alta adherencia.</w:t>
            </w:r>
          </w:p>
        </w:tc>
        <w:tc>
          <w:tcPr>
            <w:tcW w:type="dxa" w:w="1296"/>
            <w:shd w:fill="FFFFFF"/>
            <w:tcMar>
              <w:top w:w="70" w:type="dxa"/>
              <w:bottom w:w="70" w:type="dxa"/>
              <w:left w:w="80" w:type="dxa"/>
              <w:right w:w="80" w:type="dxa"/>
            </w:tcMar>
            <w:vAlign w:val="center"/>
          </w:tcPr>
          <w:p>
            <w:pPr>
              <w:spacing w:before="0" w:after="0"/>
              <w:jc w:val="center"/>
            </w:pPr>
            <w:r>
              <w:rPr>
                <w:rFonts w:ascii="Calibri" w:hAnsi="Calibri"/>
                <w:sz w:val="17"/>
              </w:rPr>
              <w:t>F1, F2, F3, F4, F5</w:t>
            </w:r>
          </w:p>
        </w:tc>
      </w:tr>
      <w:tr>
        <w:tc>
          <w:tcPr>
            <w:tcW w:type="dxa" w:w="1872"/>
            <w:shd w:fill="F9FBFD"/>
            <w:tcMar>
              <w:top w:w="70" w:type="dxa"/>
              <w:bottom w:w="70" w:type="dxa"/>
              <w:left w:w="80" w:type="dxa"/>
              <w:right w:w="80" w:type="dxa"/>
            </w:tcMar>
            <w:vAlign w:val="center"/>
          </w:tcPr>
          <w:p>
            <w:pPr>
              <w:spacing w:before="0" w:after="0"/>
              <w:jc w:val="center"/>
            </w:pPr>
            <w:r>
              <w:rPr>
                <w:rFonts w:ascii="Calibri" w:hAnsi="Calibri"/>
                <w:b/>
                <w:color w:val="1F4E79"/>
                <w:sz w:val="17"/>
              </w:rPr>
              <w:t>Medición</w:t>
              <w:br/>
              <w:t>(Measurement)</w:t>
            </w:r>
          </w:p>
        </w:tc>
        <w:tc>
          <w:tcPr>
            <w:tcW w:type="dxa" w:w="6192"/>
            <w:shd w:fill="F9FBFD"/>
            <w:tcMar>
              <w:top w:w="70" w:type="dxa"/>
              <w:bottom w:w="70" w:type="dxa"/>
              <w:left w:w="80" w:type="dxa"/>
              <w:right w:w="80" w:type="dxa"/>
            </w:tcMar>
            <w:vAlign w:val="center"/>
          </w:tcPr>
          <w:p>
            <w:pPr>
              <w:spacing w:before="0" w:after="0"/>
              <w:jc w:val="left"/>
            </w:pPr>
            <w:r>
              <w:rPr>
                <w:rFonts w:ascii="Calibri" w:hAnsi="Calibri"/>
                <w:sz w:val="17"/>
              </w:rPr>
              <w:t>• F1: Inexistencia de monitoreo periódico de vibraciones con demodulación de envolvente.</w:t>
              <w:br/>
              <w:t>• F2: Falta de sondas térmicas PT-100 en bobinas conectadas a disparo de arrancador suave.</w:t>
              <w:br/>
              <w:t>• F3: Ausencia de manómetro con glicerina para registrar transitorios y golpes de ariete.</w:t>
              <w:br/>
              <w:t>• F4: Sensores inductivos de desalineación descalibrados o bloqueados por barro mineral.</w:t>
              <w:br/>
              <w:t>• F5: Falta de monitoreo de corriente por fase en motor y sin sensor térmico en reductor.</w:t>
            </w:r>
          </w:p>
        </w:tc>
        <w:tc>
          <w:tcPr>
            <w:tcW w:type="dxa" w:w="1296"/>
            <w:shd w:fill="F9FBFD"/>
            <w:tcMar>
              <w:top w:w="70" w:type="dxa"/>
              <w:bottom w:w="70" w:type="dxa"/>
              <w:left w:w="80" w:type="dxa"/>
              <w:right w:w="80" w:type="dxa"/>
            </w:tcMar>
            <w:vAlign w:val="center"/>
          </w:tcPr>
          <w:p>
            <w:pPr>
              <w:spacing w:before="0" w:after="0"/>
              <w:jc w:val="center"/>
            </w:pPr>
            <w:r>
              <w:rPr>
                <w:rFonts w:ascii="Calibri" w:hAnsi="Calibri"/>
                <w:sz w:val="17"/>
              </w:rPr>
              <w:t>F1, F2, F3, F4, F5</w:t>
            </w:r>
          </w:p>
        </w:tc>
      </w:tr>
    </w:tbl>
    <w:p>
      <w:pPr>
        <w:spacing w:after="120"/>
      </w:pPr>
    </w:p>
    <w:p>
      <w:pPr>
        <w:pStyle w:val="Heading2"/>
        <w:keepNext/>
        <w:spacing w:before="280" w:after="120"/>
      </w:pPr>
      <w:r>
        <w:rPr>
          <w:rFonts w:ascii="Calibri" w:hAnsi="Calibri"/>
          <w:b/>
          <w:color w:val="0E2841"/>
          <w:sz w:val="24"/>
        </w:rPr>
        <w:t>4.2 Árbol Causal Profundo de los 5 Porqués para Falla Crítica F2 (Motor 55 kW)</w:t>
      </w:r>
    </w:p>
    <w:p>
      <w:r>
        <w:rPr>
          <w:b/>
        </w:rPr>
        <w:t>Falla Crítica Evaluada: Cortocircuito y quemado de devanado estatórico en motor trifásico de 55 kW (42 h de parada, $109,000 USD).</w:t>
        <w:br/>
      </w:r>
    </w:p>
    <w:tbl>
      <w:tblPr>
        <w:tblW w:type="auto" w:w="0"/>
        <w:jc w:val="center"/>
        <w:tblLayout w:type="fixed"/>
        <w:tblLook w:firstColumn="1" w:firstRow="1" w:lastColumn="0" w:lastRow="0" w:noHBand="0" w:noVBand="1" w:val="04A0"/>
      </w:tblPr>
      <w:tblGrid>
        <w:gridCol w:w="3264"/>
        <w:gridCol w:w="3264"/>
        <w:gridCol w:w="3264"/>
      </w:tblGrid>
      <w:tr>
        <w:tc>
          <w:tcPr>
            <w:tcW w:type="dxa" w:w="3264"/>
            <w:shd w:fill="1F4E79"/>
            <w:tcMar>
              <w:top w:w="120" w:type="dxa"/>
              <w:bottom w:w="120" w:type="dxa"/>
              <w:left w:w="130" w:type="dxa"/>
              <w:right w:w="130" w:type="dxa"/>
            </w:tcMar>
            <w:vAlign w:val="center"/>
          </w:tcPr>
          <w:p>
            <w:pPr>
              <w:spacing w:before="0" w:after="0"/>
              <w:jc w:val="center"/>
            </w:pPr>
            <w:r>
              <w:rPr>
                <w:rFonts w:ascii="Calibri" w:hAnsi="Calibri"/>
                <w:b/>
                <w:color w:val="FFFFFF"/>
                <w:sz w:val="18"/>
              </w:rPr>
              <w:t>Nivel del Porqué</w:t>
            </w:r>
          </w:p>
        </w:tc>
        <w:tc>
          <w:tcPr>
            <w:tcW w:type="dxa" w:w="3264"/>
            <w:shd w:fill="1F4E79"/>
            <w:tcMar>
              <w:top w:w="120" w:type="dxa"/>
              <w:bottom w:w="120" w:type="dxa"/>
              <w:left w:w="130" w:type="dxa"/>
              <w:right w:w="130" w:type="dxa"/>
            </w:tcMar>
            <w:vAlign w:val="center"/>
          </w:tcPr>
          <w:p>
            <w:pPr>
              <w:spacing w:before="0" w:after="0"/>
              <w:jc w:val="center"/>
            </w:pPr>
            <w:r>
              <w:rPr>
                <w:rFonts w:ascii="Calibri" w:hAnsi="Calibri"/>
                <w:b/>
                <w:color w:val="FFFFFF"/>
                <w:sz w:val="18"/>
              </w:rPr>
              <w:t>Deducción Causal Técnica y Evidencia</w:t>
            </w:r>
          </w:p>
        </w:tc>
        <w:tc>
          <w:tcPr>
            <w:tcW w:type="dxa" w:w="3264"/>
            <w:shd w:fill="1F4E79"/>
            <w:tcMar>
              <w:top w:w="120" w:type="dxa"/>
              <w:bottom w:w="120" w:type="dxa"/>
              <w:left w:w="130" w:type="dxa"/>
              <w:right w:w="130" w:type="dxa"/>
            </w:tcMar>
            <w:vAlign w:val="center"/>
          </w:tcPr>
          <w:p>
            <w:pPr>
              <w:spacing w:before="0" w:after="0"/>
              <w:jc w:val="center"/>
            </w:pPr>
            <w:r>
              <w:rPr>
                <w:rFonts w:ascii="Calibri" w:hAnsi="Calibri"/>
                <w:b/>
                <w:color w:val="FFFFFF"/>
                <w:sz w:val="18"/>
              </w:rPr>
              <w:t>Nivel de Causa</w:t>
            </w:r>
          </w:p>
        </w:tc>
      </w:tr>
      <w:tr>
        <w:tc>
          <w:tcPr>
            <w:tcW w:type="dxa" w:w="2592"/>
            <w:shd w:fill="FFFFFF"/>
            <w:tcMar>
              <w:top w:w="60" w:type="dxa"/>
              <w:bottom w:w="60" w:type="dxa"/>
              <w:left w:w="70" w:type="dxa"/>
              <w:right w:w="70" w:type="dxa"/>
            </w:tcMar>
            <w:vAlign w:val="center"/>
          </w:tcPr>
          <w:p>
            <w:pPr>
              <w:spacing w:before="0" w:after="0"/>
              <w:jc w:val="left"/>
            </w:pPr>
            <w:r>
              <w:rPr>
                <w:rFonts w:ascii="Calibri" w:hAnsi="Calibri"/>
                <w:b/>
                <w:sz w:val="17"/>
              </w:rPr>
              <w:t>1. ¿Por qué ocurrió el cortocircuito entre espiras del estator?</w:t>
            </w:r>
          </w:p>
        </w:tc>
        <w:tc>
          <w:tcPr>
            <w:tcW w:type="dxa" w:w="5184"/>
            <w:shd w:fill="FFFFFF"/>
            <w:tcMar>
              <w:top w:w="60" w:type="dxa"/>
              <w:bottom w:w="60" w:type="dxa"/>
              <w:left w:w="70" w:type="dxa"/>
              <w:right w:w="70" w:type="dxa"/>
            </w:tcMar>
            <w:vAlign w:val="center"/>
          </w:tcPr>
          <w:p>
            <w:pPr>
              <w:spacing w:before="0" w:after="0"/>
              <w:jc w:val="left"/>
            </w:pPr>
            <w:r>
              <w:rPr>
                <w:rFonts w:ascii="Calibri" w:hAnsi="Calibri"/>
                <w:sz w:val="17"/>
              </w:rPr>
              <w:t>Porque la película dieléctrica de esmalte (Clase F) de los conductores de cobre se quemó al superar los 160 °C de temperatura interna.</w:t>
            </w:r>
          </w:p>
        </w:tc>
        <w:tc>
          <w:tcPr>
            <w:tcW w:type="dxa" w:w="1584"/>
            <w:shd w:fill="FFFFFF"/>
            <w:tcMar>
              <w:top w:w="60" w:type="dxa"/>
              <w:bottom w:w="60" w:type="dxa"/>
              <w:left w:w="70" w:type="dxa"/>
              <w:right w:w="70" w:type="dxa"/>
            </w:tcMar>
            <w:vAlign w:val="center"/>
          </w:tcPr>
          <w:p>
            <w:pPr>
              <w:spacing w:before="0" w:after="0"/>
              <w:jc w:val="center"/>
            </w:pPr>
            <w:r>
              <w:rPr>
                <w:rFonts w:ascii="Calibri" w:hAnsi="Calibri"/>
                <w:b/>
                <w:color w:val="1F4E79"/>
                <w:sz w:val="17"/>
              </w:rPr>
              <w:t>Causa Física Inmediata</w:t>
            </w:r>
          </w:p>
        </w:tc>
      </w:tr>
      <w:tr>
        <w:tc>
          <w:tcPr>
            <w:tcW w:type="dxa" w:w="2592"/>
            <w:shd w:fill="F9FBFD"/>
            <w:tcMar>
              <w:top w:w="60" w:type="dxa"/>
              <w:bottom w:w="60" w:type="dxa"/>
              <w:left w:w="70" w:type="dxa"/>
              <w:right w:w="70" w:type="dxa"/>
            </w:tcMar>
            <w:vAlign w:val="center"/>
          </w:tcPr>
          <w:p>
            <w:pPr>
              <w:spacing w:before="0" w:after="0"/>
              <w:jc w:val="left"/>
            </w:pPr>
            <w:r>
              <w:rPr>
                <w:rFonts w:ascii="Calibri" w:hAnsi="Calibri"/>
                <w:b/>
                <w:sz w:val="17"/>
              </w:rPr>
              <w:t>2. ¿Por qué se superaron los 160 °C en el interior del motor?</w:t>
            </w:r>
          </w:p>
        </w:tc>
        <w:tc>
          <w:tcPr>
            <w:tcW w:type="dxa" w:w="5184"/>
            <w:shd w:fill="F9FBFD"/>
            <w:tcMar>
              <w:top w:w="60" w:type="dxa"/>
              <w:bottom w:w="60" w:type="dxa"/>
              <w:left w:w="70" w:type="dxa"/>
              <w:right w:w="70" w:type="dxa"/>
            </w:tcMar>
            <w:vAlign w:val="center"/>
          </w:tcPr>
          <w:p>
            <w:pPr>
              <w:spacing w:before="0" w:after="0"/>
              <w:jc w:val="left"/>
            </w:pPr>
            <w:r>
              <w:rPr>
                <w:rFonts w:ascii="Calibri" w:hAnsi="Calibri"/>
                <w:sz w:val="17"/>
              </w:rPr>
              <w:t>Porque colapsó la disipación térmica: el ventilador forzado se trabó por suciedad y la carcasa quedó recubierta de una costra mineral aislante (k &lt; 0.2 W/m·K).</w:t>
            </w:r>
          </w:p>
        </w:tc>
        <w:tc>
          <w:tcPr>
            <w:tcW w:type="dxa" w:w="1584"/>
            <w:shd w:fill="F9FBFD"/>
            <w:tcMar>
              <w:top w:w="60" w:type="dxa"/>
              <w:bottom w:w="60" w:type="dxa"/>
              <w:left w:w="70" w:type="dxa"/>
              <w:right w:w="70" w:type="dxa"/>
            </w:tcMar>
            <w:vAlign w:val="center"/>
          </w:tcPr>
          <w:p>
            <w:pPr>
              <w:spacing w:before="0" w:after="0"/>
              <w:jc w:val="center"/>
            </w:pPr>
            <w:r>
              <w:rPr>
                <w:rFonts w:ascii="Calibri" w:hAnsi="Calibri"/>
                <w:b/>
                <w:color w:val="1F4E79"/>
                <w:sz w:val="17"/>
              </w:rPr>
              <w:t>Causa Física / Mecánica</w:t>
            </w:r>
          </w:p>
        </w:tc>
      </w:tr>
      <w:tr>
        <w:tc>
          <w:tcPr>
            <w:tcW w:type="dxa" w:w="2592"/>
            <w:shd w:fill="FFFFFF"/>
            <w:tcMar>
              <w:top w:w="60" w:type="dxa"/>
              <w:bottom w:w="60" w:type="dxa"/>
              <w:left w:w="70" w:type="dxa"/>
              <w:right w:w="70" w:type="dxa"/>
            </w:tcMar>
            <w:vAlign w:val="center"/>
          </w:tcPr>
          <w:p>
            <w:pPr>
              <w:spacing w:before="0" w:after="0"/>
              <w:jc w:val="left"/>
            </w:pPr>
            <w:r>
              <w:rPr>
                <w:rFonts w:ascii="Calibri" w:hAnsi="Calibri"/>
                <w:b/>
                <w:sz w:val="17"/>
              </w:rPr>
              <w:t>3. ¿Por qué se bloquearon el ventilador y las aletas sin advertirse?</w:t>
            </w:r>
          </w:p>
        </w:tc>
        <w:tc>
          <w:tcPr>
            <w:tcW w:type="dxa" w:w="5184"/>
            <w:shd w:fill="FFFFFF"/>
            <w:tcMar>
              <w:top w:w="60" w:type="dxa"/>
              <w:bottom w:w="60" w:type="dxa"/>
              <w:left w:w="70" w:type="dxa"/>
              <w:right w:w="70" w:type="dxa"/>
            </w:tcMar>
            <w:vAlign w:val="center"/>
          </w:tcPr>
          <w:p>
            <w:pPr>
              <w:spacing w:before="0" w:after="0"/>
              <w:jc w:val="left"/>
            </w:pPr>
            <w:r>
              <w:rPr>
                <w:rFonts w:ascii="Calibri" w:hAnsi="Calibri"/>
                <w:sz w:val="17"/>
              </w:rPr>
              <w:t>Porque los operadores y mantenedores no verificaron la descarga de aire ni palparon la temperatura de la carcasa durante sus rondas.</w:t>
            </w:r>
          </w:p>
        </w:tc>
        <w:tc>
          <w:tcPr>
            <w:tcW w:type="dxa" w:w="1584"/>
            <w:shd w:fill="FFFFFF"/>
            <w:tcMar>
              <w:top w:w="60" w:type="dxa"/>
              <w:bottom w:w="60" w:type="dxa"/>
              <w:left w:w="70" w:type="dxa"/>
              <w:right w:w="70" w:type="dxa"/>
            </w:tcMar>
            <w:vAlign w:val="center"/>
          </w:tcPr>
          <w:p>
            <w:pPr>
              <w:spacing w:before="0" w:after="0"/>
              <w:jc w:val="center"/>
            </w:pPr>
            <w:r>
              <w:rPr>
                <w:rFonts w:ascii="Calibri" w:hAnsi="Calibri"/>
                <w:b/>
                <w:color w:val="1F4E79"/>
                <w:sz w:val="17"/>
              </w:rPr>
              <w:t>Causa Humana / Operativa</w:t>
            </w:r>
          </w:p>
        </w:tc>
      </w:tr>
      <w:tr>
        <w:tc>
          <w:tcPr>
            <w:tcW w:type="dxa" w:w="2592"/>
            <w:shd w:fill="F9FBFD"/>
            <w:tcMar>
              <w:top w:w="60" w:type="dxa"/>
              <w:bottom w:w="60" w:type="dxa"/>
              <w:left w:w="70" w:type="dxa"/>
              <w:right w:w="70" w:type="dxa"/>
            </w:tcMar>
            <w:vAlign w:val="center"/>
          </w:tcPr>
          <w:p>
            <w:pPr>
              <w:spacing w:before="0" w:after="0"/>
              <w:jc w:val="left"/>
            </w:pPr>
            <w:r>
              <w:rPr>
                <w:rFonts w:ascii="Calibri" w:hAnsi="Calibri"/>
                <w:b/>
                <w:sz w:val="17"/>
              </w:rPr>
              <w:t>4. ¿Por qué el personal de planta no detectó la acumulación de polvo?</w:t>
            </w:r>
          </w:p>
        </w:tc>
        <w:tc>
          <w:tcPr>
            <w:tcW w:type="dxa" w:w="5184"/>
            <w:shd w:fill="F9FBFD"/>
            <w:tcMar>
              <w:top w:w="60" w:type="dxa"/>
              <w:bottom w:w="60" w:type="dxa"/>
              <w:left w:w="70" w:type="dxa"/>
              <w:right w:w="70" w:type="dxa"/>
            </w:tcMar>
            <w:vAlign w:val="center"/>
          </w:tcPr>
          <w:p>
            <w:pPr>
              <w:spacing w:before="0" w:after="0"/>
              <w:jc w:val="left"/>
            </w:pPr>
            <w:r>
              <w:rPr>
                <w:rFonts w:ascii="Calibri" w:hAnsi="Calibri"/>
                <w:sz w:val="17"/>
              </w:rPr>
              <w:t>Porque no existía un estándar formal de Mantenimiento Autónomo (TPM CIL semanal) ni inspecciones de termografía infrarroja programadas en el sector.</w:t>
            </w:r>
          </w:p>
        </w:tc>
        <w:tc>
          <w:tcPr>
            <w:tcW w:type="dxa" w:w="1584"/>
            <w:shd w:fill="F9FBFD"/>
            <w:tcMar>
              <w:top w:w="60" w:type="dxa"/>
              <w:bottom w:w="60" w:type="dxa"/>
              <w:left w:w="70" w:type="dxa"/>
              <w:right w:w="70" w:type="dxa"/>
            </w:tcMar>
            <w:vAlign w:val="center"/>
          </w:tcPr>
          <w:p>
            <w:pPr>
              <w:spacing w:before="0" w:after="0"/>
              <w:jc w:val="center"/>
            </w:pPr>
            <w:r>
              <w:rPr>
                <w:rFonts w:ascii="Calibri" w:hAnsi="Calibri"/>
                <w:b/>
                <w:color w:val="1F4E79"/>
                <w:sz w:val="17"/>
              </w:rPr>
              <w:t>Causa de Método / Control</w:t>
            </w:r>
          </w:p>
        </w:tc>
      </w:tr>
      <w:tr>
        <w:tc>
          <w:tcPr>
            <w:tcW w:type="dxa" w:w="2592"/>
            <w:shd w:fill="FFFFFF"/>
            <w:tcMar>
              <w:top w:w="60" w:type="dxa"/>
              <w:bottom w:w="60" w:type="dxa"/>
              <w:left w:w="70" w:type="dxa"/>
              <w:right w:w="70" w:type="dxa"/>
            </w:tcMar>
            <w:vAlign w:val="center"/>
          </w:tcPr>
          <w:p>
            <w:pPr>
              <w:spacing w:before="0" w:after="0"/>
              <w:jc w:val="left"/>
            </w:pPr>
            <w:r>
              <w:rPr>
                <w:rFonts w:ascii="Calibri" w:hAnsi="Calibri"/>
                <w:b/>
                <w:sz w:val="17"/>
              </w:rPr>
              <w:t>5. ¿Por qué no estaban implementados el estándar TPM ni la protección térmica?</w:t>
            </w:r>
          </w:p>
        </w:tc>
        <w:tc>
          <w:tcPr>
            <w:tcW w:type="dxa" w:w="5184"/>
            <w:shd w:fill="FFFFFF"/>
            <w:tcMar>
              <w:top w:w="60" w:type="dxa"/>
              <w:bottom w:w="60" w:type="dxa"/>
              <w:left w:w="70" w:type="dxa"/>
              <w:right w:w="70" w:type="dxa"/>
            </w:tcMar>
            <w:vAlign w:val="center"/>
          </w:tcPr>
          <w:p>
            <w:pPr>
              <w:spacing w:before="0" w:after="0"/>
              <w:jc w:val="left"/>
            </w:pPr>
            <w:r>
              <w:rPr>
                <w:rFonts w:ascii="Calibri" w:hAnsi="Calibri"/>
                <w:sz w:val="17"/>
              </w:rPr>
              <w:t>Porque la gerencia mantenía una política puramente reactiva ('run-to-failure') en accionamientos, sin haber aplicado RCM que evidenciara que la falla de un motor de $4,000 USD costaría $105,000 USD de parada y riesgo de petrificación en el reactor.</w:t>
            </w:r>
          </w:p>
        </w:tc>
        <w:tc>
          <w:tcPr>
            <w:tcW w:type="dxa" w:w="1584"/>
            <w:shd w:fill="FFFFFF"/>
            <w:tcMar>
              <w:top w:w="60" w:type="dxa"/>
              <w:bottom w:w="60" w:type="dxa"/>
              <w:left w:w="70" w:type="dxa"/>
              <w:right w:w="70" w:type="dxa"/>
            </w:tcMar>
            <w:vAlign w:val="center"/>
          </w:tcPr>
          <w:p>
            <w:pPr>
              <w:spacing w:before="0" w:after="0"/>
              <w:jc w:val="center"/>
            </w:pPr>
            <w:r>
              <w:rPr>
                <w:rFonts w:ascii="Calibri" w:hAnsi="Calibri"/>
                <w:b/>
                <w:color w:val="C00000"/>
                <w:sz w:val="17"/>
              </w:rPr>
              <w:t>Causa Raíz Latente / Organizacional</w:t>
            </w:r>
          </w:p>
        </w:tc>
      </w:tr>
    </w:tbl>
    <w:p>
      <w:pPr>
        <w:spacing w:after="80"/>
      </w:pPr>
    </w:p>
    <w:tbl>
      <w:tblPr>
        <w:tblW w:type="auto" w:w="0"/>
        <w:jc w:val="center"/>
        <w:tblLayout w:type="fixed"/>
        <w:tblLook w:firstColumn="1" w:firstRow="1" w:lastColumn="0" w:lastRow="0" w:noHBand="0" w:noVBand="1" w:val="04A0"/>
      </w:tblPr>
      <w:tblGrid>
        <w:gridCol w:w="9792"/>
      </w:tblGrid>
      <w:tr>
        <w:tc>
          <w:tcPr>
            <w:tcW w:type="dxa" w:w="9360"/>
            <w:shd w:fill="F2F5F9"/>
            <w:tcMar>
              <w:top w:w="120" w:type="dxa"/>
              <w:bottom w:w="120" w:type="dxa"/>
              <w:left w:w="180" w:type="dxa"/>
              <w:right w:w="180" w:type="dxa"/>
            </w:tcMar>
            <w:tcBorders>
              <w:top w:val="none"/>
              <w:left w:val="single" w:sz="24" w:space="0" w:color="1F4E79"/>
              <w:bottom w:val="none"/>
              <w:right w:val="none"/>
            </w:tcBorders>
          </w:tcPr>
          <w:p>
            <w:pPr>
              <w:spacing w:before="40" w:after="40"/>
            </w:pPr>
            <w:r>
              <w:rPr>
                <w:rFonts w:ascii="Calibri" w:hAnsi="Calibri"/>
                <w:b/>
                <w:color w:val="1F4E79"/>
                <w:sz w:val="20"/>
              </w:rPr>
              <w:t>Acciones Preventivas de Bloqueo para Falla F2 (Poka-Yoke + TPM + Standby)</w:t>
              <w:br/>
            </w:r>
            <w:r>
              <w:rPr>
                <w:rFonts w:ascii="Calibri" w:hAnsi="Calibri"/>
                <w:color w:val="333333"/>
                <w:sz w:val="19"/>
              </w:rPr>
              <w:t>1. Poka-Yoke / Físico: Instalar 3 sondas termométricas PT-100 embebidas en las cabezas de bobina del estator, vinculadas a alarma a 130 °C y disparo de corte a 145 °C en el arrancador suave.</w:t>
              <w:br/>
              <w:t>2. Procedimental / TPM: Implementar rutina semanal obligatoria de limpieza y soplado con aire comprimido seco de carcasa y tobera, con planilla firmada.</w:t>
              <w:br/>
              <w:t>3. Estratégico de Pañol: Almacenar 1 motor de reserva Standby de 55 kW para garantizar reemplazo en 4 h en caso de contingencia.</w:t>
            </w:r>
          </w:p>
        </w:tc>
      </w:tr>
    </w:tbl>
    <w:p>
      <w:pPr>
        <w:spacing w:after="80"/>
      </w:pPr>
    </w:p>
    <w:p>
      <w:pPr>
        <w:pStyle w:val="Heading2"/>
        <w:keepNext/>
        <w:spacing w:before="280" w:after="120"/>
      </w:pPr>
      <w:r>
        <w:rPr>
          <w:rFonts w:ascii="Calibri" w:hAnsi="Calibri"/>
          <w:b/>
          <w:color w:val="0E2841"/>
          <w:sz w:val="24"/>
        </w:rPr>
        <w:t>4.3 Árbol Causal Profundo de los 5 Porqués para Falla F5 (Rascador y Efecto Dominó)</w:t>
      </w:r>
    </w:p>
    <w:p>
      <w:r>
        <w:rPr>
          <w:b/>
        </w:rPr>
        <w:t>Falla Evaluada: Desgaste prematuro y atrancamiento de rascador primario con sobrecarga térmica en reductor (8 h, $20,850 USD).</w:t>
        <w:br/>
      </w:r>
    </w:p>
    <w:tbl>
      <w:tblPr>
        <w:tblW w:type="auto" w:w="0"/>
        <w:jc w:val="center"/>
        <w:tblLayout w:type="fixed"/>
        <w:tblLook w:firstColumn="1" w:firstRow="1" w:lastColumn="0" w:lastRow="0" w:noHBand="0" w:noVBand="1" w:val="04A0"/>
      </w:tblPr>
      <w:tblGrid>
        <w:gridCol w:w="3264"/>
        <w:gridCol w:w="3264"/>
        <w:gridCol w:w="3264"/>
      </w:tblGrid>
      <w:tr>
        <w:tc>
          <w:tcPr>
            <w:tcW w:type="dxa" w:w="3264"/>
            <w:shd w:fill="1F4E79"/>
            <w:tcMar>
              <w:top w:w="120" w:type="dxa"/>
              <w:bottom w:w="120" w:type="dxa"/>
              <w:left w:w="130" w:type="dxa"/>
              <w:right w:w="130" w:type="dxa"/>
            </w:tcMar>
            <w:vAlign w:val="center"/>
          </w:tcPr>
          <w:p>
            <w:pPr>
              <w:spacing w:before="0" w:after="0"/>
              <w:jc w:val="center"/>
            </w:pPr>
            <w:r>
              <w:rPr>
                <w:rFonts w:ascii="Calibri" w:hAnsi="Calibri"/>
                <w:b/>
                <w:color w:val="FFFFFF"/>
                <w:sz w:val="18"/>
              </w:rPr>
              <w:t>Nivel del Porqué</w:t>
            </w:r>
          </w:p>
        </w:tc>
        <w:tc>
          <w:tcPr>
            <w:tcW w:type="dxa" w:w="3264"/>
            <w:shd w:fill="1F4E79"/>
            <w:tcMar>
              <w:top w:w="120" w:type="dxa"/>
              <w:bottom w:w="120" w:type="dxa"/>
              <w:left w:w="130" w:type="dxa"/>
              <w:right w:w="130" w:type="dxa"/>
            </w:tcMar>
            <w:vAlign w:val="center"/>
          </w:tcPr>
          <w:p>
            <w:pPr>
              <w:spacing w:before="0" w:after="0"/>
              <w:jc w:val="center"/>
            </w:pPr>
            <w:r>
              <w:rPr>
                <w:rFonts w:ascii="Calibri" w:hAnsi="Calibri"/>
                <w:b/>
                <w:color w:val="FFFFFF"/>
                <w:sz w:val="18"/>
              </w:rPr>
              <w:t>Deducción Causal Técnica y Evidencia</w:t>
            </w:r>
          </w:p>
        </w:tc>
        <w:tc>
          <w:tcPr>
            <w:tcW w:type="dxa" w:w="3264"/>
            <w:shd w:fill="1F4E79"/>
            <w:tcMar>
              <w:top w:w="120" w:type="dxa"/>
              <w:bottom w:w="120" w:type="dxa"/>
              <w:left w:w="130" w:type="dxa"/>
              <w:right w:w="130" w:type="dxa"/>
            </w:tcMar>
            <w:vAlign w:val="center"/>
          </w:tcPr>
          <w:p>
            <w:pPr>
              <w:spacing w:before="0" w:after="0"/>
              <w:jc w:val="center"/>
            </w:pPr>
            <w:r>
              <w:rPr>
                <w:rFonts w:ascii="Calibri" w:hAnsi="Calibri"/>
                <w:b/>
                <w:color w:val="FFFFFF"/>
                <w:sz w:val="18"/>
              </w:rPr>
              <w:t>Nivel de Causa</w:t>
            </w:r>
          </w:p>
        </w:tc>
      </w:tr>
      <w:tr>
        <w:tc>
          <w:tcPr>
            <w:tcW w:type="dxa" w:w="2592"/>
            <w:shd w:fill="FFFFFF"/>
            <w:tcMar>
              <w:top w:w="60" w:type="dxa"/>
              <w:bottom w:w="60" w:type="dxa"/>
              <w:left w:w="70" w:type="dxa"/>
              <w:right w:w="70" w:type="dxa"/>
            </w:tcMar>
            <w:vAlign w:val="center"/>
          </w:tcPr>
          <w:p>
            <w:pPr>
              <w:spacing w:before="0" w:after="0"/>
              <w:jc w:val="left"/>
            </w:pPr>
            <w:r>
              <w:rPr>
                <w:rFonts w:ascii="Calibri" w:hAnsi="Calibri"/>
                <w:b/>
                <w:sz w:val="17"/>
              </w:rPr>
              <w:t>1. ¿Por qué sobrecalentó el reductor y aumentó la corriente del motor?</w:t>
            </w:r>
          </w:p>
        </w:tc>
        <w:tc>
          <w:tcPr>
            <w:tcW w:type="dxa" w:w="5184"/>
            <w:shd w:fill="FFFFFF"/>
            <w:tcMar>
              <w:top w:w="60" w:type="dxa"/>
              <w:bottom w:w="60" w:type="dxa"/>
              <w:left w:w="70" w:type="dxa"/>
              <w:right w:w="70" w:type="dxa"/>
            </w:tcMar>
            <w:vAlign w:val="center"/>
          </w:tcPr>
          <w:p>
            <w:pPr>
              <w:spacing w:before="0" w:after="0"/>
              <w:jc w:val="left"/>
            </w:pPr>
            <w:r>
              <w:rPr>
                <w:rFonts w:ascii="Calibri" w:hAnsi="Calibri"/>
                <w:sz w:val="17"/>
              </w:rPr>
              <w:t>Porque la cinta demandó una cupla resistente excesiva, forzando a los engranajes a disipar calor por fricción y al motor a absorber sobrecorriente.</w:t>
            </w:r>
          </w:p>
        </w:tc>
        <w:tc>
          <w:tcPr>
            <w:tcW w:type="dxa" w:w="1584"/>
            <w:shd w:fill="FFFFFF"/>
            <w:tcMar>
              <w:top w:w="60" w:type="dxa"/>
              <w:bottom w:w="60" w:type="dxa"/>
              <w:left w:w="70" w:type="dxa"/>
              <w:right w:w="70" w:type="dxa"/>
            </w:tcMar>
            <w:vAlign w:val="center"/>
          </w:tcPr>
          <w:p>
            <w:pPr>
              <w:spacing w:before="0" w:after="0"/>
              <w:jc w:val="center"/>
            </w:pPr>
            <w:r>
              <w:rPr>
                <w:rFonts w:ascii="Calibri" w:hAnsi="Calibri"/>
                <w:b/>
                <w:color w:val="1F4E79"/>
                <w:sz w:val="17"/>
              </w:rPr>
              <w:t>Causa Física Inmediata</w:t>
            </w:r>
          </w:p>
        </w:tc>
      </w:tr>
      <w:tr>
        <w:tc>
          <w:tcPr>
            <w:tcW w:type="dxa" w:w="2592"/>
            <w:shd w:fill="F9FBFD"/>
            <w:tcMar>
              <w:top w:w="60" w:type="dxa"/>
              <w:bottom w:w="60" w:type="dxa"/>
              <w:left w:w="70" w:type="dxa"/>
              <w:right w:w="70" w:type="dxa"/>
            </w:tcMar>
            <w:vAlign w:val="center"/>
          </w:tcPr>
          <w:p>
            <w:pPr>
              <w:spacing w:before="0" w:after="0"/>
              <w:jc w:val="left"/>
            </w:pPr>
            <w:r>
              <w:rPr>
                <w:rFonts w:ascii="Calibri" w:hAnsi="Calibri"/>
                <w:b/>
                <w:sz w:val="17"/>
              </w:rPr>
              <w:t>2. ¿Por qué se disparó la cupla resistente en la cinta?</w:t>
            </w:r>
          </w:p>
        </w:tc>
        <w:tc>
          <w:tcPr>
            <w:tcW w:type="dxa" w:w="5184"/>
            <w:shd w:fill="F9FBFD"/>
            <w:tcMar>
              <w:top w:w="60" w:type="dxa"/>
              <w:bottom w:w="60" w:type="dxa"/>
              <w:left w:w="70" w:type="dxa"/>
              <w:right w:w="70" w:type="dxa"/>
            </w:tcMar>
            <w:vAlign w:val="center"/>
          </w:tcPr>
          <w:p>
            <w:pPr>
              <w:spacing w:before="0" w:after="0"/>
              <w:jc w:val="left"/>
            </w:pPr>
            <w:r>
              <w:rPr>
                <w:rFonts w:ascii="Calibri" w:hAnsi="Calibri"/>
                <w:sz w:val="17"/>
              </w:rPr>
              <w:t>Porque la hoja de uretano del rascador primario se inclinó y trabó en ángulo agudo contra la goma, actuando como zapata de freno continua.</w:t>
            </w:r>
          </w:p>
        </w:tc>
        <w:tc>
          <w:tcPr>
            <w:tcW w:type="dxa" w:w="1584"/>
            <w:shd w:fill="F9FBFD"/>
            <w:tcMar>
              <w:top w:w="60" w:type="dxa"/>
              <w:bottom w:w="60" w:type="dxa"/>
              <w:left w:w="70" w:type="dxa"/>
              <w:right w:w="70" w:type="dxa"/>
            </w:tcMar>
            <w:vAlign w:val="center"/>
          </w:tcPr>
          <w:p>
            <w:pPr>
              <w:spacing w:before="0" w:after="0"/>
              <w:jc w:val="center"/>
            </w:pPr>
            <w:r>
              <w:rPr>
                <w:rFonts w:ascii="Calibri" w:hAnsi="Calibri"/>
                <w:b/>
                <w:color w:val="1F4E79"/>
                <w:sz w:val="17"/>
              </w:rPr>
              <w:t>Causa Física / Mecánica</w:t>
            </w:r>
          </w:p>
        </w:tc>
      </w:tr>
      <w:tr>
        <w:tc>
          <w:tcPr>
            <w:tcW w:type="dxa" w:w="2592"/>
            <w:shd w:fill="FFFFFF"/>
            <w:tcMar>
              <w:top w:w="60" w:type="dxa"/>
              <w:bottom w:w="60" w:type="dxa"/>
              <w:left w:w="70" w:type="dxa"/>
              <w:right w:w="70" w:type="dxa"/>
            </w:tcMar>
            <w:vAlign w:val="center"/>
          </w:tcPr>
          <w:p>
            <w:pPr>
              <w:spacing w:before="0" w:after="0"/>
              <w:jc w:val="left"/>
            </w:pPr>
            <w:r>
              <w:rPr>
                <w:rFonts w:ascii="Calibri" w:hAnsi="Calibri"/>
                <w:b/>
                <w:sz w:val="17"/>
              </w:rPr>
              <w:t>3. ¿Por qué se trabó la hoja del rascador?</w:t>
            </w:r>
          </w:p>
        </w:tc>
        <w:tc>
          <w:tcPr>
            <w:tcW w:type="dxa" w:w="5184"/>
            <w:shd w:fill="FFFFFF"/>
            <w:tcMar>
              <w:top w:w="60" w:type="dxa"/>
              <w:bottom w:w="60" w:type="dxa"/>
              <w:left w:w="70" w:type="dxa"/>
              <w:right w:w="70" w:type="dxa"/>
            </w:tcMar>
            <w:vAlign w:val="center"/>
          </w:tcPr>
          <w:p>
            <w:pPr>
              <w:spacing w:before="0" w:after="0"/>
              <w:jc w:val="left"/>
            </w:pPr>
            <w:r>
              <w:rPr>
                <w:rFonts w:ascii="Calibri" w:hAnsi="Calibri"/>
                <w:sz w:val="17"/>
              </w:rPr>
              <w:t>Porque sufrió desgaste asimétrico y la acumulación de costra de mineral en el soporte basculante bloqueó el resorte compensador de tensión.</w:t>
            </w:r>
          </w:p>
        </w:tc>
        <w:tc>
          <w:tcPr>
            <w:tcW w:type="dxa" w:w="1584"/>
            <w:shd w:fill="FFFFFF"/>
            <w:tcMar>
              <w:top w:w="60" w:type="dxa"/>
              <w:bottom w:w="60" w:type="dxa"/>
              <w:left w:w="70" w:type="dxa"/>
              <w:right w:w="70" w:type="dxa"/>
            </w:tcMar>
            <w:vAlign w:val="center"/>
          </w:tcPr>
          <w:p>
            <w:pPr>
              <w:spacing w:before="0" w:after="0"/>
              <w:jc w:val="center"/>
            </w:pPr>
            <w:r>
              <w:rPr>
                <w:rFonts w:ascii="Calibri" w:hAnsi="Calibri"/>
                <w:b/>
                <w:color w:val="1F4E79"/>
                <w:sz w:val="17"/>
              </w:rPr>
              <w:t>Causa Física / Componente</w:t>
            </w:r>
          </w:p>
        </w:tc>
      </w:tr>
      <w:tr>
        <w:tc>
          <w:tcPr>
            <w:tcW w:type="dxa" w:w="2592"/>
            <w:shd w:fill="F9FBFD"/>
            <w:tcMar>
              <w:top w:w="60" w:type="dxa"/>
              <w:bottom w:w="60" w:type="dxa"/>
              <w:left w:w="70" w:type="dxa"/>
              <w:right w:w="70" w:type="dxa"/>
            </w:tcMar>
            <w:vAlign w:val="center"/>
          </w:tcPr>
          <w:p>
            <w:pPr>
              <w:spacing w:before="0" w:after="0"/>
              <w:jc w:val="left"/>
            </w:pPr>
            <w:r>
              <w:rPr>
                <w:rFonts w:ascii="Calibri" w:hAnsi="Calibri"/>
                <w:b/>
                <w:sz w:val="17"/>
              </w:rPr>
              <w:t>4. ¿Por qué no se limpió la costra ni se ajustó el resorte?</w:t>
            </w:r>
          </w:p>
        </w:tc>
        <w:tc>
          <w:tcPr>
            <w:tcW w:type="dxa" w:w="5184"/>
            <w:shd w:fill="F9FBFD"/>
            <w:tcMar>
              <w:top w:w="60" w:type="dxa"/>
              <w:bottom w:w="60" w:type="dxa"/>
              <w:left w:w="70" w:type="dxa"/>
              <w:right w:w="70" w:type="dxa"/>
            </w:tcMar>
            <w:vAlign w:val="center"/>
          </w:tcPr>
          <w:p>
            <w:pPr>
              <w:spacing w:before="0" w:after="0"/>
              <w:jc w:val="left"/>
            </w:pPr>
            <w:r>
              <w:rPr>
                <w:rFonts w:ascii="Calibri" w:hAnsi="Calibri"/>
                <w:sz w:val="17"/>
              </w:rPr>
              <w:t>Porque los operadores de turno no realizaron la inspección sensorial diaria (ronda CIL de 3 minutos) para verificar el filo y la movilidad del eje.</w:t>
            </w:r>
          </w:p>
        </w:tc>
        <w:tc>
          <w:tcPr>
            <w:tcW w:type="dxa" w:w="1584"/>
            <w:shd w:fill="F9FBFD"/>
            <w:tcMar>
              <w:top w:w="60" w:type="dxa"/>
              <w:bottom w:w="60" w:type="dxa"/>
              <w:left w:w="70" w:type="dxa"/>
              <w:right w:w="70" w:type="dxa"/>
            </w:tcMar>
            <w:vAlign w:val="center"/>
          </w:tcPr>
          <w:p>
            <w:pPr>
              <w:spacing w:before="0" w:after="0"/>
              <w:jc w:val="center"/>
            </w:pPr>
            <w:r>
              <w:rPr>
                <w:rFonts w:ascii="Calibri" w:hAnsi="Calibri"/>
                <w:b/>
                <w:color w:val="1F4E79"/>
                <w:sz w:val="17"/>
              </w:rPr>
              <w:t>Causa Humana / Operativa</w:t>
            </w:r>
          </w:p>
        </w:tc>
      </w:tr>
      <w:tr>
        <w:tc>
          <w:tcPr>
            <w:tcW w:type="dxa" w:w="2592"/>
            <w:shd w:fill="FFFFFF"/>
            <w:tcMar>
              <w:top w:w="60" w:type="dxa"/>
              <w:bottom w:w="60" w:type="dxa"/>
              <w:left w:w="70" w:type="dxa"/>
              <w:right w:w="70" w:type="dxa"/>
            </w:tcMar>
            <w:vAlign w:val="center"/>
          </w:tcPr>
          <w:p>
            <w:pPr>
              <w:spacing w:before="0" w:after="0"/>
              <w:jc w:val="left"/>
            </w:pPr>
            <w:r>
              <w:rPr>
                <w:rFonts w:ascii="Calibri" w:hAnsi="Calibri"/>
                <w:b/>
                <w:sz w:val="17"/>
              </w:rPr>
              <w:t>5. ¿Por qué no existía la ronda de rascadores ni sensores térmicos?</w:t>
            </w:r>
          </w:p>
        </w:tc>
        <w:tc>
          <w:tcPr>
            <w:tcW w:type="dxa" w:w="5184"/>
            <w:shd w:fill="FFFFFF"/>
            <w:tcMar>
              <w:top w:w="60" w:type="dxa"/>
              <w:bottom w:w="60" w:type="dxa"/>
              <w:left w:w="70" w:type="dxa"/>
              <w:right w:w="70" w:type="dxa"/>
            </w:tcMar>
            <w:vAlign w:val="center"/>
          </w:tcPr>
          <w:p>
            <w:pPr>
              <w:spacing w:before="0" w:after="0"/>
              <w:jc w:val="left"/>
            </w:pPr>
            <w:r>
              <w:rPr>
                <w:rFonts w:ascii="Calibri" w:hAnsi="Calibri"/>
                <w:sz w:val="17"/>
              </w:rPr>
              <w:t>Porque la supervisión consideraba al rascador como un elemento secundario de limpieza sin impacto productivo, desconociendo el efecto dominó sobre reductor y motor; ausencia de Mantenimiento Autónomo estructurado.</w:t>
            </w:r>
          </w:p>
        </w:tc>
        <w:tc>
          <w:tcPr>
            <w:tcW w:type="dxa" w:w="1584"/>
            <w:shd w:fill="FFFFFF"/>
            <w:tcMar>
              <w:top w:w="60" w:type="dxa"/>
              <w:bottom w:w="60" w:type="dxa"/>
              <w:left w:w="70" w:type="dxa"/>
              <w:right w:w="70" w:type="dxa"/>
            </w:tcMar>
            <w:vAlign w:val="center"/>
          </w:tcPr>
          <w:p>
            <w:pPr>
              <w:spacing w:before="0" w:after="0"/>
              <w:jc w:val="center"/>
            </w:pPr>
            <w:r>
              <w:rPr>
                <w:rFonts w:ascii="Calibri" w:hAnsi="Calibri"/>
                <w:b/>
                <w:color w:val="C00000"/>
                <w:sz w:val="17"/>
              </w:rPr>
              <w:t>Causa Raíz Latente / Organizacional</w:t>
            </w:r>
          </w:p>
        </w:tc>
      </w:tr>
    </w:tbl>
    <w:p>
      <w:pPr>
        <w:spacing w:after="80"/>
      </w:pPr>
    </w:p>
    <w:tbl>
      <w:tblPr>
        <w:tblW w:type="auto" w:w="0"/>
        <w:jc w:val="center"/>
        <w:tblLayout w:type="fixed"/>
        <w:tblLook w:firstColumn="1" w:firstRow="1" w:lastColumn="0" w:lastRow="0" w:noHBand="0" w:noVBand="1" w:val="04A0"/>
      </w:tblPr>
      <w:tblGrid>
        <w:gridCol w:w="9792"/>
      </w:tblGrid>
      <w:tr>
        <w:tc>
          <w:tcPr>
            <w:tcW w:type="dxa" w:w="9360"/>
            <w:shd w:fill="F2F5F9"/>
            <w:tcMar>
              <w:top w:w="120" w:type="dxa"/>
              <w:bottom w:w="120" w:type="dxa"/>
              <w:left w:w="180" w:type="dxa"/>
              <w:right w:w="180" w:type="dxa"/>
            </w:tcMar>
            <w:tcBorders>
              <w:top w:val="none"/>
              <w:left w:val="single" w:sz="24" w:space="0" w:color="1F4E79"/>
              <w:bottom w:val="none"/>
              <w:right w:val="none"/>
            </w:tcBorders>
          </w:tcPr>
          <w:p>
            <w:pPr>
              <w:spacing w:before="40" w:after="40"/>
            </w:pPr>
            <w:r>
              <w:rPr>
                <w:rFonts w:ascii="Calibri" w:hAnsi="Calibri"/>
                <w:b/>
                <w:color w:val="1F4E79"/>
                <w:sz w:val="20"/>
              </w:rPr>
              <w:t>Acciones Preventivas de Bloqueo para Falla F5 (TPM + Poka-Yoke Mecánico + PdM)</w:t>
              <w:br/>
            </w:r>
            <w:r>
              <w:rPr>
                <w:rFonts w:ascii="Calibri" w:hAnsi="Calibri"/>
                <w:color w:val="333333"/>
                <w:sz w:val="19"/>
              </w:rPr>
              <w:t>1. Metodológica / TPM: Ronda obligatoria de Mantenimiento Autónomo (3 minutos al inicio de cada turno) para remoción de costra en eje porta-rascador y palpado de filo.</w:t>
              <w:br/>
              <w:t>2. Poka-Yoke / Mecánico: Instalar soporte basculante autolimpiante con fusible mecánico desacoplable ante sobreesfuerzo de frenado y deflector de goma anti-incrustaciones.</w:t>
              <w:br/>
              <w:t>3. Monitoreo Predictivo: Instalar sensor de temperatura PT-100 en el tapón de vaciado del reductor ortogonal conectado al PLC de planta con parada de seguridad a 85 °C.</w:t>
            </w:r>
          </w:p>
        </w:tc>
      </w:tr>
    </w:tbl>
    <w:p>
      <w:pPr>
        <w:spacing w:after="80"/>
      </w:pPr>
    </w:p>
    <w:p>
      <w:pPr>
        <w:pStyle w:val="Heading1"/>
        <w:keepNext/>
        <w:spacing w:before="280" w:after="120"/>
      </w:pPr>
      <w:r>
        <w:rPr>
          <w:rFonts w:ascii="Calibri" w:hAnsi="Calibri"/>
          <w:b/>
          <w:color w:val="1F4E79"/>
          <w:sz w:val="28"/>
        </w:rPr>
        <w:t>5. Conclusiones Ejecutivas y Hoja de Ruta de Mantenimiento</w:t>
      </w:r>
    </w:p>
    <w:p>
      <w:r>
        <w:t>1. La Línea de Transporte de Áridos de Alta Densidad presenta un comportamiento de fallas gobernado en un 100% por factores aleatorios e incondicionales a la edad (Patrones D, E y F de Nowlan &amp; Heap). En consecuencia, las intervenciones intrusivas por horas de calendario deben ser sustituidas definitivamente por Mantenimiento Basado en la Condición (CBM).</w:t>
        <w:br/>
        <w:t>2. El costo dominante de las fallas no radica en los repuestos o mano de obra, sino en el lucro cesante por lucro cesante ($300,000 USD de $313,620 USD totales, 95.66%).</w:t>
        <w:br/>
        <w:t>3. La adquisición de un motor Standby de 55 kW en pañol ($4,000 USD de inversión) genera un ahorro neto de $95,000 USD en la primera falla evitada, reduciendo el MTTR global a 16.40 h y elevando la disponibilidad de planta al 98.86%, con un ROI del 2,275%.</w:t>
        <w:br/>
        <w:t>4. El Análisis de Causa Raíz mediante Ishikawa 6M y los 5 Porqués demostró que las causas raíz profundas son de carácter latente y organizativo: la implementación de Mantenimiento Autónomo (TPM) mediante rondas CIL de 3 minutos y protecciones Poka-Yoke blindan a la planta contra fallas en cadena.</w:t>
      </w:r>
    </w:p>
    <w:sectPr w:rsidR="00FC693F" w:rsidRPr="0006063C" w:rsidSect="00034616">
      <w:headerReference w:type="default" r:id="rId9"/>
      <w:footerReference w:type="default" r:id="rId10"/>
      <w:pgSz w:w="12240" w:h="15840"/>
      <w:pgMar w:top="1224" w:right="1224" w:bottom="1224"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888888"/>
        <w:sz w:val="17"/>
      </w:rPr>
      <w:t>Línea Principal de Elevación y Transporte de Áridos — Confiabilidad, Ishikawa 6M y KPIs</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888888"/>
        <w:sz w:val="17"/>
      </w:rPr>
      <w:t>UTN FRSR · Cátedra de Gestión y Mantenimiento Electromecánico · TP N°1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