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67A90">
      <w:r>
        <w:drawing>
          <wp:inline distT="0" distB="0" distL="114300" distR="114300">
            <wp:extent cx="5268595" cy="283527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D85D">
      <w:r>
        <w:drawing>
          <wp:inline distT="0" distB="0" distL="114300" distR="114300">
            <wp:extent cx="5268595" cy="5487670"/>
            <wp:effectExtent l="0" t="0" r="444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8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0AE1">
      <w:r>
        <w:drawing>
          <wp:inline distT="0" distB="0" distL="114300" distR="114300">
            <wp:extent cx="5273040" cy="296354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477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English → Chinese (中英对照)</w:t>
      </w:r>
    </w:p>
    <w:p w14:paraId="528FBBD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0AA51">
      <w:pPr>
        <w:pStyle w:val="3"/>
        <w:keepNext w:val="0"/>
        <w:keepLines w:val="0"/>
        <w:widowControl/>
        <w:suppressLineNumbers w:val="0"/>
      </w:pPr>
      <w:r>
        <w:t>2. French Holidays: Religious Heritage</w:t>
      </w:r>
    </w:p>
    <w:p w14:paraId="5D02D57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Christmas (Noël) – December 25th</w:t>
      </w:r>
      <w:r>
        <w:br w:type="textWrapping"/>
      </w:r>
      <w:r>
        <w:rPr>
          <w:rStyle w:val="7"/>
        </w:rPr>
        <w:t>圣诞节（Noël）— 12月25日</w:t>
      </w:r>
    </w:p>
    <w:p w14:paraId="5B48B4E5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Easter (Pâques) – First Sunday after the first full moon following the spring equinox</w:t>
      </w:r>
      <w:r>
        <w:br w:type="textWrapping"/>
      </w:r>
      <w:r>
        <w:rPr>
          <w:rStyle w:val="7"/>
        </w:rPr>
        <w:t>复活节（Pâques）— 春分之后第一次满月后的第一个星期日</w:t>
      </w:r>
    </w:p>
    <w:p w14:paraId="1BB98C9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All Saints’ Day (La Toussaint) – November 1st</w:t>
      </w:r>
      <w:r>
        <w:br w:type="textWrapping"/>
      </w:r>
      <w:r>
        <w:rPr>
          <w:rStyle w:val="7"/>
        </w:rPr>
        <w:t>诸圣节（La Toussaint）— 11月1日</w:t>
      </w:r>
    </w:p>
    <w:p w14:paraId="4F9B92A5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Assumption of Mary (L’Assomption) – August 15th</w:t>
      </w:r>
      <w:r>
        <w:br w:type="textWrapping"/>
      </w:r>
      <w:r>
        <w:rPr>
          <w:rStyle w:val="7"/>
        </w:rPr>
        <w:t>圣母升天节（L’Assomption）— 8月15日</w:t>
      </w:r>
    </w:p>
    <w:p w14:paraId="0A2BEE0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Ascension Day (Ascension) – 40 days after Easter (movable date)</w:t>
      </w:r>
      <w:r>
        <w:br w:type="textWrapping"/>
      </w:r>
      <w:r>
        <w:rPr>
          <w:rStyle w:val="7"/>
        </w:rPr>
        <w:t>耶稣升天节（Ascension）— 复活节后第40天（日期不固定）</w:t>
      </w:r>
      <w:r>
        <w:br w:type="textWrapping"/>
      </w:r>
      <w:r>
        <w:rPr>
          <w:rStyle w:val="8"/>
        </w:rPr>
        <w:t>Example: May 9th, 2024 / May 29th, 2025</w:t>
      </w:r>
      <w:r>
        <w:br w:type="textWrapping"/>
      </w:r>
      <w:r>
        <w:rPr>
          <w:rStyle w:val="8"/>
        </w:rPr>
        <w:t>例如：2024年5月9日 / 2025年5月29日</w:t>
      </w:r>
    </w:p>
    <w:p w14:paraId="0ADD9CD6">
      <w:pPr>
        <w:pStyle w:val="4"/>
        <w:keepNext w:val="0"/>
        <w:keepLines w:val="0"/>
        <w:widowControl/>
        <w:suppressLineNumbers w:val="0"/>
        <w:ind w:left="720"/>
        <w:rPr>
          <w:rStyle w:val="8"/>
        </w:rPr>
      </w:pPr>
      <w:r>
        <w:rPr>
          <w:rStyle w:val="7"/>
        </w:rPr>
        <w:t>Whit Monday / Pentecost Monday (Lundi de Pentecôte) – 50 days after Easter (movable date)</w:t>
      </w:r>
      <w:r>
        <w:br w:type="textWrapping"/>
      </w:r>
      <w:r>
        <w:rPr>
          <w:rStyle w:val="7"/>
        </w:rPr>
        <w:t>圣灵降临节星期一（Lundi de Pentecôte）— 复活节后第50天（日期不固定）</w:t>
      </w:r>
      <w:r>
        <w:br w:type="textWrapping"/>
      </w:r>
      <w:r>
        <w:rPr>
          <w:rStyle w:val="8"/>
        </w:rPr>
        <w:t>Example: May 20th, 2024 / June 9th, 2025</w:t>
      </w:r>
      <w:r>
        <w:br w:type="textWrapping"/>
      </w:r>
      <w:r>
        <w:rPr>
          <w:rStyle w:val="8"/>
        </w:rPr>
        <w:t>例如：2024年5月20日 / 2025年6月9日</w:t>
      </w:r>
    </w:p>
    <w:p w14:paraId="573628FB">
      <w:pPr>
        <w:pStyle w:val="3"/>
        <w:keepNext w:val="0"/>
        <w:keepLines w:val="0"/>
        <w:widowControl/>
        <w:suppressLineNumbers w:val="0"/>
      </w:pPr>
      <w:r>
        <w:t>3. French Holidays: Republican Values</w:t>
      </w:r>
    </w:p>
    <w:p w14:paraId="49415472">
      <w:pPr>
        <w:pStyle w:val="3"/>
        <w:keepNext w:val="0"/>
        <w:keepLines w:val="0"/>
        <w:widowControl/>
        <w:suppressLineNumbers w:val="0"/>
      </w:pPr>
      <w:r>
        <w:t>3. 法国节日：共和价值</w:t>
      </w:r>
    </w:p>
    <w:p w14:paraId="15FEA36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National Day – July 14</w:t>
      </w:r>
      <w:r>
        <w:br w:type="textWrapping"/>
      </w:r>
      <w:r>
        <w:rPr>
          <w:rStyle w:val="7"/>
        </w:rPr>
        <w:t>国庆日（巴士底日）— 7月14日</w:t>
      </w:r>
    </w:p>
    <w:p w14:paraId="64F73B0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Labor Day – May 1</w:t>
      </w:r>
      <w:r>
        <w:br w:type="textWrapping"/>
      </w:r>
      <w:r>
        <w:rPr>
          <w:rStyle w:val="7"/>
        </w:rPr>
        <w:t>劳动节 — 5月1日</w:t>
      </w:r>
    </w:p>
    <w:p w14:paraId="76FBB3F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Victory Day – May 8</w:t>
      </w:r>
      <w:r>
        <w:br w:type="textWrapping"/>
      </w:r>
      <w:r>
        <w:rPr>
          <w:rStyle w:val="7"/>
        </w:rPr>
        <w:t>胜利日（欧洲胜利日）— 5月8日</w:t>
      </w:r>
    </w:p>
    <w:p w14:paraId="74DD650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Armistice – Nov 11</w:t>
      </w:r>
      <w:r>
        <w:br w:type="textWrapping"/>
      </w:r>
      <w:r>
        <w:rPr>
          <w:rStyle w:val="7"/>
        </w:rPr>
        <w:t>停战日（一战停战纪念日）— 11月11日</w:t>
      </w:r>
    </w:p>
    <w:p w14:paraId="4A9558F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English → Chinese（中英对照）</w:t>
      </w:r>
    </w:p>
    <w:p w14:paraId="3F26851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1F56D">
      <w:pPr>
        <w:pStyle w:val="3"/>
        <w:keepNext w:val="0"/>
        <w:keepLines w:val="0"/>
        <w:widowControl/>
        <w:suppressLineNumbers w:val="0"/>
      </w:pPr>
      <w:r>
        <w:t>4. Unique French Celebrations</w:t>
      </w:r>
    </w:p>
    <w:p w14:paraId="75775DBA">
      <w:pPr>
        <w:pStyle w:val="3"/>
        <w:keepNext w:val="0"/>
        <w:keepLines w:val="0"/>
        <w:widowControl/>
        <w:suppressLineNumbers w:val="0"/>
      </w:pPr>
      <w:r>
        <w:t>4. 法国特色节庆</w:t>
      </w:r>
    </w:p>
    <w:p w14:paraId="1FECF8A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Fête de la Musique</w:t>
      </w:r>
      <w:r>
        <w:br w:type="textWrapping"/>
      </w:r>
      <w:r>
        <w:rPr>
          <w:rStyle w:val="7"/>
        </w:rPr>
        <w:t>June 21 – Summer solstice music festival</w:t>
      </w:r>
      <w:r>
        <w:br w:type="textWrapping"/>
      </w:r>
      <w:r>
        <w:rPr>
          <w:rStyle w:val="7"/>
        </w:rPr>
        <w:t>音乐节（Fête de la Musique）</w:t>
      </w:r>
      <w:r>
        <w:br w:type="textWrapping"/>
      </w:r>
      <w:r>
        <w:rPr>
          <w:rStyle w:val="7"/>
        </w:rPr>
        <w:t>6月21日 — 夏至音乐节</w:t>
      </w:r>
    </w:p>
    <w:p w14:paraId="0357039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Fête des Voisins</w:t>
      </w:r>
      <w:r>
        <w:br w:type="textWrapping"/>
      </w:r>
      <w:r>
        <w:rPr>
          <w:rStyle w:val="7"/>
        </w:rPr>
        <w:t>May – Neighbors’ Day, community building</w:t>
      </w:r>
      <w:bookmarkStart w:id="0" w:name="_GoBack"/>
      <w:bookmarkEnd w:id="0"/>
      <w:r>
        <w:br w:type="textWrapping"/>
      </w:r>
      <w:r>
        <w:rPr>
          <w:rStyle w:val="7"/>
        </w:rPr>
        <w:t>邻里节（Fête des Voisins）</w:t>
      </w:r>
      <w:r>
        <w:br w:type="textWrapping"/>
      </w:r>
      <w:r>
        <w:rPr>
          <w:rStyle w:val="7"/>
        </w:rPr>
        <w:t>5月 — 邻居日，促进社区凝聚力</w:t>
      </w:r>
    </w:p>
    <w:p w14:paraId="1FE09B5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Lyon Light Festival</w:t>
      </w:r>
      <w:r>
        <w:br w:type="textWrapping"/>
      </w:r>
      <w:r>
        <w:rPr>
          <w:rStyle w:val="7"/>
        </w:rPr>
        <w:t>December 5–8 – Spectacular illuminations</w:t>
      </w:r>
      <w:r>
        <w:br w:type="textWrapping"/>
      </w:r>
      <w:r>
        <w:rPr>
          <w:rStyle w:val="7"/>
        </w:rPr>
        <w:t>里昂灯光节（Lyon Light Festival / Fête des Lumières）</w:t>
      </w:r>
      <w:r>
        <w:br w:type="textWrapping"/>
      </w:r>
      <w:r>
        <w:rPr>
          <w:rStyle w:val="7"/>
        </w:rPr>
        <w:t>12月5日至8日 — 壮观的灯光展示</w:t>
      </w:r>
    </w:p>
    <w:p w14:paraId="5FFA30C6">
      <w:pPr>
        <w:pStyle w:val="2"/>
        <w:keepNext w:val="0"/>
        <w:keepLines w:val="0"/>
        <w:widowControl/>
        <w:suppressLineNumbers w:val="0"/>
      </w:pPr>
      <w:r>
        <w:t xml:space="preserve">Architectural Style of Notre-Dame de Paris </w:t>
      </w:r>
    </w:p>
    <w:p w14:paraId="0F22410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Style identification</w:t>
      </w:r>
      <w:r>
        <w:t>:</w:t>
      </w:r>
      <w:r>
        <w:br w:type="textWrapping"/>
      </w:r>
      <w:r>
        <w:t xml:space="preserve">Notre-Dame de Paris is a </w:t>
      </w:r>
      <w:r>
        <w:rPr>
          <w:rStyle w:val="7"/>
        </w:rPr>
        <w:t>French Gothic cathedral</w:t>
      </w:r>
      <w:r>
        <w:t xml:space="preserve">, mainly representing </w:t>
      </w:r>
      <w:r>
        <w:rPr>
          <w:rStyle w:val="7"/>
        </w:rPr>
        <w:t>Early Gothic architecture</w:t>
      </w:r>
      <w:r>
        <w:t>.</w:t>
      </w:r>
    </w:p>
    <w:p w14:paraId="2A5C1491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Journey to light</w:t>
      </w:r>
      <w:r>
        <w:t>:</w:t>
      </w:r>
      <w:r>
        <w:br w:type="textWrapping"/>
      </w:r>
      <w:r>
        <w:t xml:space="preserve">The building emphasizes </w:t>
      </w:r>
      <w:r>
        <w:rPr>
          <w:rStyle w:val="7"/>
        </w:rPr>
        <w:t>height and light</w:t>
      </w:r>
      <w:r>
        <w:t>, guiding the viewer’s eye upward, which reflects the Gothic spiritual goal of approaching the divine.</w:t>
      </w:r>
    </w:p>
    <w:p w14:paraId="416E4C5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Pointed arches</w:t>
      </w:r>
      <w:r>
        <w:t>:</w:t>
      </w:r>
      <w:r>
        <w:br w:type="textWrapping"/>
      </w:r>
      <w:r>
        <w:t>Pointed arches are widely used, allowing greater height and directing visual attention skyward.</w:t>
      </w:r>
    </w:p>
    <w:p w14:paraId="7B4F74C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Flying buttresses</w:t>
      </w:r>
      <w:r>
        <w:t>:</w:t>
      </w:r>
      <w:r>
        <w:br w:type="textWrapping"/>
      </w:r>
      <w:r>
        <w:t>Flying buttresses transfer structural thrust outward, enabling thinner walls and larger windows.</w:t>
      </w:r>
    </w:p>
    <w:p w14:paraId="304FEA6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  <w:highlight w:val="yellow"/>
        </w:rPr>
        <w:t>Engineering and artistry</w:t>
      </w:r>
      <w:r>
        <w:rPr>
          <w:highlight w:val="yellow"/>
        </w:rPr>
        <w:t>:</w:t>
      </w:r>
      <w:r>
        <w:br w:type="textWrapping"/>
      </w:r>
      <w:r>
        <w:t xml:space="preserve">Structural elements such as ribbed vaults and buttresses are both functional and </w:t>
      </w:r>
      <w:r>
        <w:rPr>
          <w:b/>
          <w:bCs/>
        </w:rPr>
        <w:t>decorative</w:t>
      </w:r>
      <w:r>
        <w:t>, showing the Gothic integration of engineering and art.</w:t>
      </w:r>
    </w:p>
    <w:p w14:paraId="498DABD0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Rose windows and stained glass</w:t>
      </w:r>
      <w:r>
        <w:t>:</w:t>
      </w:r>
      <w:r>
        <w:br w:type="textWrapping"/>
      </w:r>
      <w:r>
        <w:t>Large rose windows and stained glass transform natural light into symbolic divine light.</w:t>
      </w:r>
    </w:p>
    <w:p w14:paraId="291CBB11">
      <w:pPr>
        <w:keepNext w:val="0"/>
        <w:keepLines w:val="0"/>
        <w:widowControl/>
        <w:suppressLineNumbers w:val="0"/>
      </w:pPr>
    </w:p>
    <w:p w14:paraId="21B4418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 xml:space="preserve">The point that interested me most in class was the existentialist philosophy of </w:t>
      </w:r>
      <w:r>
        <w:t>Jean-Paul Sartre</w:t>
      </w:r>
      <w:r>
        <w:rPr>
          <w:rStyle w:val="7"/>
        </w:rPr>
        <w:t>, especially the idea that “existence precedes essence.”</w:t>
      </w:r>
    </w:p>
    <w:p w14:paraId="3BE8669C">
      <w:pPr>
        <w:pStyle w:val="4"/>
        <w:keepNext w:val="0"/>
        <w:keepLines w:val="0"/>
        <w:widowControl/>
        <w:suppressLineNumbers w:val="0"/>
      </w:pPr>
      <w:r>
        <w:t>Sartre argues that human beings are not born with a fixed nature or purpose. We exist first, and then define ourselves through our choices and actions.</w:t>
      </w:r>
    </w:p>
    <w:p w14:paraId="05F75951">
      <w:pPr>
        <w:pStyle w:val="4"/>
        <w:keepNext w:val="0"/>
        <w:keepLines w:val="0"/>
        <w:widowControl/>
        <w:suppressLineNumbers w:val="0"/>
      </w:pPr>
      <w:r>
        <w:t xml:space="preserve">He also introduces the idea of </w:t>
      </w:r>
      <w:r>
        <w:rPr>
          <w:rStyle w:val="7"/>
        </w:rPr>
        <w:t>nothingness</w:t>
      </w:r>
      <w:r>
        <w:t>, which means that humans are never completely determined. This “nothingness” gives people freedom, but also responsibility and anxiety.</w:t>
      </w:r>
    </w:p>
    <w:p w14:paraId="5171FD5B">
      <w:pPr>
        <w:pStyle w:val="4"/>
        <w:keepNext w:val="0"/>
        <w:keepLines w:val="0"/>
        <w:widowControl/>
        <w:suppressLineNumbers w:val="0"/>
        <w:jc w:val="left"/>
      </w:pPr>
      <w:r>
        <w:t>What interested me most is that Sartre sees freedom as unavoidable: even refusing to choose is already a choice</w:t>
      </w:r>
      <w:r>
        <w:rPr>
          <w:rFonts w:hint="eastAsia"/>
          <w:lang w:val="en-US" w:eastAsia="zh-CN"/>
        </w:rPr>
        <w:t>.</w:t>
      </w:r>
      <w:r>
        <w:br w:type="textWrapping"/>
      </w:r>
      <w:r>
        <w:t>For Sartre, human beings are always free, and even not choosing is already a choice.</w:t>
      </w:r>
      <w:r>
        <w:br w:type="textWrapping"/>
      </w:r>
      <w:r>
        <w:t>Saying “I had no choice” is therefore a way of avoiding responsibility.</w:t>
      </w:r>
    </w:p>
    <w:p w14:paraId="76A517A2">
      <w:pPr>
        <w:pStyle w:val="4"/>
        <w:keepNext w:val="0"/>
        <w:keepLines w:val="0"/>
        <w:widowControl/>
        <w:suppressLineNumbers w:val="0"/>
      </w:pPr>
      <w:r>
        <w:t>In the play No Exit (</w:t>
      </w:r>
      <w:r>
        <w:rPr>
          <w:rStyle w:val="8"/>
        </w:rPr>
        <w:t>Huis Clos</w:t>
      </w:r>
      <w:r>
        <w:t xml:space="preserve">), Jean-Paul Sartre famously states that </w:t>
      </w:r>
      <w:r>
        <w:rPr>
          <w:rStyle w:val="8"/>
          <w:highlight w:val="yellow"/>
        </w:rPr>
        <w:t>“Hell is other people.”</w:t>
      </w:r>
      <w:r>
        <w:rPr>
          <w:rStyle w:val="8"/>
          <w:rFonts w:hint="eastAsia"/>
          <w:highlight w:val="yellow"/>
          <w:lang w:val="en-US" w:eastAsia="zh-CN"/>
        </w:rPr>
        <w:t xml:space="preserve"> </w:t>
      </w:r>
      <w:r>
        <w:t xml:space="preserve">However, Sartre does </w:t>
      </w:r>
      <w:r>
        <w:rPr>
          <w:rStyle w:val="7"/>
        </w:rPr>
        <w:t>not</w:t>
      </w:r>
      <w:r>
        <w:t xml:space="preserve"> mean that other people are simply bad or evil.</w:t>
      </w:r>
    </w:p>
    <w:p w14:paraId="133908E9">
      <w:pPr>
        <w:pStyle w:val="4"/>
        <w:keepNext w:val="0"/>
        <w:keepLines w:val="0"/>
        <w:widowControl/>
        <w:suppressLineNumbers w:val="0"/>
      </w:pPr>
      <w:r>
        <w:t xml:space="preserve">What Sartre really wants to show is that </w:t>
      </w:r>
      <w:r>
        <w:rPr>
          <w:rStyle w:val="7"/>
          <w:highlight w:val="yellow"/>
        </w:rPr>
        <w:t>other people look at us and judge us</w:t>
      </w:r>
      <w:r>
        <w:t xml:space="preserve">, and </w:t>
      </w:r>
      <w:r>
        <w:rPr>
          <w:highlight w:val="yellow"/>
        </w:rPr>
        <w:t>through their gaze, we can become trapped in fixed identities</w:t>
      </w:r>
      <w:r>
        <w:t>. Once we are seen by others, we risk being reduced to an object — defined by labels, roles, or past actions.</w:t>
      </w:r>
    </w:p>
    <w:p w14:paraId="29A8B6B4">
      <w:pPr>
        <w:pStyle w:val="4"/>
        <w:keepNext w:val="0"/>
        <w:keepLines w:val="0"/>
        <w:widowControl/>
        <w:suppressLineNumbers w:val="0"/>
      </w:pPr>
      <w:r>
        <w:t>Sartre’s message is not to reject social life, but to remain aware of how others influence our self-understanding and to take responsibility for defining ourselves.</w:t>
      </w:r>
    </w:p>
    <w:p w14:paraId="2197ECAE">
      <w:pPr>
        <w:pStyle w:val="4"/>
        <w:keepNext w:val="0"/>
        <w:keepLines w:val="0"/>
        <w:widowControl/>
        <w:suppressLineNumbers w:val="0"/>
        <w:jc w:val="left"/>
      </w:pPr>
    </w:p>
    <w:p w14:paraId="17007065">
      <w:pPr>
        <w:keepNext w:val="0"/>
        <w:keepLines w:val="0"/>
        <w:widowControl/>
        <w:suppressLineNumbers w:val="0"/>
      </w:pPr>
    </w:p>
    <w:p w14:paraId="22B030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2450C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2826FC9">
      <w:pPr>
        <w:pStyle w:val="4"/>
        <w:keepNext w:val="0"/>
        <w:keepLines w:val="0"/>
        <w:widowControl/>
        <w:suppressLineNumbers w:val="0"/>
        <w:ind w:left="720"/>
        <w:rPr>
          <w:rStyle w:val="8"/>
        </w:rPr>
      </w:pPr>
    </w:p>
    <w:p w14:paraId="7D1571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D68CF"/>
    <w:rsid w:val="40561CD5"/>
    <w:rsid w:val="7D7D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862</Words>
  <Characters>3423</Characters>
  <Lines>0</Lines>
  <Paragraphs>0</Paragraphs>
  <TotalTime>163</TotalTime>
  <ScaleCrop>false</ScaleCrop>
  <LinksUpToDate>false</LinksUpToDate>
  <CharactersWithSpaces>3981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2026-01-13T11:59:00Z</dcterms:created>
  <dc:creator>lenovo</dc:creator>
  <cp:lastModifiedBy>Youth</cp:lastModifiedBy>
  <dcterms:modified xsi:type="dcterms:W3CDTF">2026-01-14T13:50:47Z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eyJoZGlkIjoiMDg0YTlkZTBmN2I1NmRlMWMzYTczZTQ0ZjY1NTZkODYiLCJ1c2VySWQiOiI1MTQxNzcwODkifQ==</vt:lpwstr>
  </property>
  <property fmtid="{D5CDD505-2E9C-101B-9397-08002B2CF9AE}" pid="4" name="ICV">
    <vt:lpwstr>942D0586E25343A88757847288333EF6_12</vt:lpwstr>
  </property>
</Properties>
</file>