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79D11" w14:textId="4E569D9B" w:rsidR="005D388F" w:rsidRDefault="00972BEC" w:rsidP="00972BEC">
      <w:pPr>
        <w:pStyle w:val="Heading1"/>
      </w:pPr>
      <w:r>
        <w:t>AT: William Fremd IB</w:t>
      </w:r>
    </w:p>
    <w:p w14:paraId="686F13B7" w14:textId="3D700329" w:rsidR="00972BEC" w:rsidRDefault="00972BEC" w:rsidP="00972BEC">
      <w:pPr>
        <w:pStyle w:val="Heading2"/>
      </w:pPr>
      <w:r>
        <w:lastRenderedPageBreak/>
        <w:t xml:space="preserve">AT: </w:t>
      </w:r>
      <w:r w:rsidR="007E530C">
        <w:t>NEG</w:t>
      </w:r>
    </w:p>
    <w:p w14:paraId="5E51B789" w14:textId="71082DFF" w:rsidR="00972BEC" w:rsidRDefault="00972BEC" w:rsidP="00972BEC">
      <w:pPr>
        <w:pStyle w:val="Heading3"/>
      </w:pPr>
      <w:r>
        <w:lastRenderedPageBreak/>
        <w:t>AT: Shutdown---2AC</w:t>
      </w:r>
    </w:p>
    <w:p w14:paraId="2C319DA0" w14:textId="36AC3E5B" w:rsidR="00602A26" w:rsidRPr="00602A26" w:rsidRDefault="00602A26" w:rsidP="00602A26">
      <w:pPr>
        <w:pStyle w:val="Heading4"/>
      </w:pPr>
      <w:r>
        <w:t>1</w:t>
      </w:r>
      <w:r w:rsidR="00AD2AB6">
        <w:t>---Double bind: Either it’s true they have no funding which means they can’t pursue antitrust cases right now at an extent to solve every AI startup OR the FTC works effectively enough under such a budget to not moot enforcement.</w:t>
      </w:r>
      <w:r w:rsidR="007351D3">
        <w:t xml:space="preserve"> Either way the DA is </w:t>
      </w:r>
      <w:proofErr w:type="spellStart"/>
      <w:r w:rsidR="007351D3">
        <w:t>self defeating</w:t>
      </w:r>
      <w:proofErr w:type="spellEnd"/>
      <w:r w:rsidR="007351D3">
        <w:t>.</w:t>
      </w:r>
    </w:p>
    <w:p w14:paraId="426DDF3F" w14:textId="4EF08E1A" w:rsidR="00F2753D" w:rsidRDefault="00B8246B" w:rsidP="00F2753D">
      <w:pPr>
        <w:pStyle w:val="Heading4"/>
      </w:pPr>
      <w:r>
        <w:t>2</w:t>
      </w:r>
      <w:r w:rsidR="00F2753D" w:rsidRPr="00F2753D">
        <w:t>---</w:t>
      </w:r>
      <w:r w:rsidR="00F2753D">
        <w:t>Turn:</w:t>
      </w:r>
      <w:r w:rsidR="00F2753D" w:rsidRPr="00F2753D">
        <w:t xml:space="preserve"> </w:t>
      </w:r>
      <w:r w:rsidR="00815075">
        <w:t xml:space="preserve">1NC </w:t>
      </w:r>
      <w:r w:rsidR="00F2753D" w:rsidRPr="00F2753D">
        <w:t xml:space="preserve">Agarwal </w:t>
      </w:r>
      <w:r w:rsidR="00F2753D">
        <w:t>is in the context</w:t>
      </w:r>
      <w:r w:rsidR="00F2753D" w:rsidRPr="00F2753D">
        <w:t xml:space="preserve"> </w:t>
      </w:r>
      <w:r w:rsidR="00F2753D" w:rsidRPr="003A53E5">
        <w:rPr>
          <w:u w:val="single"/>
        </w:rPr>
        <w:t>Axon Enterprise v. FTC</w:t>
      </w:r>
      <w:r w:rsidR="00F2753D" w:rsidRPr="00F2753D">
        <w:t xml:space="preserve"> as a pending case that could open the door to existential challenges. </w:t>
      </w:r>
      <w:proofErr w:type="gramStart"/>
      <w:r w:rsidR="00F2753D">
        <w:t>But,</w:t>
      </w:r>
      <w:proofErr w:type="gramEnd"/>
      <w:r w:rsidR="00F2753D">
        <w:t xml:space="preserve"> it was settled in 2023 in FAVOR of the FTC which sets precedent that the courts wouldn’t strike it down---the court reinforced rather than undermined the procedural framework</w:t>
      </w:r>
      <w:r w:rsidR="004800FA">
        <w:t xml:space="preserve">, allowing it </w:t>
      </w:r>
      <w:r w:rsidR="00E56785">
        <w:t>“</w:t>
      </w:r>
      <w:r w:rsidR="00BF53AE" w:rsidRPr="00236207">
        <w:rPr>
          <w:u w:val="single"/>
        </w:rPr>
        <w:t>implement its full agenda</w:t>
      </w:r>
      <w:r w:rsidR="00BF53AE">
        <w:t>”</w:t>
      </w:r>
      <w:r w:rsidR="004800FA">
        <w:t xml:space="preserve"> in sports betting.</w:t>
      </w:r>
      <w:r w:rsidR="00606DCD">
        <w:t xml:space="preserve"> Independently takes out all implementation </w:t>
      </w:r>
      <w:proofErr w:type="spellStart"/>
      <w:r w:rsidR="00606DCD">
        <w:t>args</w:t>
      </w:r>
      <w:proofErr w:type="spellEnd"/>
      <w:r w:rsidR="00606DCD">
        <w:t>.</w:t>
      </w:r>
    </w:p>
    <w:p w14:paraId="1916BABE" w14:textId="132BF267" w:rsidR="00AE12A8" w:rsidRPr="00AE12A8" w:rsidRDefault="00AE12A8" w:rsidP="00AE12A8">
      <w:r>
        <w:t xml:space="preserve">&lt;&lt;&lt;inserted for </w:t>
      </w:r>
      <w:r w:rsidRPr="00C66378">
        <w:rPr>
          <w:highlight w:val="magenta"/>
        </w:rPr>
        <w:t>reference</w:t>
      </w:r>
      <w:r>
        <w:t>&gt;&gt;&gt;</w:t>
      </w:r>
    </w:p>
    <w:p w14:paraId="1DE53F02" w14:textId="77777777" w:rsidR="00AE12A8" w:rsidRDefault="00AE12A8" w:rsidP="00AE12A8">
      <w:pPr>
        <w:rPr>
          <w:rFonts w:eastAsia="Calibri"/>
        </w:rPr>
      </w:pPr>
      <w:r>
        <w:rPr>
          <w:rFonts w:eastAsia="Calibri"/>
        </w:rPr>
        <w:t xml:space="preserve">Asheesh </w:t>
      </w:r>
      <w:r>
        <w:rPr>
          <w:rFonts w:eastAsia="Calibri"/>
          <w:b/>
          <w:bCs/>
          <w:sz w:val="26"/>
          <w:szCs w:val="26"/>
        </w:rPr>
        <w:t>Agarwal 22</w:t>
      </w:r>
      <w:r>
        <w:rPr>
          <w:rFonts w:eastAsia="Calibri"/>
        </w:rPr>
        <w:t>. Assistant Director of the FTC’s Office of Policy Planning under former Chairman Timothy Muris. 10-23-2022. The FTC’s Recent Moves Could Cost It in the Supreme Court, by Asheesh Agarwal. Yale Journal on Regulation. https://www.yalejreg.com/nc/ftc-recent-moves/. CX + BZ</w:t>
      </w:r>
    </w:p>
    <w:p w14:paraId="7EAEF6FB" w14:textId="77777777" w:rsidR="00AE12A8" w:rsidRDefault="00AE12A8" w:rsidP="00AE12A8">
      <w:pPr>
        <w:rPr>
          <w:rFonts w:eastAsia="Calibri"/>
          <w:sz w:val="16"/>
          <w:szCs w:val="16"/>
        </w:rPr>
      </w:pPr>
      <w:r>
        <w:rPr>
          <w:rFonts w:eastAsia="Calibri"/>
          <w:sz w:val="16"/>
          <w:szCs w:val="16"/>
        </w:rPr>
        <w:t xml:space="preserve">These </w:t>
      </w:r>
      <w:r>
        <w:rPr>
          <w:rFonts w:eastAsia="Calibri"/>
          <w:u w:val="single"/>
        </w:rPr>
        <w:t>initiatives could prod the high court to take a hard look at the FTC’s place in the constitutional order</w:t>
      </w:r>
      <w:r>
        <w:rPr>
          <w:rFonts w:eastAsia="Calibri"/>
          <w:sz w:val="16"/>
          <w:szCs w:val="16"/>
        </w:rPr>
        <w:t xml:space="preserve">. Later this year, the </w:t>
      </w:r>
      <w:r w:rsidRPr="00C66378">
        <w:rPr>
          <w:rFonts w:eastAsia="Calibri"/>
          <w:highlight w:val="magenta"/>
          <w:u w:val="single"/>
        </w:rPr>
        <w:t xml:space="preserve">Court will hear oral argument in </w:t>
      </w:r>
      <w:r w:rsidRPr="00C66378">
        <w:rPr>
          <w:rFonts w:eastAsia="Calibri"/>
          <w:i/>
          <w:iCs/>
          <w:highlight w:val="magenta"/>
          <w:u w:val="single"/>
        </w:rPr>
        <w:t>Axon Enterprise, Inc. v. Federal Trade Commission</w:t>
      </w:r>
      <w:r w:rsidRPr="00C66378">
        <w:rPr>
          <w:rFonts w:eastAsia="Calibri"/>
          <w:highlight w:val="magenta"/>
          <w:u w:val="single"/>
        </w:rPr>
        <w:t xml:space="preserve"> on a narrow procedural question, namely, whether someone can raise certain structural constitutional challenges to the FTC directly</w:t>
      </w:r>
      <w:r>
        <w:rPr>
          <w:rFonts w:eastAsia="Calibri"/>
          <w:sz w:val="16"/>
          <w:szCs w:val="16"/>
        </w:rPr>
        <w:t xml:space="preserve"> in federal court or must first wade through the agency’s administrative processes. </w:t>
      </w:r>
      <w:r>
        <w:rPr>
          <w:rFonts w:eastAsia="Calibri"/>
          <w:u w:val="single"/>
        </w:rPr>
        <w:t xml:space="preserve">By </w:t>
      </w:r>
      <w:r>
        <w:rPr>
          <w:rFonts w:eastAsia="Calibri"/>
          <w:b/>
          <w:bCs/>
          <w:highlight w:val="green"/>
          <w:u w:val="single"/>
        </w:rPr>
        <w:t>expanding</w:t>
      </w:r>
      <w:r>
        <w:rPr>
          <w:rFonts w:eastAsia="Calibri"/>
          <w:u w:val="single"/>
        </w:rPr>
        <w:t xml:space="preserve"> its </w:t>
      </w:r>
      <w:r>
        <w:rPr>
          <w:rFonts w:eastAsia="Calibri"/>
          <w:b/>
          <w:bCs/>
          <w:highlight w:val="green"/>
          <w:u w:val="single"/>
        </w:rPr>
        <w:t>regulatory reach</w:t>
      </w:r>
      <w:r>
        <w:rPr>
          <w:rFonts w:eastAsia="Calibri"/>
          <w:u w:val="single"/>
        </w:rPr>
        <w:t xml:space="preserve"> in ways that may exceed its </w:t>
      </w:r>
      <w:r>
        <w:rPr>
          <w:rFonts w:eastAsia="Calibri"/>
          <w:b/>
          <w:bCs/>
          <w:u w:val="single"/>
        </w:rPr>
        <w:t>mandate</w:t>
      </w:r>
      <w:r>
        <w:rPr>
          <w:rFonts w:eastAsia="Calibri"/>
          <w:sz w:val="16"/>
          <w:szCs w:val="16"/>
        </w:rPr>
        <w:t xml:space="preserve">, the </w:t>
      </w:r>
      <w:r>
        <w:rPr>
          <w:rFonts w:eastAsia="Calibri"/>
          <w:u w:val="single"/>
        </w:rPr>
        <w:t xml:space="preserve">FTC could </w:t>
      </w:r>
      <w:r>
        <w:rPr>
          <w:rFonts w:eastAsia="Calibri"/>
          <w:highlight w:val="green"/>
          <w:u w:val="single"/>
        </w:rPr>
        <w:t>persuade</w:t>
      </w:r>
      <w:r>
        <w:rPr>
          <w:rFonts w:eastAsia="Calibri"/>
          <w:u w:val="single"/>
        </w:rPr>
        <w:t xml:space="preserve"> the Court</w:t>
      </w:r>
      <w:r>
        <w:rPr>
          <w:rFonts w:eastAsia="Calibri"/>
          <w:sz w:val="16"/>
          <w:szCs w:val="16"/>
        </w:rPr>
        <w:t xml:space="preserve"> that companies need the ability </w:t>
      </w:r>
      <w:r>
        <w:rPr>
          <w:rFonts w:eastAsia="Calibri"/>
          <w:u w:val="single"/>
        </w:rPr>
        <w:t>to</w:t>
      </w:r>
      <w:r>
        <w:rPr>
          <w:rFonts w:eastAsia="Calibri"/>
          <w:sz w:val="16"/>
          <w:szCs w:val="16"/>
        </w:rPr>
        <w:t xml:space="preserve"> go into federal court </w:t>
      </w:r>
      <w:r>
        <w:rPr>
          <w:rFonts w:eastAsia="Calibri"/>
          <w:u w:val="single"/>
        </w:rPr>
        <w:t>immediately to challenge activities that exceed the agency’s statutory authority</w:t>
      </w:r>
      <w:r>
        <w:rPr>
          <w:rFonts w:eastAsia="Calibri"/>
          <w:sz w:val="16"/>
          <w:szCs w:val="16"/>
        </w:rPr>
        <w:t xml:space="preserve">. Moreover, </w:t>
      </w:r>
      <w:r>
        <w:rPr>
          <w:rFonts w:eastAsia="Calibri"/>
          <w:u w:val="single"/>
        </w:rPr>
        <w:t>by pushing the envelope on rulemakings and policy guidance</w:t>
      </w:r>
      <w:r>
        <w:rPr>
          <w:rFonts w:eastAsia="Calibri"/>
          <w:sz w:val="16"/>
          <w:szCs w:val="16"/>
        </w:rPr>
        <w:t xml:space="preserve">, the </w:t>
      </w:r>
      <w:r>
        <w:rPr>
          <w:rFonts w:eastAsia="Calibri"/>
          <w:u w:val="single"/>
        </w:rPr>
        <w:t xml:space="preserve">FTC may well lay the groundwork for the </w:t>
      </w:r>
      <w:r>
        <w:rPr>
          <w:rFonts w:eastAsia="Calibri"/>
          <w:highlight w:val="green"/>
          <w:u w:val="single"/>
        </w:rPr>
        <w:t>Court to revisit</w:t>
      </w:r>
      <w:r>
        <w:rPr>
          <w:rFonts w:eastAsia="Calibri"/>
          <w:u w:val="single"/>
        </w:rPr>
        <w:t xml:space="preserve"> the </w:t>
      </w:r>
      <w:r>
        <w:rPr>
          <w:rFonts w:eastAsia="Calibri"/>
          <w:highlight w:val="green"/>
          <w:u w:val="single"/>
        </w:rPr>
        <w:t xml:space="preserve">FTC’s </w:t>
      </w:r>
      <w:r>
        <w:rPr>
          <w:rFonts w:eastAsia="Calibri"/>
          <w:b/>
          <w:bCs/>
          <w:highlight w:val="green"/>
          <w:u w:val="single"/>
        </w:rPr>
        <w:t>constitutionality</w:t>
      </w:r>
      <w:r>
        <w:rPr>
          <w:rFonts w:eastAsia="Calibri"/>
          <w:u w:val="single"/>
        </w:rPr>
        <w:t xml:space="preserve"> in </w:t>
      </w:r>
      <w:r>
        <w:rPr>
          <w:rFonts w:eastAsia="Calibri"/>
          <w:b/>
          <w:bCs/>
          <w:u w:val="single"/>
        </w:rPr>
        <w:t>future cases</w:t>
      </w:r>
      <w:r>
        <w:rPr>
          <w:rFonts w:eastAsia="Calibri"/>
          <w:sz w:val="16"/>
          <w:szCs w:val="16"/>
        </w:rPr>
        <w:t xml:space="preserve">. </w:t>
      </w:r>
    </w:p>
    <w:p w14:paraId="1945F16C" w14:textId="77777777" w:rsidR="00AE12A8" w:rsidRPr="00225409" w:rsidRDefault="00AE12A8" w:rsidP="00AE12A8">
      <w:pPr>
        <w:rPr>
          <w:rFonts w:eastAsia="Calibri"/>
          <w:u w:val="single"/>
        </w:rPr>
      </w:pPr>
      <w:r w:rsidRPr="00225409">
        <w:rPr>
          <w:rFonts w:eastAsia="Calibri"/>
          <w:highlight w:val="magenta"/>
          <w:u w:val="single"/>
        </w:rPr>
        <w:t xml:space="preserve">This article outlines the FTC’s constitutional history and explains how its current agenda could raise questions about the agency in </w:t>
      </w:r>
      <w:r w:rsidRPr="00225409">
        <w:rPr>
          <w:rFonts w:eastAsia="Calibri"/>
          <w:i/>
          <w:iCs/>
          <w:highlight w:val="magenta"/>
          <w:u w:val="single"/>
        </w:rPr>
        <w:t>Axon</w:t>
      </w:r>
      <w:r w:rsidRPr="00225409">
        <w:rPr>
          <w:rFonts w:eastAsia="Calibri"/>
          <w:highlight w:val="magenta"/>
          <w:u w:val="single"/>
        </w:rPr>
        <w:t xml:space="preserve"> and future cases.</w:t>
      </w:r>
    </w:p>
    <w:p w14:paraId="2B4B87D7" w14:textId="77777777" w:rsidR="00AE12A8" w:rsidRDefault="00AE12A8" w:rsidP="00AE12A8">
      <w:pPr>
        <w:rPr>
          <w:rFonts w:eastAsia="Calibri"/>
          <w:u w:val="single"/>
        </w:rPr>
      </w:pPr>
      <w:r>
        <w:rPr>
          <w:rFonts w:eastAsia="Calibri"/>
          <w:sz w:val="16"/>
          <w:szCs w:val="16"/>
        </w:rPr>
        <w:t xml:space="preserve">I. The </w:t>
      </w:r>
      <w:r>
        <w:rPr>
          <w:rFonts w:eastAsia="Calibri"/>
          <w:u w:val="single"/>
        </w:rPr>
        <w:t>FTC’s Ongoing Constitutionality Remains Open to Debate</w:t>
      </w:r>
    </w:p>
    <w:p w14:paraId="0BA70126" w14:textId="77777777" w:rsidR="00AE12A8" w:rsidRDefault="00AE12A8" w:rsidP="00AE12A8">
      <w:pPr>
        <w:rPr>
          <w:rFonts w:eastAsia="Calibri"/>
          <w:sz w:val="16"/>
          <w:szCs w:val="16"/>
        </w:rPr>
      </w:pPr>
      <w:r>
        <w:rPr>
          <w:rFonts w:eastAsia="Calibri"/>
          <w:u w:val="single"/>
        </w:rPr>
        <w:t xml:space="preserve">A creature of the first </w:t>
      </w:r>
      <w:r>
        <w:rPr>
          <w:rFonts w:eastAsia="Calibri"/>
          <w:b/>
          <w:bCs/>
          <w:u w:val="single"/>
        </w:rPr>
        <w:t>progressive era</w:t>
      </w:r>
      <w:r>
        <w:rPr>
          <w:rFonts w:eastAsia="Calibri"/>
          <w:sz w:val="16"/>
          <w:szCs w:val="16"/>
        </w:rPr>
        <w:t xml:space="preserve">, </w:t>
      </w:r>
      <w:r>
        <w:rPr>
          <w:rFonts w:eastAsia="Calibri"/>
          <w:u w:val="single"/>
        </w:rPr>
        <w:t xml:space="preserve">the Federal Trade Commission’s powers have always been subject to </w:t>
      </w:r>
      <w:r>
        <w:rPr>
          <w:rFonts w:eastAsia="Calibri"/>
          <w:b/>
          <w:bCs/>
          <w:u w:val="single"/>
        </w:rPr>
        <w:t>scrutiny</w:t>
      </w:r>
      <w:r>
        <w:rPr>
          <w:rFonts w:eastAsia="Calibri"/>
          <w:sz w:val="16"/>
          <w:szCs w:val="16"/>
        </w:rPr>
        <w:t xml:space="preserve">. In 1914, Congress created the </w:t>
      </w:r>
      <w:r>
        <w:rPr>
          <w:rFonts w:eastAsia="Calibri"/>
          <w:u w:val="single"/>
        </w:rPr>
        <w:t>agency</w:t>
      </w:r>
      <w:r>
        <w:rPr>
          <w:rFonts w:eastAsia="Calibri"/>
          <w:sz w:val="16"/>
          <w:szCs w:val="16"/>
        </w:rPr>
        <w:t xml:space="preserve"> as a multimember body with </w:t>
      </w:r>
      <w:r>
        <w:rPr>
          <w:rFonts w:eastAsia="Calibri"/>
          <w:u w:val="single"/>
        </w:rPr>
        <w:t xml:space="preserve">features of all </w:t>
      </w:r>
      <w:r>
        <w:rPr>
          <w:rFonts w:eastAsia="Calibri"/>
          <w:b/>
          <w:bCs/>
          <w:u w:val="single"/>
        </w:rPr>
        <w:t>three branches</w:t>
      </w:r>
      <w:r>
        <w:rPr>
          <w:rFonts w:eastAsia="Calibri"/>
          <w:u w:val="single"/>
        </w:rPr>
        <w:t xml:space="preserve"> of government</w:t>
      </w:r>
      <w:r>
        <w:rPr>
          <w:rFonts w:eastAsia="Calibri"/>
          <w:sz w:val="16"/>
          <w:szCs w:val="16"/>
        </w:rPr>
        <w:t xml:space="preserve">. The </w:t>
      </w:r>
      <w:r>
        <w:rPr>
          <w:rFonts w:eastAsia="Calibri"/>
          <w:u w:val="single"/>
        </w:rPr>
        <w:t>FTC could investigate</w:t>
      </w:r>
      <w:r>
        <w:rPr>
          <w:rFonts w:eastAsia="Calibri"/>
          <w:sz w:val="16"/>
          <w:szCs w:val="16"/>
        </w:rPr>
        <w:t xml:space="preserve">, </w:t>
      </w:r>
      <w:r>
        <w:rPr>
          <w:rFonts w:eastAsia="Calibri"/>
          <w:u w:val="single"/>
        </w:rPr>
        <w:t>prosecute</w:t>
      </w:r>
      <w:r>
        <w:rPr>
          <w:rFonts w:eastAsia="Calibri"/>
          <w:sz w:val="16"/>
          <w:szCs w:val="16"/>
        </w:rPr>
        <w:t xml:space="preserve">, </w:t>
      </w:r>
      <w:r>
        <w:rPr>
          <w:rFonts w:eastAsia="Calibri"/>
          <w:u w:val="single"/>
        </w:rPr>
        <w:t>adjudicate</w:t>
      </w:r>
      <w:r>
        <w:rPr>
          <w:rFonts w:eastAsia="Calibri"/>
          <w:sz w:val="16"/>
          <w:szCs w:val="16"/>
        </w:rPr>
        <w:t xml:space="preserve">, and even </w:t>
      </w:r>
      <w:r>
        <w:rPr>
          <w:rFonts w:eastAsia="Calibri"/>
          <w:u w:val="single"/>
        </w:rPr>
        <w:t>legislate</w:t>
      </w:r>
      <w:r>
        <w:rPr>
          <w:rFonts w:eastAsia="Calibri"/>
          <w:sz w:val="16"/>
          <w:szCs w:val="16"/>
        </w:rPr>
        <w:t xml:space="preserve"> rules of conduct for the business community. At the time, President Woodrow Wilson’s Attorney General (and later </w:t>
      </w:r>
      <w:r>
        <w:rPr>
          <w:rFonts w:eastAsia="Calibri"/>
          <w:b/>
          <w:bCs/>
          <w:highlight w:val="green"/>
          <w:u w:val="single"/>
        </w:rPr>
        <w:t>S</w:t>
      </w:r>
      <w:r>
        <w:rPr>
          <w:rFonts w:eastAsia="Calibri"/>
          <w:b/>
          <w:bCs/>
          <w:u w:val="single"/>
        </w:rPr>
        <w:t xml:space="preserve">upreme </w:t>
      </w:r>
      <w:r>
        <w:rPr>
          <w:rFonts w:eastAsia="Calibri"/>
          <w:b/>
          <w:bCs/>
          <w:highlight w:val="green"/>
          <w:u w:val="single"/>
        </w:rPr>
        <w:t>C</w:t>
      </w:r>
      <w:r>
        <w:rPr>
          <w:rFonts w:eastAsia="Calibri"/>
          <w:b/>
          <w:bCs/>
          <w:u w:val="single"/>
        </w:rPr>
        <w:t>ourt</w:t>
      </w:r>
      <w:r>
        <w:rPr>
          <w:rFonts w:eastAsia="Calibri"/>
          <w:sz w:val="16"/>
          <w:szCs w:val="16"/>
        </w:rPr>
        <w:t xml:space="preserve"> Justice) James Clark McReynolds </w:t>
      </w:r>
      <w:r>
        <w:rPr>
          <w:rFonts w:eastAsia="Calibri"/>
          <w:u w:val="single"/>
        </w:rPr>
        <w:t xml:space="preserve">publicly </w:t>
      </w:r>
      <w:r>
        <w:rPr>
          <w:rFonts w:eastAsia="Calibri"/>
          <w:b/>
          <w:bCs/>
          <w:u w:val="single"/>
        </w:rPr>
        <w:t>doubted</w:t>
      </w:r>
      <w:r>
        <w:rPr>
          <w:rFonts w:eastAsia="Calibri"/>
          <w:u w:val="single"/>
        </w:rPr>
        <w:t xml:space="preserve"> the agency’s constitutionality</w:t>
      </w:r>
      <w:r>
        <w:rPr>
          <w:rFonts w:eastAsia="Calibri"/>
          <w:sz w:val="16"/>
          <w:szCs w:val="16"/>
        </w:rPr>
        <w:t xml:space="preserve">. </w:t>
      </w:r>
      <w:r>
        <w:rPr>
          <w:rFonts w:eastAsia="Calibri"/>
          <w:u w:val="single"/>
        </w:rPr>
        <w:t>Although</w:t>
      </w:r>
      <w:r>
        <w:rPr>
          <w:rFonts w:eastAsia="Calibri"/>
          <w:sz w:val="16"/>
          <w:szCs w:val="16"/>
        </w:rPr>
        <w:t xml:space="preserve"> President Wilson, a progressive, </w:t>
      </w:r>
      <w:r>
        <w:rPr>
          <w:rFonts w:eastAsia="Calibri"/>
          <w:u w:val="single"/>
        </w:rPr>
        <w:t>ultimately supported the agency</w:t>
      </w:r>
      <w:r>
        <w:rPr>
          <w:rFonts w:eastAsia="Calibri"/>
          <w:sz w:val="16"/>
          <w:szCs w:val="16"/>
        </w:rPr>
        <w:t xml:space="preserve">, </w:t>
      </w:r>
      <w:r>
        <w:rPr>
          <w:rFonts w:eastAsia="Calibri"/>
          <w:u w:val="single"/>
        </w:rPr>
        <w:t xml:space="preserve">even he </w:t>
      </w:r>
      <w:r>
        <w:rPr>
          <w:rFonts w:eastAsia="Calibri"/>
          <w:highlight w:val="green"/>
          <w:u w:val="single"/>
        </w:rPr>
        <w:t>want</w:t>
      </w:r>
      <w:r>
        <w:rPr>
          <w:rFonts w:eastAsia="Calibri"/>
          <w:u w:val="single"/>
        </w:rPr>
        <w:t xml:space="preserve">ed </w:t>
      </w:r>
      <w:r>
        <w:rPr>
          <w:rFonts w:eastAsia="Calibri"/>
          <w:highlight w:val="green"/>
          <w:u w:val="single"/>
        </w:rPr>
        <w:t xml:space="preserve">to </w:t>
      </w:r>
      <w:r>
        <w:rPr>
          <w:rFonts w:eastAsia="Calibri"/>
          <w:b/>
          <w:bCs/>
          <w:highlight w:val="green"/>
          <w:u w:val="single"/>
        </w:rPr>
        <w:t>constrain</w:t>
      </w:r>
      <w:r>
        <w:rPr>
          <w:rFonts w:eastAsia="Calibri"/>
          <w:u w:val="single"/>
        </w:rPr>
        <w:t xml:space="preserve"> its </w:t>
      </w:r>
      <w:r>
        <w:rPr>
          <w:rFonts w:eastAsia="Calibri"/>
          <w:highlight w:val="green"/>
          <w:u w:val="single"/>
        </w:rPr>
        <w:t xml:space="preserve">authority to avoid </w:t>
      </w:r>
      <w:r>
        <w:rPr>
          <w:rFonts w:eastAsia="Calibri"/>
          <w:b/>
          <w:bCs/>
          <w:highlight w:val="green"/>
          <w:u w:val="single"/>
        </w:rPr>
        <w:t>empowering</w:t>
      </w:r>
      <w:r>
        <w:rPr>
          <w:rFonts w:eastAsia="Calibri"/>
          <w:sz w:val="16"/>
          <w:szCs w:val="16"/>
        </w:rPr>
        <w:t xml:space="preserve"> a “</w:t>
      </w:r>
      <w:r>
        <w:rPr>
          <w:rFonts w:eastAsia="Calibri"/>
          <w:u w:val="single"/>
        </w:rPr>
        <w:t>smug lot of experts</w:t>
      </w:r>
      <w:r>
        <w:rPr>
          <w:rFonts w:eastAsia="Calibri"/>
          <w:sz w:val="16"/>
          <w:szCs w:val="16"/>
        </w:rPr>
        <w:t>.” As the president explained, “God forbid that in a democratic country we should resign the task and give the government over to experts. What are we for if we are to be scientifically taken care of by a small number of gentlemen who are the only men who understand the job?”</w:t>
      </w:r>
    </w:p>
    <w:p w14:paraId="20E3D191" w14:textId="77777777" w:rsidR="00AE12A8" w:rsidRDefault="00AE12A8" w:rsidP="00AE12A8">
      <w:pPr>
        <w:rPr>
          <w:rFonts w:eastAsia="Calibri"/>
          <w:sz w:val="16"/>
          <w:szCs w:val="16"/>
        </w:rPr>
      </w:pPr>
      <w:r>
        <w:rPr>
          <w:rFonts w:eastAsia="Calibri"/>
          <w:b/>
          <w:bCs/>
          <w:u w:val="single"/>
        </w:rPr>
        <w:t>These concerns</w:t>
      </w:r>
      <w:r>
        <w:rPr>
          <w:rFonts w:eastAsia="Calibri"/>
          <w:u w:val="single"/>
        </w:rPr>
        <w:t xml:space="preserve"> helped to shape the agency’s authority</w:t>
      </w:r>
      <w:r>
        <w:rPr>
          <w:rFonts w:eastAsia="Calibri"/>
          <w:sz w:val="16"/>
          <w:szCs w:val="16"/>
        </w:rPr>
        <w:t xml:space="preserve">. In </w:t>
      </w:r>
      <w:r>
        <w:rPr>
          <w:rFonts w:eastAsia="Calibri"/>
          <w:i/>
          <w:iCs/>
          <w:sz w:val="16"/>
          <w:szCs w:val="16"/>
        </w:rPr>
        <w:t>Humphrey’s Executor v. United States</w:t>
      </w:r>
      <w:r>
        <w:rPr>
          <w:rFonts w:eastAsia="Calibri"/>
          <w:sz w:val="16"/>
          <w:szCs w:val="16"/>
        </w:rPr>
        <w:t xml:space="preserve">, 295 U.S. 602 (1935), the Supreme Court upheld for-cause limits on the president’s ability to remove a commissioner, somewhat </w:t>
      </w:r>
      <w:r>
        <w:rPr>
          <w:rFonts w:eastAsia="Calibri"/>
          <w:u w:val="single"/>
        </w:rPr>
        <w:t>insulating the FTC from the rest of the executive branch</w:t>
      </w:r>
      <w:r>
        <w:rPr>
          <w:rFonts w:eastAsia="Calibri"/>
          <w:sz w:val="16"/>
          <w:szCs w:val="16"/>
        </w:rPr>
        <w:t xml:space="preserve">, but </w:t>
      </w:r>
      <w:r>
        <w:rPr>
          <w:rFonts w:eastAsia="Calibri"/>
          <w:u w:val="single"/>
        </w:rPr>
        <w:t>only because the agency had</w:t>
      </w:r>
      <w:r>
        <w:rPr>
          <w:rFonts w:eastAsia="Calibri"/>
          <w:sz w:val="16"/>
          <w:szCs w:val="16"/>
        </w:rPr>
        <w:t xml:space="preserve"> a </w:t>
      </w:r>
      <w:r>
        <w:rPr>
          <w:rFonts w:eastAsia="Calibri"/>
          <w:b/>
          <w:bCs/>
          <w:u w:val="single"/>
        </w:rPr>
        <w:t>limited</w:t>
      </w:r>
      <w:r>
        <w:rPr>
          <w:rFonts w:eastAsia="Calibri"/>
          <w:u w:val="single"/>
        </w:rPr>
        <w:t xml:space="preserve"> mandate and operated under multiple constraints</w:t>
      </w:r>
      <w:r>
        <w:rPr>
          <w:rFonts w:eastAsia="Calibri"/>
          <w:sz w:val="16"/>
          <w:szCs w:val="16"/>
        </w:rPr>
        <w:t xml:space="preserve">. Most importantly, the FTC’s mission was “neither political nor executive, but predominantly </w:t>
      </w:r>
      <w:r>
        <w:rPr>
          <w:rFonts w:eastAsia="Calibri"/>
          <w:i/>
          <w:iCs/>
          <w:sz w:val="16"/>
          <w:szCs w:val="16"/>
        </w:rPr>
        <w:t>quasi</w:t>
      </w:r>
      <w:r>
        <w:rPr>
          <w:rFonts w:eastAsia="Calibri"/>
          <w:sz w:val="16"/>
          <w:szCs w:val="16"/>
        </w:rPr>
        <w:t xml:space="preserve">-judicial and </w:t>
      </w:r>
      <w:r>
        <w:rPr>
          <w:rFonts w:eastAsia="Calibri"/>
          <w:i/>
          <w:iCs/>
          <w:sz w:val="16"/>
          <w:szCs w:val="16"/>
        </w:rPr>
        <w:t>quasi</w:t>
      </w:r>
      <w:r>
        <w:rPr>
          <w:rFonts w:eastAsia="Calibri"/>
          <w:sz w:val="16"/>
          <w:szCs w:val="16"/>
        </w:rPr>
        <w:t>-legislative.” Any executive functions were strictly limited to implementing these “</w:t>
      </w:r>
      <w:r>
        <w:rPr>
          <w:rFonts w:eastAsia="Calibri"/>
          <w:i/>
          <w:iCs/>
          <w:sz w:val="16"/>
          <w:szCs w:val="16"/>
        </w:rPr>
        <w:t>quasi</w:t>
      </w:r>
      <w:r>
        <w:rPr>
          <w:rFonts w:eastAsia="Calibri"/>
          <w:sz w:val="16"/>
          <w:szCs w:val="16"/>
        </w:rPr>
        <w:t xml:space="preserve">-legislative or </w:t>
      </w:r>
      <w:r>
        <w:rPr>
          <w:rFonts w:eastAsia="Calibri"/>
          <w:i/>
          <w:iCs/>
          <w:sz w:val="16"/>
          <w:szCs w:val="16"/>
        </w:rPr>
        <w:t>quasi</w:t>
      </w:r>
      <w:r>
        <w:rPr>
          <w:rFonts w:eastAsia="Calibri"/>
          <w:sz w:val="16"/>
          <w:szCs w:val="16"/>
        </w:rPr>
        <w:t>-judicial powers.”</w:t>
      </w:r>
    </w:p>
    <w:p w14:paraId="5EEB7B72" w14:textId="77777777" w:rsidR="00AE12A8" w:rsidRDefault="00AE12A8" w:rsidP="00AE12A8">
      <w:pPr>
        <w:rPr>
          <w:rFonts w:eastAsia="Calibri"/>
          <w:sz w:val="16"/>
          <w:szCs w:val="16"/>
        </w:rPr>
      </w:pPr>
      <w:r>
        <w:rPr>
          <w:rFonts w:eastAsia="Calibri"/>
          <w:sz w:val="16"/>
          <w:szCs w:val="16"/>
        </w:rPr>
        <w:lastRenderedPageBreak/>
        <w:t xml:space="preserve">Moreover, </w:t>
      </w:r>
      <w:r>
        <w:rPr>
          <w:rFonts w:eastAsia="Calibri"/>
          <w:u w:val="single"/>
        </w:rPr>
        <w:t>in the Court’s view</w:t>
      </w:r>
      <w:r>
        <w:rPr>
          <w:rFonts w:eastAsia="Calibri"/>
          <w:sz w:val="16"/>
          <w:szCs w:val="16"/>
        </w:rPr>
        <w:t xml:space="preserve"> at the time, the commission </w:t>
      </w:r>
      <w:r>
        <w:rPr>
          <w:rFonts w:eastAsia="Calibri"/>
          <w:u w:val="single"/>
        </w:rPr>
        <w:t>did not set policy or operate in a partisan manner</w:t>
      </w:r>
      <w:r>
        <w:rPr>
          <w:rFonts w:eastAsia="Calibri"/>
          <w:sz w:val="16"/>
          <w:szCs w:val="16"/>
        </w:rPr>
        <w:t xml:space="preserve">. The FTC was “nonpartisan,” acted with “entire impartiality,” and “charged with the enforcement of no policy except the policy of the law.” Indeed, </w:t>
      </w:r>
      <w:r>
        <w:rPr>
          <w:rFonts w:eastAsia="Calibri"/>
          <w:u w:val="single"/>
        </w:rPr>
        <w:t>it</w:t>
      </w:r>
      <w:r>
        <w:rPr>
          <w:rFonts w:eastAsia="Calibri"/>
          <w:sz w:val="16"/>
          <w:szCs w:val="16"/>
        </w:rPr>
        <w:t xml:space="preserve"> wa</w:t>
      </w:r>
      <w:r>
        <w:rPr>
          <w:rFonts w:eastAsia="Calibri"/>
          <w:u w:val="single"/>
        </w:rPr>
        <w:t>s</w:t>
      </w:r>
      <w:r>
        <w:rPr>
          <w:rFonts w:eastAsia="Calibri"/>
          <w:sz w:val="16"/>
          <w:szCs w:val="16"/>
        </w:rPr>
        <w:t xml:space="preserve"> “</w:t>
      </w:r>
      <w:r>
        <w:rPr>
          <w:rFonts w:eastAsia="Calibri"/>
          <w:b/>
          <w:bCs/>
          <w:u w:val="single"/>
        </w:rPr>
        <w:t>essential</w:t>
      </w:r>
      <w:r>
        <w:rPr>
          <w:rFonts w:eastAsia="Calibri"/>
          <w:u w:val="single"/>
        </w:rPr>
        <w:t xml:space="preserve"> that the commission should not be open to the suspicion of </w:t>
      </w:r>
      <w:r>
        <w:rPr>
          <w:rFonts w:eastAsia="Calibri"/>
          <w:b/>
          <w:bCs/>
          <w:u w:val="single"/>
        </w:rPr>
        <w:t>partisan</w:t>
      </w:r>
      <w:r>
        <w:rPr>
          <w:rFonts w:eastAsia="Calibri"/>
          <w:u w:val="single"/>
        </w:rPr>
        <w:t xml:space="preserve"> direction</w:t>
      </w:r>
      <w:r>
        <w:rPr>
          <w:rFonts w:eastAsia="Calibri"/>
          <w:sz w:val="16"/>
          <w:szCs w:val="16"/>
        </w:rPr>
        <w:t xml:space="preserve">.” </w:t>
      </w:r>
    </w:p>
    <w:p w14:paraId="0AEBA11B" w14:textId="77777777" w:rsidR="00AE12A8" w:rsidRDefault="00AE12A8" w:rsidP="00AE12A8">
      <w:pPr>
        <w:rPr>
          <w:rFonts w:eastAsia="Calibri"/>
          <w:sz w:val="16"/>
          <w:szCs w:val="16"/>
        </w:rPr>
      </w:pPr>
      <w:r>
        <w:rPr>
          <w:rFonts w:eastAsia="Calibri"/>
          <w:sz w:val="16"/>
          <w:szCs w:val="16"/>
        </w:rPr>
        <w:t xml:space="preserve">Finally, </w:t>
      </w:r>
      <w:r>
        <w:rPr>
          <w:rFonts w:eastAsia="Calibri"/>
          <w:highlight w:val="green"/>
          <w:u w:val="single"/>
        </w:rPr>
        <w:t>the Court placed</w:t>
      </w:r>
      <w:r>
        <w:rPr>
          <w:rFonts w:eastAsia="Calibri"/>
          <w:u w:val="single"/>
        </w:rPr>
        <w:t xml:space="preserve"> </w:t>
      </w:r>
      <w:r>
        <w:rPr>
          <w:rFonts w:eastAsia="Calibri"/>
          <w:b/>
          <w:bCs/>
          <w:u w:val="single"/>
        </w:rPr>
        <w:t xml:space="preserve">great </w:t>
      </w:r>
      <w:r>
        <w:rPr>
          <w:rFonts w:eastAsia="Calibri"/>
          <w:b/>
          <w:bCs/>
          <w:highlight w:val="green"/>
          <w:u w:val="single"/>
        </w:rPr>
        <w:t>stock</w:t>
      </w:r>
      <w:r>
        <w:rPr>
          <w:rFonts w:eastAsia="Calibri"/>
          <w:highlight w:val="green"/>
          <w:u w:val="single"/>
        </w:rPr>
        <w:t xml:space="preserve"> in</w:t>
      </w:r>
      <w:r>
        <w:rPr>
          <w:rFonts w:eastAsia="Calibri"/>
          <w:u w:val="single"/>
        </w:rPr>
        <w:t xml:space="preserve"> the </w:t>
      </w:r>
      <w:r>
        <w:rPr>
          <w:rFonts w:eastAsia="Calibri"/>
          <w:b/>
          <w:bCs/>
          <w:u w:val="single"/>
        </w:rPr>
        <w:t>wisdom</w:t>
      </w:r>
      <w:r>
        <w:rPr>
          <w:rFonts w:eastAsia="Calibri"/>
          <w:u w:val="single"/>
        </w:rPr>
        <w:t xml:space="preserve"> of the individual commissioners</w:t>
      </w:r>
      <w:r>
        <w:rPr>
          <w:rFonts w:eastAsia="Calibri"/>
          <w:sz w:val="16"/>
          <w:szCs w:val="16"/>
        </w:rPr>
        <w:t>. The commissioners were “</w:t>
      </w:r>
      <w:r>
        <w:rPr>
          <w:rFonts w:eastAsia="Calibri"/>
          <w:b/>
          <w:bCs/>
          <w:u w:val="single"/>
        </w:rPr>
        <w:t>called upon</w:t>
      </w:r>
      <w:r>
        <w:rPr>
          <w:rFonts w:eastAsia="Calibri"/>
          <w:u w:val="single"/>
        </w:rPr>
        <w:t xml:space="preserve"> to exercise the trained judgment of a body of </w:t>
      </w:r>
      <w:r>
        <w:rPr>
          <w:rFonts w:eastAsia="Calibri"/>
          <w:b/>
          <w:bCs/>
          <w:u w:val="single"/>
        </w:rPr>
        <w:t>experts</w:t>
      </w:r>
      <w:r>
        <w:rPr>
          <w:rFonts w:eastAsia="Calibri"/>
          <w:sz w:val="16"/>
          <w:szCs w:val="16"/>
        </w:rPr>
        <w:t xml:space="preserve">.” As the Court explained, the commission’s </w:t>
      </w:r>
      <w:r>
        <w:rPr>
          <w:rFonts w:eastAsia="Calibri"/>
          <w:u w:val="single"/>
        </w:rPr>
        <w:t>work demanded</w:t>
      </w:r>
      <w:r>
        <w:rPr>
          <w:rFonts w:eastAsia="Calibri"/>
          <w:sz w:val="16"/>
          <w:szCs w:val="16"/>
        </w:rPr>
        <w:t xml:space="preserve"> “</w:t>
      </w:r>
      <w:r>
        <w:rPr>
          <w:rFonts w:eastAsia="Calibri"/>
          <w:u w:val="single"/>
        </w:rPr>
        <w:t xml:space="preserve">persons who have </w:t>
      </w:r>
      <w:r>
        <w:rPr>
          <w:rFonts w:eastAsia="Calibri"/>
          <w:highlight w:val="green"/>
          <w:u w:val="single"/>
        </w:rPr>
        <w:t>experience in the</w:t>
      </w:r>
      <w:r>
        <w:rPr>
          <w:rFonts w:eastAsia="Calibri"/>
          <w:u w:val="single"/>
        </w:rPr>
        <w:t xml:space="preserve"> problems</w:t>
      </w:r>
      <w:r>
        <w:rPr>
          <w:rFonts w:eastAsia="Calibri"/>
          <w:sz w:val="16"/>
          <w:szCs w:val="16"/>
        </w:rPr>
        <w:t xml:space="preserve"> to be met — that is, a </w:t>
      </w:r>
      <w:r>
        <w:rPr>
          <w:rFonts w:eastAsia="Calibri"/>
          <w:u w:val="single"/>
        </w:rPr>
        <w:t>proper knowledge of</w:t>
      </w:r>
      <w:r>
        <w:rPr>
          <w:rFonts w:eastAsia="Calibri"/>
          <w:sz w:val="16"/>
          <w:szCs w:val="16"/>
        </w:rPr>
        <w:t xml:space="preserve"> both the public requirements and the </w:t>
      </w:r>
      <w:r>
        <w:rPr>
          <w:rFonts w:eastAsia="Calibri"/>
          <w:b/>
          <w:bCs/>
          <w:u w:val="single"/>
        </w:rPr>
        <w:t>practical</w:t>
      </w:r>
      <w:r>
        <w:rPr>
          <w:rFonts w:eastAsia="Calibri"/>
          <w:u w:val="single"/>
        </w:rPr>
        <w:t xml:space="preserve"> affairs of </w:t>
      </w:r>
      <w:r>
        <w:rPr>
          <w:rFonts w:eastAsia="Calibri"/>
          <w:b/>
          <w:bCs/>
          <w:highlight w:val="green"/>
          <w:u w:val="single"/>
        </w:rPr>
        <w:t>industry</w:t>
      </w:r>
      <w:r>
        <w:rPr>
          <w:rFonts w:eastAsia="Calibri"/>
          <w:sz w:val="16"/>
          <w:szCs w:val="16"/>
        </w:rPr>
        <w:t>.”</w:t>
      </w:r>
    </w:p>
    <w:p w14:paraId="0C903060" w14:textId="77777777" w:rsidR="00AE12A8" w:rsidRDefault="00AE12A8" w:rsidP="00AE12A8">
      <w:pPr>
        <w:rPr>
          <w:rFonts w:eastAsia="Calibri"/>
          <w:sz w:val="16"/>
          <w:szCs w:val="16"/>
        </w:rPr>
      </w:pPr>
      <w:r>
        <w:rPr>
          <w:rFonts w:eastAsia="Calibri"/>
          <w:sz w:val="16"/>
          <w:szCs w:val="16"/>
        </w:rPr>
        <w:t xml:space="preserve">Of course, in the nine decades since </w:t>
      </w:r>
      <w:r>
        <w:rPr>
          <w:rFonts w:eastAsia="Calibri"/>
          <w:i/>
          <w:iCs/>
          <w:sz w:val="16"/>
          <w:szCs w:val="16"/>
        </w:rPr>
        <w:t>Humphrey’s Executor</w:t>
      </w:r>
      <w:r>
        <w:rPr>
          <w:rFonts w:eastAsia="Calibri"/>
          <w:sz w:val="16"/>
          <w:szCs w:val="16"/>
        </w:rPr>
        <w:t xml:space="preserve">, </w:t>
      </w:r>
      <w:r>
        <w:rPr>
          <w:rFonts w:eastAsia="Calibri"/>
          <w:u w:val="single"/>
        </w:rPr>
        <w:t xml:space="preserve">constitutional </w:t>
      </w:r>
      <w:r>
        <w:rPr>
          <w:rFonts w:eastAsia="Calibri"/>
          <w:b/>
          <w:bCs/>
          <w:u w:val="single"/>
        </w:rPr>
        <w:t>jurisprudence</w:t>
      </w:r>
      <w:r>
        <w:rPr>
          <w:rFonts w:eastAsia="Calibri"/>
          <w:u w:val="single"/>
        </w:rPr>
        <w:t xml:space="preserve"> has become even more </w:t>
      </w:r>
      <w:r>
        <w:rPr>
          <w:rFonts w:eastAsia="Calibri"/>
          <w:b/>
          <w:bCs/>
          <w:u w:val="single"/>
        </w:rPr>
        <w:t>skeptical</w:t>
      </w:r>
      <w:r>
        <w:rPr>
          <w:rFonts w:eastAsia="Calibri"/>
          <w:u w:val="single"/>
        </w:rPr>
        <w:t xml:space="preserve"> of </w:t>
      </w:r>
      <w:r>
        <w:rPr>
          <w:rFonts w:eastAsia="Calibri"/>
          <w:b/>
          <w:bCs/>
          <w:u w:val="single"/>
        </w:rPr>
        <w:t>agency authority</w:t>
      </w:r>
      <w:r>
        <w:rPr>
          <w:rFonts w:eastAsia="Calibri"/>
          <w:sz w:val="16"/>
          <w:szCs w:val="16"/>
        </w:rPr>
        <w:t xml:space="preserve">. In </w:t>
      </w:r>
      <w:r>
        <w:rPr>
          <w:rFonts w:eastAsia="Calibri"/>
          <w:i/>
          <w:iCs/>
          <w:sz w:val="16"/>
          <w:szCs w:val="16"/>
        </w:rPr>
        <w:t>West Virginia v. Environmental Protection Agency</w:t>
      </w:r>
      <w:r>
        <w:rPr>
          <w:rFonts w:eastAsia="Calibri"/>
          <w:sz w:val="16"/>
          <w:szCs w:val="16"/>
        </w:rPr>
        <w:t xml:space="preserve">, No. 20-1530 (2022), the Supreme Court invoked the “major questions doctrine” to find that the Clean Air Act did not grant the EPA authority to devise carbon emission caps. In a recent lower court decision, </w:t>
      </w:r>
      <w:proofErr w:type="spellStart"/>
      <w:r>
        <w:rPr>
          <w:rFonts w:eastAsia="Calibri"/>
          <w:i/>
          <w:iCs/>
          <w:sz w:val="16"/>
          <w:szCs w:val="16"/>
        </w:rPr>
        <w:t>Jarkesy</w:t>
      </w:r>
      <w:proofErr w:type="spellEnd"/>
      <w:r>
        <w:rPr>
          <w:rFonts w:eastAsia="Calibri"/>
          <w:i/>
          <w:iCs/>
          <w:sz w:val="16"/>
          <w:szCs w:val="16"/>
        </w:rPr>
        <w:t xml:space="preserve"> v. Securities and Exchange Commission</w:t>
      </w:r>
      <w:r>
        <w:rPr>
          <w:rFonts w:eastAsia="Calibri"/>
          <w:sz w:val="16"/>
          <w:szCs w:val="16"/>
        </w:rPr>
        <w:t>, 34 F.4th 446 (2022), the Fifth Circuit held that Congress unconstitutionally delegated legislative power to the SEC, another multimember agency.</w:t>
      </w:r>
    </w:p>
    <w:p w14:paraId="129C82C2" w14:textId="77777777" w:rsidR="00AE12A8" w:rsidRDefault="00AE12A8" w:rsidP="00AE12A8">
      <w:pPr>
        <w:rPr>
          <w:rFonts w:eastAsia="Calibri"/>
          <w:sz w:val="16"/>
          <w:szCs w:val="16"/>
        </w:rPr>
      </w:pPr>
      <w:r>
        <w:rPr>
          <w:rFonts w:eastAsia="Calibri"/>
          <w:sz w:val="16"/>
          <w:szCs w:val="16"/>
        </w:rPr>
        <w:t xml:space="preserve">The </w:t>
      </w:r>
      <w:r>
        <w:rPr>
          <w:rFonts w:eastAsia="Calibri"/>
          <w:highlight w:val="green"/>
          <w:u w:val="single"/>
        </w:rPr>
        <w:t>courts</w:t>
      </w:r>
      <w:r>
        <w:rPr>
          <w:rFonts w:eastAsia="Calibri"/>
          <w:sz w:val="16"/>
          <w:szCs w:val="16"/>
        </w:rPr>
        <w:t xml:space="preserve"> have also reined in the FTC. In </w:t>
      </w:r>
      <w:r>
        <w:rPr>
          <w:rFonts w:eastAsia="Calibri"/>
          <w:i/>
          <w:iCs/>
          <w:sz w:val="16"/>
          <w:szCs w:val="16"/>
        </w:rPr>
        <w:t>AMG Capital Management v. FTC</w:t>
      </w:r>
      <w:r>
        <w:rPr>
          <w:rFonts w:eastAsia="Calibri"/>
          <w:sz w:val="16"/>
          <w:szCs w:val="16"/>
        </w:rPr>
        <w:t xml:space="preserve">, 593 U.S. __ (2021), the Supreme Court unanimously held that the FTC lacked statutory authority to seek equitable monetary relief in federal court under Section 13(b) of the FTC Act. The Court found that the agency had improperly stretched its statutory language to circumvent various procedural guardrails for defendants. Perhaps unused to a judicial rebuke, the agency’s Acting Chair responded that “the Supreme Court ruled in favor of scam artists and dishonest corporations, leaving average Americans to pay for illegal behavior.” </w:t>
      </w:r>
    </w:p>
    <w:p w14:paraId="19510294" w14:textId="77777777" w:rsidR="00AE12A8" w:rsidRDefault="00AE12A8" w:rsidP="00AE12A8">
      <w:pPr>
        <w:rPr>
          <w:rFonts w:eastAsia="Calibri"/>
          <w:sz w:val="16"/>
          <w:szCs w:val="16"/>
        </w:rPr>
      </w:pPr>
      <w:r>
        <w:rPr>
          <w:rFonts w:eastAsia="Calibri"/>
          <w:sz w:val="16"/>
          <w:szCs w:val="16"/>
        </w:rPr>
        <w:t xml:space="preserve">Other opinions call into </w:t>
      </w:r>
      <w:r>
        <w:rPr>
          <w:rFonts w:eastAsia="Calibri"/>
          <w:highlight w:val="green"/>
          <w:u w:val="single"/>
        </w:rPr>
        <w:t>question</w:t>
      </w:r>
      <w:r>
        <w:rPr>
          <w:rFonts w:eastAsia="Calibri"/>
          <w:u w:val="single"/>
        </w:rPr>
        <w:t xml:space="preserve"> the </w:t>
      </w:r>
      <w:r>
        <w:rPr>
          <w:rFonts w:eastAsia="Calibri"/>
          <w:highlight w:val="green"/>
          <w:u w:val="single"/>
        </w:rPr>
        <w:t xml:space="preserve">agency’s </w:t>
      </w:r>
      <w:r>
        <w:rPr>
          <w:rFonts w:eastAsia="Calibri"/>
          <w:b/>
          <w:bCs/>
          <w:highlight w:val="green"/>
          <w:u w:val="single"/>
        </w:rPr>
        <w:t>very existence</w:t>
      </w:r>
      <w:r>
        <w:rPr>
          <w:rFonts w:eastAsia="Calibri"/>
          <w:sz w:val="16"/>
          <w:szCs w:val="16"/>
        </w:rPr>
        <w:t xml:space="preserve">, as currently structured. In </w:t>
      </w:r>
      <w:r>
        <w:rPr>
          <w:rFonts w:eastAsia="Calibri"/>
          <w:i/>
          <w:iCs/>
          <w:sz w:val="16"/>
          <w:szCs w:val="16"/>
        </w:rPr>
        <w:t>Seila Law v. Consumer Financial Protection Bureau</w:t>
      </w:r>
      <w:r>
        <w:rPr>
          <w:rFonts w:eastAsia="Calibri"/>
          <w:sz w:val="16"/>
          <w:szCs w:val="16"/>
        </w:rPr>
        <w:t xml:space="preserve">, 591 U.S. __ (2020), the Court, reading </w:t>
      </w:r>
      <w:r>
        <w:rPr>
          <w:rFonts w:eastAsia="Calibri"/>
          <w:i/>
          <w:iCs/>
          <w:sz w:val="16"/>
          <w:szCs w:val="16"/>
        </w:rPr>
        <w:t xml:space="preserve">Humphrey’s Executor </w:t>
      </w:r>
      <w:r>
        <w:rPr>
          <w:rFonts w:eastAsia="Calibri"/>
          <w:sz w:val="16"/>
          <w:szCs w:val="16"/>
        </w:rPr>
        <w:t xml:space="preserve">narrowly, held that the President can remove the head of the CFPB without cause, thereby tying the agency closer to the rest of the executive branch. In a dissent in </w:t>
      </w:r>
      <w:r>
        <w:rPr>
          <w:rFonts w:eastAsia="Calibri"/>
          <w:i/>
          <w:iCs/>
          <w:sz w:val="16"/>
          <w:szCs w:val="16"/>
        </w:rPr>
        <w:t>PHH Corp. v. Consumer Financial Protection Bureau</w:t>
      </w:r>
      <w:r>
        <w:rPr>
          <w:rFonts w:eastAsia="Calibri"/>
          <w:sz w:val="16"/>
          <w:szCs w:val="16"/>
        </w:rPr>
        <w:t xml:space="preserve">, No. 15-1177, (D.C. Cir. 2018), then-Judge Kavanaugh wrote that the FTC and other independent agencies “collectively constitute, in effect, a headless fourth branch of the U.S. Government.” Echoing President Wilson’s original concerns with a “smug lot of experts,” Kavanaugh wrote that independent agencies “hold enormous power over the economic and social life of the United States. Because of their massive power and the absence of Presidential supervision and direction, </w:t>
      </w:r>
      <w:r>
        <w:rPr>
          <w:rFonts w:eastAsia="Calibri"/>
          <w:u w:val="single"/>
        </w:rPr>
        <w:t>independent agencies pose a significant threat to</w:t>
      </w:r>
      <w:r>
        <w:rPr>
          <w:rFonts w:eastAsia="Calibri"/>
          <w:sz w:val="16"/>
          <w:szCs w:val="16"/>
        </w:rPr>
        <w:t xml:space="preserve"> individual liberty and to the </w:t>
      </w:r>
      <w:r>
        <w:rPr>
          <w:rFonts w:eastAsia="Calibri"/>
          <w:u w:val="single"/>
        </w:rPr>
        <w:t>constitutional system of separation of powers and checks and balances</w:t>
      </w:r>
      <w:r>
        <w:rPr>
          <w:rFonts w:eastAsia="Calibri"/>
          <w:sz w:val="16"/>
          <w:szCs w:val="16"/>
        </w:rPr>
        <w:t>.”</w:t>
      </w:r>
    </w:p>
    <w:p w14:paraId="53DCA0C9" w14:textId="77777777" w:rsidR="00AE12A8" w:rsidRDefault="00AE12A8" w:rsidP="00AE12A8">
      <w:pPr>
        <w:rPr>
          <w:rFonts w:eastAsia="Calibri"/>
          <w:sz w:val="16"/>
          <w:szCs w:val="16"/>
        </w:rPr>
      </w:pPr>
      <w:r>
        <w:rPr>
          <w:rFonts w:eastAsia="Calibri"/>
          <w:sz w:val="16"/>
          <w:szCs w:val="16"/>
        </w:rPr>
        <w:t xml:space="preserve">II. The FTC’s Aggressive Agenda Could Lead to a Significant Loss in the Supreme Court </w:t>
      </w:r>
    </w:p>
    <w:p w14:paraId="521121A0" w14:textId="77777777" w:rsidR="00AE12A8" w:rsidRDefault="00AE12A8" w:rsidP="00AE12A8">
      <w:pPr>
        <w:rPr>
          <w:rFonts w:eastAsia="Calibri"/>
        </w:rPr>
      </w:pPr>
      <w:r>
        <w:rPr>
          <w:rFonts w:eastAsia="Calibri"/>
          <w:sz w:val="16"/>
          <w:szCs w:val="16"/>
        </w:rPr>
        <w:t xml:space="preserve">The pending case of </w:t>
      </w:r>
      <w:r>
        <w:rPr>
          <w:rFonts w:eastAsia="Calibri"/>
          <w:i/>
          <w:iCs/>
          <w:sz w:val="16"/>
          <w:szCs w:val="16"/>
        </w:rPr>
        <w:t>Axon v. FTC</w:t>
      </w:r>
      <w:r>
        <w:rPr>
          <w:rFonts w:eastAsia="Calibri"/>
          <w:sz w:val="16"/>
          <w:szCs w:val="16"/>
        </w:rPr>
        <w:t xml:space="preserve"> could bring many of these issues to a head. </w:t>
      </w:r>
      <w:r>
        <w:rPr>
          <w:rFonts w:eastAsia="Calibri"/>
          <w:i/>
          <w:iCs/>
          <w:sz w:val="16"/>
          <w:szCs w:val="16"/>
        </w:rPr>
        <w:t>Axon</w:t>
      </w:r>
      <w:r>
        <w:rPr>
          <w:rFonts w:eastAsia="Calibri"/>
          <w:sz w:val="16"/>
          <w:szCs w:val="16"/>
        </w:rPr>
        <w:t xml:space="preserve"> itself involves a narrow procedural issue about when companies can bring a structural constitutional challenge to the FTC in federal court, but the case’s outcome could</w:t>
      </w:r>
      <w:r>
        <w:rPr>
          <w:rFonts w:eastAsia="Calibri"/>
        </w:rPr>
        <w:t xml:space="preserve"> </w:t>
      </w:r>
      <w:r>
        <w:rPr>
          <w:rFonts w:eastAsia="Calibri"/>
          <w:highlight w:val="green"/>
          <w:u w:val="single"/>
        </w:rPr>
        <w:t>affect</w:t>
      </w:r>
      <w:r>
        <w:rPr>
          <w:rFonts w:eastAsia="Calibri"/>
          <w:u w:val="single"/>
        </w:rPr>
        <w:t xml:space="preserve"> the agency’s </w:t>
      </w:r>
      <w:r>
        <w:rPr>
          <w:rFonts w:eastAsia="Calibri"/>
          <w:b/>
          <w:bCs/>
          <w:highlight w:val="green"/>
          <w:u w:val="single"/>
        </w:rPr>
        <w:t>ability</w:t>
      </w:r>
      <w:r>
        <w:rPr>
          <w:rFonts w:eastAsia="Calibri"/>
          <w:highlight w:val="green"/>
          <w:u w:val="single"/>
        </w:rPr>
        <w:t xml:space="preserve"> to implement</w:t>
      </w:r>
      <w:r>
        <w:rPr>
          <w:rFonts w:eastAsia="Calibri"/>
          <w:u w:val="single"/>
        </w:rPr>
        <w:t xml:space="preserve"> its </w:t>
      </w:r>
      <w:r>
        <w:rPr>
          <w:rFonts w:eastAsia="Calibri"/>
          <w:b/>
          <w:bCs/>
          <w:u w:val="single"/>
        </w:rPr>
        <w:t xml:space="preserve">broader </w:t>
      </w:r>
      <w:r>
        <w:rPr>
          <w:rFonts w:eastAsia="Calibri"/>
          <w:b/>
          <w:bCs/>
          <w:highlight w:val="green"/>
          <w:u w:val="single"/>
        </w:rPr>
        <w:t>agenda</w:t>
      </w:r>
      <w:r>
        <w:rPr>
          <w:rFonts w:eastAsia="Calibri"/>
          <w:sz w:val="16"/>
          <w:szCs w:val="16"/>
        </w:rPr>
        <w:t xml:space="preserve">. The FTC is contemplating new rules and guidelines to regulate everything from privacy and mergers to the gig economy and the ad-supported Internet. </w:t>
      </w:r>
      <w:r w:rsidRPr="00C66378">
        <w:rPr>
          <w:rFonts w:eastAsia="Calibri"/>
          <w:b/>
          <w:bCs/>
          <w:i/>
          <w:iCs/>
          <w:sz w:val="30"/>
          <w:szCs w:val="30"/>
          <w:highlight w:val="magenta"/>
          <w:u w:val="single"/>
        </w:rPr>
        <w:t>With a win in Axon, the FTC likely could implement its full agenda while keeping judicial scrutiny at bay for years</w:t>
      </w:r>
      <w:r>
        <w:rPr>
          <w:rFonts w:eastAsia="Calibri"/>
          <w:sz w:val="16"/>
          <w:szCs w:val="16"/>
        </w:rPr>
        <w:t xml:space="preserve">; with a loss, companies likely could challenge, and quite possibly forestall, questionable rules much earlier in the process. Beyond these very practical questions, the case also could </w:t>
      </w:r>
      <w:r>
        <w:rPr>
          <w:rFonts w:eastAsia="Calibri"/>
          <w:u w:val="single"/>
        </w:rPr>
        <w:t xml:space="preserve">lay the </w:t>
      </w:r>
      <w:r>
        <w:rPr>
          <w:rFonts w:eastAsia="Calibri"/>
          <w:b/>
          <w:bCs/>
          <w:u w:val="single"/>
        </w:rPr>
        <w:t>groundwork</w:t>
      </w:r>
      <w:r>
        <w:rPr>
          <w:rFonts w:eastAsia="Calibri"/>
          <w:u w:val="single"/>
        </w:rPr>
        <w:t xml:space="preserve"> for a </w:t>
      </w:r>
      <w:r>
        <w:rPr>
          <w:rFonts w:eastAsia="Calibri"/>
          <w:b/>
          <w:bCs/>
          <w:u w:val="single"/>
        </w:rPr>
        <w:t>full-scale review</w:t>
      </w:r>
      <w:r>
        <w:rPr>
          <w:rFonts w:eastAsia="Calibri"/>
          <w:u w:val="single"/>
        </w:rPr>
        <w:t xml:space="preserve"> of Humphrey’s Executor</w:t>
      </w:r>
      <w:r>
        <w:rPr>
          <w:rFonts w:eastAsia="Calibri"/>
          <w:sz w:val="16"/>
          <w:szCs w:val="16"/>
        </w:rPr>
        <w:t xml:space="preserve">. </w:t>
      </w:r>
      <w:r>
        <w:rPr>
          <w:rFonts w:eastAsia="Calibri"/>
          <w:u w:val="single"/>
        </w:rPr>
        <w:t xml:space="preserve">Although the Court </w:t>
      </w:r>
      <w:r>
        <w:rPr>
          <w:rFonts w:eastAsia="Calibri"/>
          <w:b/>
          <w:bCs/>
          <w:u w:val="single"/>
        </w:rPr>
        <w:t>declined</w:t>
      </w:r>
      <w:r>
        <w:rPr>
          <w:rFonts w:eastAsia="Calibri"/>
          <w:u w:val="single"/>
        </w:rPr>
        <w:t xml:space="preserve"> to consider that question</w:t>
      </w:r>
      <w:r>
        <w:rPr>
          <w:rFonts w:eastAsia="Calibri"/>
          <w:sz w:val="16"/>
          <w:szCs w:val="16"/>
        </w:rPr>
        <w:t xml:space="preserve">, some pending lower court cases raise the same issues and the FTC’s current agenda is likely to lead to significant legal questions sooner rather than later. Moreover, </w:t>
      </w:r>
      <w:r>
        <w:rPr>
          <w:rFonts w:eastAsia="Calibri"/>
          <w:u w:val="single"/>
        </w:rPr>
        <w:t>several sitting justices</w:t>
      </w:r>
      <w:r>
        <w:rPr>
          <w:rFonts w:eastAsia="Calibri"/>
          <w:sz w:val="16"/>
          <w:szCs w:val="16"/>
        </w:rPr>
        <w:t xml:space="preserve">, including Justices Kavanaugh and Thomas, have </w:t>
      </w:r>
      <w:r>
        <w:rPr>
          <w:rFonts w:eastAsia="Calibri"/>
          <w:u w:val="single"/>
        </w:rPr>
        <w:t xml:space="preserve">shown an </w:t>
      </w:r>
      <w:r>
        <w:rPr>
          <w:rFonts w:eastAsia="Calibri"/>
          <w:b/>
          <w:bCs/>
          <w:u w:val="single"/>
        </w:rPr>
        <w:t>interest</w:t>
      </w:r>
      <w:r>
        <w:rPr>
          <w:rFonts w:eastAsia="Calibri"/>
          <w:u w:val="single"/>
        </w:rPr>
        <w:t xml:space="preserve"> in examining the role of independent agencies</w:t>
      </w:r>
      <w:r>
        <w:rPr>
          <w:rFonts w:eastAsia="Calibri"/>
          <w:sz w:val="16"/>
          <w:szCs w:val="16"/>
        </w:rPr>
        <w:t xml:space="preserve"> in our </w:t>
      </w:r>
      <w:r>
        <w:rPr>
          <w:rFonts w:eastAsia="Calibri"/>
          <w:u w:val="single"/>
        </w:rPr>
        <w:t>constitutional system</w:t>
      </w:r>
      <w:r>
        <w:rPr>
          <w:rFonts w:eastAsia="Calibri"/>
          <w:sz w:val="16"/>
          <w:szCs w:val="16"/>
        </w:rPr>
        <w:t xml:space="preserve">. </w:t>
      </w:r>
    </w:p>
    <w:p w14:paraId="77612211" w14:textId="75C8FA52" w:rsidR="00AB41F9" w:rsidRDefault="00B8246B" w:rsidP="00AB41F9">
      <w:pPr>
        <w:pStyle w:val="Heading4"/>
      </w:pPr>
      <w:r>
        <w:t>3</w:t>
      </w:r>
      <w:r w:rsidR="00815075">
        <w:t>---1NC Heather</w:t>
      </w:r>
      <w:r w:rsidR="00AB41F9">
        <w:t xml:space="preserve"> is only in the context of legislative authority---</w:t>
      </w:r>
      <w:r w:rsidR="00AB41F9" w:rsidRPr="00AB41F9">
        <w:t xml:space="preserve">sports betting regulation would fall under consumer protection, not competition. The card explicitly acknowledges the FTC does have </w:t>
      </w:r>
      <w:r w:rsidR="00A26F96">
        <w:t>“</w:t>
      </w:r>
      <w:r w:rsidR="00AB41F9" w:rsidRPr="00AB41F9">
        <w:rPr>
          <w:u w:val="single"/>
        </w:rPr>
        <w:t>Magnuson-Moss rulemaking authority</w:t>
      </w:r>
      <w:r w:rsidR="00A26F96">
        <w:t>”</w:t>
      </w:r>
      <w:r w:rsidR="00AB41F9" w:rsidRPr="00AB41F9">
        <w:t xml:space="preserve"> for "</w:t>
      </w:r>
      <w:r w:rsidR="00AB41F9" w:rsidRPr="00AB41F9">
        <w:rPr>
          <w:u w:val="single"/>
        </w:rPr>
        <w:t>unfair and deceptive acts and practices</w:t>
      </w:r>
      <w:r w:rsidR="00E05587">
        <w:t>”</w:t>
      </w:r>
      <w:r w:rsidR="00AB41F9" w:rsidRPr="00AB41F9">
        <w:t xml:space="preserve"> </w:t>
      </w:r>
    </w:p>
    <w:p w14:paraId="03CCE9B5" w14:textId="77777777" w:rsidR="0098782C" w:rsidRDefault="0098782C" w:rsidP="0098782C">
      <w:r>
        <w:t xml:space="preserve">&lt;&lt;&lt;inserted for </w:t>
      </w:r>
      <w:r w:rsidRPr="00C66378">
        <w:rPr>
          <w:highlight w:val="magenta"/>
        </w:rPr>
        <w:t>reference</w:t>
      </w:r>
      <w:r>
        <w:t>&gt;&gt;&gt;</w:t>
      </w:r>
    </w:p>
    <w:p w14:paraId="724B775C" w14:textId="27049515" w:rsidR="005D35B6" w:rsidRPr="005D35B6" w:rsidRDefault="005D35B6" w:rsidP="0098782C">
      <w:pPr>
        <w:rPr>
          <w:rFonts w:eastAsia="Calibri"/>
        </w:rPr>
      </w:pPr>
      <w:r>
        <w:rPr>
          <w:rFonts w:eastAsia="Calibri"/>
        </w:rPr>
        <w:lastRenderedPageBreak/>
        <w:t xml:space="preserve">Sean </w:t>
      </w:r>
      <w:r>
        <w:rPr>
          <w:rFonts w:eastAsia="Calibri"/>
          <w:b/>
          <w:bCs/>
          <w:sz w:val="26"/>
          <w:szCs w:val="26"/>
        </w:rPr>
        <w:t>Heather 21</w:t>
      </w:r>
      <w:r>
        <w:rPr>
          <w:rFonts w:eastAsia="Calibri"/>
        </w:rPr>
        <w:t xml:space="preserve">, Senior Vice President for International Regulatory Affairs &amp; Antitrust, Chamber of Commerce, 2021, “Why the FTC is Powerless When it Comes to </w:t>
      </w:r>
      <w:r w:rsidRPr="00AA479A">
        <w:rPr>
          <w:rFonts w:eastAsia="Calibri"/>
          <w:b/>
          <w:bCs/>
          <w:highlight w:val="magenta"/>
          <w:u w:val="single"/>
        </w:rPr>
        <w:t>Competition Rulemaking</w:t>
      </w:r>
      <w:r>
        <w:rPr>
          <w:rFonts w:eastAsia="Calibri"/>
        </w:rPr>
        <w:t>,” https://www.uschamber.com/technology/why-the-ftc-powerless-when-it-comes-competition-rulemaking</w:t>
      </w:r>
    </w:p>
    <w:p w14:paraId="78173B89" w14:textId="77777777" w:rsidR="005D35B6" w:rsidRDefault="005D35B6" w:rsidP="005D35B6">
      <w:pPr>
        <w:rPr>
          <w:rFonts w:eastAsia="Calibri"/>
          <w:sz w:val="16"/>
          <w:szCs w:val="16"/>
        </w:rPr>
      </w:pPr>
      <w:r>
        <w:rPr>
          <w:rFonts w:eastAsia="Calibri"/>
          <w:sz w:val="16"/>
          <w:szCs w:val="16"/>
        </w:rPr>
        <w:t xml:space="preserve">As designed, </w:t>
      </w:r>
      <w:r>
        <w:rPr>
          <w:rFonts w:eastAsia="Calibri"/>
          <w:u w:val="single"/>
        </w:rPr>
        <w:t xml:space="preserve">the </w:t>
      </w:r>
      <w:r w:rsidRPr="00AA479A">
        <w:rPr>
          <w:rFonts w:eastAsia="Calibri"/>
          <w:highlight w:val="magenta"/>
          <w:u w:val="single"/>
        </w:rPr>
        <w:t>FTC’s core</w:t>
      </w:r>
      <w:r>
        <w:rPr>
          <w:rFonts w:eastAsia="Calibri"/>
          <w:u w:val="single"/>
        </w:rPr>
        <w:t xml:space="preserve"> statute gives the agency a dual purpose</w:t>
      </w:r>
      <w:r>
        <w:rPr>
          <w:rFonts w:eastAsia="Calibri"/>
          <w:sz w:val="16"/>
          <w:szCs w:val="16"/>
        </w:rPr>
        <w:t xml:space="preserve">: it </w:t>
      </w:r>
      <w:r>
        <w:rPr>
          <w:rFonts w:eastAsia="Calibri"/>
          <w:u w:val="single"/>
        </w:rPr>
        <w:t xml:space="preserve">is tasked with </w:t>
      </w:r>
      <w:r w:rsidRPr="00AA479A">
        <w:rPr>
          <w:rFonts w:eastAsia="Calibri"/>
          <w:b/>
          <w:bCs/>
          <w:highlight w:val="magenta"/>
          <w:u w:val="single"/>
        </w:rPr>
        <w:t>enforcement</w:t>
      </w:r>
      <w:r w:rsidRPr="00AA479A">
        <w:rPr>
          <w:rFonts w:eastAsia="Calibri"/>
          <w:highlight w:val="magenta"/>
          <w:u w:val="single"/>
        </w:rPr>
        <w:t xml:space="preserve"> against </w:t>
      </w:r>
      <w:r w:rsidRPr="00AA479A">
        <w:rPr>
          <w:rFonts w:eastAsia="Calibri"/>
          <w:b/>
          <w:bCs/>
          <w:highlight w:val="magenta"/>
          <w:u w:val="single"/>
        </w:rPr>
        <w:t>unfair methods</w:t>
      </w:r>
      <w:r w:rsidRPr="00AA479A">
        <w:rPr>
          <w:rFonts w:eastAsia="Calibri"/>
          <w:highlight w:val="magenta"/>
          <w:u w:val="single"/>
        </w:rPr>
        <w:t xml:space="preserve"> of </w:t>
      </w:r>
      <w:r w:rsidRPr="00AA479A">
        <w:rPr>
          <w:rFonts w:eastAsia="Calibri"/>
          <w:b/>
          <w:bCs/>
          <w:highlight w:val="magenta"/>
          <w:u w:val="single"/>
        </w:rPr>
        <w:t>competition</w:t>
      </w:r>
      <w:r>
        <w:rPr>
          <w:rFonts w:eastAsia="Calibri"/>
          <w:sz w:val="16"/>
          <w:szCs w:val="16"/>
        </w:rPr>
        <w:t xml:space="preserve"> (antitrust) </w:t>
      </w:r>
      <w:r>
        <w:rPr>
          <w:rFonts w:eastAsia="Calibri"/>
          <w:u w:val="single"/>
        </w:rPr>
        <w:t xml:space="preserve">and </w:t>
      </w:r>
      <w:r w:rsidRPr="00AA479A">
        <w:rPr>
          <w:rFonts w:eastAsia="Calibri"/>
          <w:highlight w:val="magenta"/>
          <w:u w:val="single"/>
        </w:rPr>
        <w:t>unfair and deceptive practices</w:t>
      </w:r>
      <w:r>
        <w:rPr>
          <w:rFonts w:eastAsia="Calibri"/>
          <w:sz w:val="16"/>
          <w:szCs w:val="16"/>
        </w:rPr>
        <w:t xml:space="preserve"> (consumer protection) when such conduct arises in the marketplace. However, Congress intentionally avoided articulating precisely what qualifies as a violation under either prong of the FTC’s authority.</w:t>
      </w:r>
    </w:p>
    <w:p w14:paraId="2E53FA1F" w14:textId="77777777" w:rsidR="005D35B6" w:rsidRDefault="005D35B6" w:rsidP="005D35B6">
      <w:pPr>
        <w:rPr>
          <w:rFonts w:eastAsia="Calibri"/>
          <w:u w:val="single"/>
        </w:rPr>
      </w:pPr>
      <w:r>
        <w:rPr>
          <w:rFonts w:eastAsia="Calibri"/>
          <w:sz w:val="16"/>
          <w:szCs w:val="16"/>
        </w:rPr>
        <w:t xml:space="preserve">Instead, </w:t>
      </w:r>
      <w:r>
        <w:rPr>
          <w:rFonts w:eastAsia="Calibri"/>
          <w:highlight w:val="green"/>
          <w:u w:val="single"/>
        </w:rPr>
        <w:t>Congress gave</w:t>
      </w:r>
      <w:r>
        <w:rPr>
          <w:rFonts w:eastAsia="Calibri"/>
          <w:u w:val="single"/>
        </w:rPr>
        <w:t xml:space="preserve"> the </w:t>
      </w:r>
      <w:r>
        <w:rPr>
          <w:rFonts w:eastAsia="Calibri"/>
          <w:highlight w:val="green"/>
          <w:u w:val="single"/>
        </w:rPr>
        <w:t>FTC</w:t>
      </w:r>
      <w:r>
        <w:rPr>
          <w:rFonts w:eastAsia="Calibri"/>
          <w:u w:val="single"/>
        </w:rPr>
        <w:t xml:space="preserve"> </w:t>
      </w:r>
      <w:r>
        <w:rPr>
          <w:rFonts w:eastAsia="Calibri"/>
          <w:b/>
          <w:bCs/>
          <w:u w:val="single"/>
        </w:rPr>
        <w:t xml:space="preserve">broad </w:t>
      </w:r>
      <w:r>
        <w:rPr>
          <w:rFonts w:eastAsia="Calibri"/>
          <w:b/>
          <w:bCs/>
          <w:highlight w:val="green"/>
          <w:u w:val="single"/>
        </w:rPr>
        <w:t>authority</w:t>
      </w:r>
      <w:r>
        <w:rPr>
          <w:rFonts w:eastAsia="Calibri"/>
          <w:u w:val="single"/>
        </w:rPr>
        <w:t xml:space="preserve"> to </w:t>
      </w:r>
      <w:r>
        <w:rPr>
          <w:rFonts w:eastAsia="Calibri"/>
          <w:b/>
          <w:bCs/>
          <w:u w:val="single"/>
        </w:rPr>
        <w:t>investigate</w:t>
      </w:r>
      <w:r>
        <w:rPr>
          <w:rFonts w:eastAsia="Calibri"/>
          <w:u w:val="single"/>
        </w:rPr>
        <w:t xml:space="preserve"> and</w:t>
      </w:r>
      <w:r>
        <w:rPr>
          <w:rFonts w:eastAsia="Calibri"/>
          <w:sz w:val="16"/>
          <w:szCs w:val="16"/>
        </w:rPr>
        <w:t xml:space="preserve">, </w:t>
      </w:r>
      <w:r>
        <w:rPr>
          <w:rFonts w:eastAsia="Calibri"/>
          <w:highlight w:val="green"/>
          <w:u w:val="single"/>
        </w:rPr>
        <w:t>on</w:t>
      </w:r>
      <w:r>
        <w:rPr>
          <w:rFonts w:eastAsia="Calibri"/>
          <w:u w:val="single"/>
        </w:rPr>
        <w:t xml:space="preserve"> a </w:t>
      </w:r>
      <w:r>
        <w:rPr>
          <w:rFonts w:eastAsia="Calibri"/>
          <w:b/>
          <w:bCs/>
          <w:highlight w:val="green"/>
          <w:u w:val="single"/>
        </w:rPr>
        <w:t>case-by-case</w:t>
      </w:r>
      <w:r>
        <w:rPr>
          <w:rFonts w:eastAsia="Calibri"/>
          <w:u w:val="single"/>
        </w:rPr>
        <w:t xml:space="preserve"> basis</w:t>
      </w:r>
      <w:r>
        <w:rPr>
          <w:rFonts w:eastAsia="Calibri"/>
          <w:sz w:val="16"/>
          <w:szCs w:val="16"/>
        </w:rPr>
        <w:t xml:space="preserve">, </w:t>
      </w:r>
      <w:r>
        <w:rPr>
          <w:rFonts w:eastAsia="Calibri"/>
          <w:u w:val="single"/>
        </w:rPr>
        <w:t xml:space="preserve">determine </w:t>
      </w:r>
      <w:r>
        <w:rPr>
          <w:rFonts w:eastAsia="Calibri"/>
          <w:b/>
          <w:bCs/>
          <w:u w:val="single"/>
        </w:rPr>
        <w:t>violations</w:t>
      </w:r>
      <w:r>
        <w:rPr>
          <w:rFonts w:eastAsia="Calibri"/>
          <w:sz w:val="16"/>
          <w:szCs w:val="16"/>
        </w:rPr>
        <w:t xml:space="preserve">. This open-ended power allowed the FTC to </w:t>
      </w:r>
      <w:r>
        <w:rPr>
          <w:rFonts w:eastAsia="Calibri"/>
          <w:u w:val="single"/>
        </w:rPr>
        <w:t xml:space="preserve">shape the law by </w:t>
      </w:r>
      <w:r>
        <w:rPr>
          <w:rFonts w:eastAsia="Calibri"/>
          <w:b/>
          <w:bCs/>
          <w:u w:val="single"/>
        </w:rPr>
        <w:t>bringing</w:t>
      </w:r>
      <w:r>
        <w:rPr>
          <w:rFonts w:eastAsia="Calibri"/>
          <w:u w:val="single"/>
        </w:rPr>
        <w:t xml:space="preserve"> various </w:t>
      </w:r>
      <w:r>
        <w:rPr>
          <w:rFonts w:eastAsia="Calibri"/>
          <w:b/>
          <w:bCs/>
          <w:u w:val="single"/>
        </w:rPr>
        <w:t>cases</w:t>
      </w:r>
      <w:r>
        <w:rPr>
          <w:rFonts w:eastAsia="Calibri"/>
          <w:sz w:val="16"/>
          <w:szCs w:val="16"/>
        </w:rPr>
        <w:t xml:space="preserve"> that established fact-patterns that the marketplace over time would need to take into consideration. Where the FTC sees conduct it believes to be a violation of the law, </w:t>
      </w:r>
      <w:r>
        <w:rPr>
          <w:rFonts w:eastAsia="Calibri"/>
          <w:u w:val="single"/>
        </w:rPr>
        <w:t>it brings the case</w:t>
      </w:r>
      <w:r>
        <w:rPr>
          <w:rFonts w:eastAsia="Calibri"/>
          <w:sz w:val="16"/>
          <w:szCs w:val="16"/>
        </w:rPr>
        <w:t xml:space="preserve">, </w:t>
      </w:r>
      <w:r>
        <w:rPr>
          <w:rFonts w:eastAsia="Calibri"/>
          <w:u w:val="single"/>
        </w:rPr>
        <w:t xml:space="preserve">and the </w:t>
      </w:r>
      <w:r>
        <w:rPr>
          <w:rFonts w:eastAsia="Calibri"/>
          <w:b/>
          <w:bCs/>
          <w:u w:val="single"/>
        </w:rPr>
        <w:t>courts</w:t>
      </w:r>
      <w:r>
        <w:rPr>
          <w:rFonts w:eastAsia="Calibri"/>
          <w:u w:val="single"/>
        </w:rPr>
        <w:t xml:space="preserve"> provide a check and balance</w:t>
      </w:r>
      <w:r>
        <w:rPr>
          <w:rFonts w:eastAsia="Calibri"/>
          <w:sz w:val="16"/>
          <w:szCs w:val="16"/>
        </w:rPr>
        <w:t xml:space="preserve">, but only on appeal, </w:t>
      </w:r>
      <w:r>
        <w:rPr>
          <w:rFonts w:eastAsia="Calibri"/>
          <w:u w:val="single"/>
        </w:rPr>
        <w:t>to ensure the FTC does</w:t>
      </w:r>
      <w:r>
        <w:rPr>
          <w:rFonts w:eastAsia="Calibri"/>
        </w:rPr>
        <w:t xml:space="preserve"> </w:t>
      </w:r>
      <w:r>
        <w:rPr>
          <w:rFonts w:eastAsia="Calibri"/>
          <w:b/>
          <w:bCs/>
          <w:u w:val="single"/>
        </w:rPr>
        <w:t>not overreach</w:t>
      </w:r>
      <w:r>
        <w:rPr>
          <w:rFonts w:eastAsia="Calibri"/>
          <w:u w:val="single"/>
        </w:rPr>
        <w:t>.</w:t>
      </w:r>
    </w:p>
    <w:p w14:paraId="66AF3AC5" w14:textId="77777777" w:rsidR="005D35B6" w:rsidRDefault="005D35B6" w:rsidP="005D35B6">
      <w:pPr>
        <w:rPr>
          <w:rFonts w:eastAsia="Calibri"/>
          <w:sz w:val="16"/>
          <w:szCs w:val="16"/>
        </w:rPr>
      </w:pPr>
      <w:r>
        <w:rPr>
          <w:rFonts w:eastAsia="Calibri"/>
          <w:u w:val="single"/>
        </w:rPr>
        <w:t xml:space="preserve">Outside this case-by-case approach, the FTC was </w:t>
      </w:r>
      <w:r>
        <w:rPr>
          <w:rFonts w:eastAsia="Calibri"/>
          <w:b/>
          <w:bCs/>
          <w:highlight w:val="green"/>
          <w:u w:val="single"/>
        </w:rPr>
        <w:t>never granted</w:t>
      </w:r>
      <w:r>
        <w:rPr>
          <w:rFonts w:eastAsia="Calibri"/>
          <w:highlight w:val="green"/>
          <w:u w:val="single"/>
        </w:rPr>
        <w:t xml:space="preserve"> </w:t>
      </w:r>
      <w:r>
        <w:rPr>
          <w:rFonts w:eastAsia="Calibri"/>
          <w:b/>
          <w:bCs/>
          <w:highlight w:val="green"/>
          <w:u w:val="single"/>
        </w:rPr>
        <w:t>legislative</w:t>
      </w:r>
      <w:r>
        <w:rPr>
          <w:rFonts w:eastAsia="Calibri"/>
          <w:b/>
          <w:bCs/>
          <w:u w:val="single"/>
        </w:rPr>
        <w:t xml:space="preserve"> style</w:t>
      </w:r>
      <w:r>
        <w:rPr>
          <w:rFonts w:eastAsia="Calibri"/>
          <w:u w:val="single"/>
        </w:rPr>
        <w:t xml:space="preserve"> </w:t>
      </w:r>
      <w:r>
        <w:rPr>
          <w:rFonts w:eastAsia="Calibri"/>
          <w:b/>
          <w:bCs/>
          <w:highlight w:val="green"/>
          <w:u w:val="single"/>
        </w:rPr>
        <w:t>rulemaking</w:t>
      </w:r>
      <w:r>
        <w:rPr>
          <w:rFonts w:eastAsia="Calibri"/>
          <w:u w:val="single"/>
        </w:rPr>
        <w:t xml:space="preserve"> to determine what is and what is not an unfair method of competition</w:t>
      </w:r>
      <w:r>
        <w:rPr>
          <w:rFonts w:eastAsia="Calibri"/>
          <w:sz w:val="16"/>
          <w:szCs w:val="16"/>
        </w:rPr>
        <w:t xml:space="preserve"> or an unfair and deceptive practice. The FTC, given its status as an administrative body, already serves as prosecutor, judge, and jury. </w:t>
      </w:r>
      <w:r>
        <w:rPr>
          <w:rFonts w:eastAsia="Calibri"/>
          <w:highlight w:val="green"/>
          <w:u w:val="single"/>
        </w:rPr>
        <w:t>Congress</w:t>
      </w:r>
      <w:r>
        <w:rPr>
          <w:rFonts w:eastAsia="Calibri"/>
          <w:sz w:val="16"/>
          <w:szCs w:val="16"/>
        </w:rPr>
        <w:t xml:space="preserve">, </w:t>
      </w:r>
      <w:r>
        <w:rPr>
          <w:rFonts w:eastAsia="Calibri"/>
          <w:b/>
          <w:bCs/>
          <w:u w:val="single"/>
        </w:rPr>
        <w:t>instinctively</w:t>
      </w:r>
      <w:r>
        <w:rPr>
          <w:rFonts w:eastAsia="Calibri"/>
          <w:sz w:val="16"/>
          <w:szCs w:val="16"/>
        </w:rPr>
        <w:t xml:space="preserve">, </w:t>
      </w:r>
      <w:r>
        <w:rPr>
          <w:rFonts w:eastAsia="Calibri"/>
          <w:u w:val="single"/>
        </w:rPr>
        <w:t xml:space="preserve">has </w:t>
      </w:r>
      <w:r>
        <w:rPr>
          <w:rFonts w:eastAsia="Calibri"/>
          <w:highlight w:val="green"/>
          <w:u w:val="single"/>
        </w:rPr>
        <w:t>understood</w:t>
      </w:r>
      <w:r>
        <w:rPr>
          <w:rFonts w:eastAsia="Calibri"/>
          <w:u w:val="single"/>
        </w:rPr>
        <w:t xml:space="preserve"> the problem of </w:t>
      </w:r>
      <w:r>
        <w:rPr>
          <w:rFonts w:eastAsia="Calibri"/>
          <w:b/>
          <w:bCs/>
          <w:u w:val="single"/>
        </w:rPr>
        <w:t>extending rulemaking</w:t>
      </w:r>
      <w:r>
        <w:rPr>
          <w:rFonts w:eastAsia="Calibri"/>
          <w:u w:val="single"/>
        </w:rPr>
        <w:t xml:space="preserve"> powers to the agency </w:t>
      </w:r>
      <w:r>
        <w:rPr>
          <w:rFonts w:eastAsia="Calibri"/>
          <w:highlight w:val="green"/>
          <w:u w:val="single"/>
        </w:rPr>
        <w:t>allowing</w:t>
      </w:r>
      <w:r>
        <w:rPr>
          <w:rFonts w:eastAsia="Calibri"/>
          <w:u w:val="single"/>
        </w:rPr>
        <w:t xml:space="preserve"> the </w:t>
      </w:r>
      <w:r>
        <w:rPr>
          <w:rFonts w:eastAsia="Calibri"/>
          <w:highlight w:val="green"/>
          <w:u w:val="single"/>
        </w:rPr>
        <w:t>agency to write</w:t>
      </w:r>
      <w:r>
        <w:rPr>
          <w:rFonts w:eastAsia="Calibri"/>
          <w:u w:val="single"/>
        </w:rPr>
        <w:t xml:space="preserve"> the </w:t>
      </w:r>
      <w:r>
        <w:rPr>
          <w:rFonts w:eastAsia="Calibri"/>
          <w:highlight w:val="green"/>
          <w:u w:val="single"/>
        </w:rPr>
        <w:t>rules it</w:t>
      </w:r>
      <w:r>
        <w:rPr>
          <w:rFonts w:eastAsia="Calibri"/>
          <w:u w:val="single"/>
        </w:rPr>
        <w:t xml:space="preserve"> i</w:t>
      </w:r>
      <w:r>
        <w:rPr>
          <w:rFonts w:eastAsia="Calibri"/>
          <w:highlight w:val="green"/>
          <w:u w:val="single"/>
        </w:rPr>
        <w:t xml:space="preserve">s </w:t>
      </w:r>
      <w:r>
        <w:rPr>
          <w:rFonts w:eastAsia="Calibri"/>
          <w:b/>
          <w:bCs/>
          <w:highlight w:val="green"/>
          <w:u w:val="single"/>
        </w:rPr>
        <w:t>empowered</w:t>
      </w:r>
      <w:r>
        <w:rPr>
          <w:rFonts w:eastAsia="Calibri"/>
          <w:highlight w:val="green"/>
          <w:u w:val="single"/>
        </w:rPr>
        <w:t xml:space="preserve"> to </w:t>
      </w:r>
      <w:r>
        <w:rPr>
          <w:rFonts w:eastAsia="Calibri"/>
          <w:b/>
          <w:bCs/>
          <w:highlight w:val="green"/>
          <w:u w:val="single"/>
        </w:rPr>
        <w:t>enforce</w:t>
      </w:r>
      <w:r>
        <w:rPr>
          <w:rFonts w:eastAsia="Calibri"/>
          <w:sz w:val="16"/>
          <w:szCs w:val="16"/>
        </w:rPr>
        <w:t xml:space="preserve">. </w:t>
      </w:r>
      <w:r>
        <w:rPr>
          <w:rFonts w:eastAsia="Calibri"/>
          <w:u w:val="single"/>
        </w:rPr>
        <w:t>Such a super concentration</w:t>
      </w:r>
      <w:r>
        <w:rPr>
          <w:rFonts w:eastAsia="Calibri"/>
          <w:highlight w:val="green"/>
          <w:u w:val="single"/>
        </w:rPr>
        <w:t xml:space="preserve"> </w:t>
      </w:r>
      <w:r>
        <w:rPr>
          <w:rFonts w:eastAsia="Calibri"/>
          <w:u w:val="single"/>
        </w:rPr>
        <w:t xml:space="preserve">of power is </w:t>
      </w:r>
      <w:r>
        <w:rPr>
          <w:rFonts w:eastAsia="Calibri"/>
          <w:b/>
          <w:bCs/>
          <w:highlight w:val="green"/>
          <w:u w:val="single"/>
        </w:rPr>
        <w:t>ripe for abuse</w:t>
      </w:r>
      <w:r>
        <w:rPr>
          <w:rFonts w:eastAsia="Calibri"/>
          <w:sz w:val="16"/>
          <w:szCs w:val="16"/>
        </w:rPr>
        <w:t>, as an agency empowered to write the rules it enforces severely limits the scope of judicial review.</w:t>
      </w:r>
    </w:p>
    <w:p w14:paraId="6B6E8AA7" w14:textId="77777777" w:rsidR="005D35B6" w:rsidRDefault="005D35B6" w:rsidP="005D35B6">
      <w:pPr>
        <w:rPr>
          <w:rFonts w:eastAsia="Calibri"/>
          <w:sz w:val="16"/>
          <w:szCs w:val="16"/>
        </w:rPr>
      </w:pPr>
      <w:r>
        <w:rPr>
          <w:rFonts w:eastAsia="Calibri"/>
          <w:u w:val="single"/>
        </w:rPr>
        <w:t>Today</w:t>
      </w:r>
      <w:r>
        <w:rPr>
          <w:rFonts w:eastAsia="Calibri"/>
          <w:sz w:val="16"/>
          <w:szCs w:val="16"/>
        </w:rPr>
        <w:t xml:space="preserve">, </w:t>
      </w:r>
      <w:r>
        <w:rPr>
          <w:rFonts w:eastAsia="Calibri"/>
          <w:u w:val="single"/>
        </w:rPr>
        <w:t xml:space="preserve">some have suggested the FTC should </w:t>
      </w:r>
      <w:r>
        <w:rPr>
          <w:rFonts w:eastAsia="Calibri"/>
          <w:b/>
          <w:bCs/>
          <w:u w:val="single"/>
        </w:rPr>
        <w:t>aggressively pursue</w:t>
      </w:r>
      <w:r>
        <w:rPr>
          <w:rFonts w:eastAsia="Calibri"/>
          <w:u w:val="single"/>
        </w:rPr>
        <w:t xml:space="preserve"> unfair methods of competition rulemaking</w:t>
      </w:r>
      <w:r>
        <w:rPr>
          <w:rFonts w:eastAsia="Calibri"/>
          <w:sz w:val="16"/>
          <w:szCs w:val="16"/>
        </w:rPr>
        <w:t xml:space="preserve">. </w:t>
      </w:r>
      <w:r>
        <w:rPr>
          <w:rFonts w:eastAsia="Calibri"/>
          <w:u w:val="single"/>
        </w:rPr>
        <w:t xml:space="preserve">The FTC is </w:t>
      </w:r>
      <w:r>
        <w:rPr>
          <w:rFonts w:eastAsia="Calibri"/>
          <w:b/>
          <w:bCs/>
          <w:u w:val="single"/>
        </w:rPr>
        <w:t>powerless</w:t>
      </w:r>
      <w:r>
        <w:rPr>
          <w:rFonts w:eastAsia="Calibri"/>
          <w:u w:val="single"/>
        </w:rPr>
        <w:t xml:space="preserve"> to do so</w:t>
      </w:r>
      <w:r>
        <w:rPr>
          <w:rFonts w:eastAsia="Calibri"/>
          <w:sz w:val="16"/>
          <w:szCs w:val="16"/>
        </w:rPr>
        <w:t>, as explained in the U.S. Chamber of Commerce’s white paper on “Pushing the Limits? A primer on FTC competition rulemaking.” The paper, authored by Maureen Ohlhausen, former Acting Chair of the Federal Trade Commission and James Rill, former Assistant Attorney General for Antitrust at the Department of Justice, finds:</w:t>
      </w:r>
    </w:p>
    <w:p w14:paraId="0ACA28E0" w14:textId="77777777" w:rsidR="005D35B6" w:rsidRDefault="005D35B6" w:rsidP="005D35B6">
      <w:pPr>
        <w:rPr>
          <w:rFonts w:eastAsia="Calibri"/>
          <w:sz w:val="16"/>
          <w:szCs w:val="16"/>
        </w:rPr>
      </w:pPr>
      <w:r>
        <w:rPr>
          <w:rFonts w:eastAsia="Calibri"/>
          <w:sz w:val="16"/>
          <w:szCs w:val="16"/>
        </w:rPr>
        <w:t>The FTC has a troubling history of rulemaking overreach, one that the courts and Congress have both stepped in to limit.</w:t>
      </w:r>
    </w:p>
    <w:p w14:paraId="088EC4C3" w14:textId="77777777" w:rsidR="005D35B6" w:rsidRDefault="005D35B6" w:rsidP="005D35B6">
      <w:pPr>
        <w:rPr>
          <w:rFonts w:eastAsia="Calibri"/>
          <w:u w:val="single"/>
        </w:rPr>
      </w:pPr>
      <w:r>
        <w:rPr>
          <w:rFonts w:eastAsia="Calibri"/>
          <w:highlight w:val="green"/>
          <w:u w:val="single"/>
        </w:rPr>
        <w:t>Congress</w:t>
      </w:r>
      <w:r>
        <w:rPr>
          <w:rFonts w:eastAsia="Calibri"/>
          <w:u w:val="single"/>
        </w:rPr>
        <w:t xml:space="preserve"> has </w:t>
      </w:r>
      <w:r>
        <w:rPr>
          <w:rFonts w:eastAsia="Calibri"/>
          <w:b/>
          <w:bCs/>
          <w:highlight w:val="green"/>
          <w:u w:val="single"/>
        </w:rPr>
        <w:t>never</w:t>
      </w:r>
      <w:r>
        <w:rPr>
          <w:rFonts w:eastAsia="Calibri"/>
          <w:u w:val="single"/>
        </w:rPr>
        <w:t xml:space="preserve"> </w:t>
      </w:r>
      <w:r>
        <w:rPr>
          <w:rFonts w:eastAsia="Calibri"/>
          <w:b/>
          <w:bCs/>
          <w:u w:val="single"/>
        </w:rPr>
        <w:t xml:space="preserve">explicitly </w:t>
      </w:r>
      <w:r>
        <w:rPr>
          <w:rFonts w:eastAsia="Calibri"/>
          <w:b/>
          <w:bCs/>
          <w:highlight w:val="green"/>
          <w:u w:val="single"/>
        </w:rPr>
        <w:t>granted</w:t>
      </w:r>
      <w:r>
        <w:rPr>
          <w:rFonts w:eastAsia="Calibri"/>
          <w:highlight w:val="green"/>
          <w:u w:val="single"/>
        </w:rPr>
        <w:t xml:space="preserve"> legislative</w:t>
      </w:r>
      <w:r>
        <w:rPr>
          <w:rFonts w:eastAsia="Calibri"/>
          <w:u w:val="single"/>
        </w:rPr>
        <w:t xml:space="preserve"> style </w:t>
      </w:r>
      <w:r>
        <w:rPr>
          <w:rFonts w:eastAsia="Calibri"/>
          <w:highlight w:val="green"/>
          <w:u w:val="single"/>
        </w:rPr>
        <w:t>rulemaking authority</w:t>
      </w:r>
      <w:r>
        <w:rPr>
          <w:rFonts w:eastAsia="Calibri"/>
          <w:u w:val="single"/>
        </w:rPr>
        <w:t xml:space="preserve"> to the FTC related to either prong of its core </w:t>
      </w:r>
      <w:r>
        <w:rPr>
          <w:rFonts w:eastAsia="Calibri"/>
          <w:b/>
          <w:bCs/>
          <w:u w:val="single"/>
        </w:rPr>
        <w:t>legislative mandate</w:t>
      </w:r>
      <w:r>
        <w:rPr>
          <w:rFonts w:eastAsia="Calibri"/>
          <w:u w:val="single"/>
        </w:rPr>
        <w:t>.</w:t>
      </w:r>
    </w:p>
    <w:p w14:paraId="681F26D5" w14:textId="77777777" w:rsidR="005D35B6" w:rsidRPr="001A648D" w:rsidRDefault="005D35B6" w:rsidP="005D35B6">
      <w:pPr>
        <w:rPr>
          <w:rFonts w:eastAsia="Calibri"/>
          <w:b/>
          <w:bCs/>
          <w:u w:val="single"/>
        </w:rPr>
      </w:pPr>
      <w:r w:rsidRPr="001A648D">
        <w:rPr>
          <w:rFonts w:eastAsia="Calibri"/>
          <w:b/>
          <w:bCs/>
          <w:highlight w:val="magenta"/>
          <w:u w:val="single"/>
        </w:rPr>
        <w:t>Congress has only provided the FTC explicit, but limited rulemaking authority for unfair and deceptive acts and practices through specific procedures commonly referred to as “Magnuson-Moss authority”.</w:t>
      </w:r>
    </w:p>
    <w:p w14:paraId="0E21A9DA" w14:textId="77777777" w:rsidR="005D35B6" w:rsidRDefault="005D35B6" w:rsidP="005D35B6">
      <w:pPr>
        <w:rPr>
          <w:rFonts w:eastAsia="Calibri"/>
          <w:sz w:val="16"/>
          <w:szCs w:val="16"/>
        </w:rPr>
      </w:pPr>
      <w:r>
        <w:rPr>
          <w:rFonts w:eastAsia="Calibri"/>
          <w:u w:val="single"/>
        </w:rPr>
        <w:t xml:space="preserve">Congress has </w:t>
      </w:r>
      <w:r>
        <w:rPr>
          <w:rFonts w:eastAsia="Calibri"/>
          <w:b/>
          <w:bCs/>
          <w:u w:val="single"/>
        </w:rPr>
        <w:t>made no grant</w:t>
      </w:r>
      <w:r>
        <w:rPr>
          <w:rFonts w:eastAsia="Calibri"/>
          <w:u w:val="single"/>
        </w:rPr>
        <w:t xml:space="preserve"> for unfair methods of competition rulemaking</w:t>
      </w:r>
      <w:r>
        <w:rPr>
          <w:rFonts w:eastAsia="Calibri"/>
          <w:sz w:val="16"/>
          <w:szCs w:val="16"/>
        </w:rPr>
        <w:t xml:space="preserve">, </w:t>
      </w:r>
      <w:r>
        <w:rPr>
          <w:rFonts w:eastAsia="Calibri"/>
          <w:u w:val="single"/>
        </w:rPr>
        <w:t xml:space="preserve">instead empowering FTC to </w:t>
      </w:r>
      <w:r>
        <w:rPr>
          <w:rFonts w:eastAsia="Calibri"/>
          <w:b/>
          <w:bCs/>
          <w:u w:val="single"/>
        </w:rPr>
        <w:t>exclusively</w:t>
      </w:r>
      <w:r>
        <w:rPr>
          <w:rFonts w:eastAsia="Calibri"/>
          <w:u w:val="single"/>
        </w:rPr>
        <w:t xml:space="preserve"> undertake </w:t>
      </w:r>
      <w:r>
        <w:rPr>
          <w:rFonts w:eastAsia="Calibri"/>
          <w:b/>
          <w:bCs/>
          <w:u w:val="single"/>
        </w:rPr>
        <w:t>case-by-case</w:t>
      </w:r>
      <w:r>
        <w:rPr>
          <w:rFonts w:eastAsia="Calibri"/>
          <w:u w:val="single"/>
        </w:rPr>
        <w:t xml:space="preserve"> administrative </w:t>
      </w:r>
      <w:r>
        <w:rPr>
          <w:rFonts w:eastAsia="Calibri"/>
          <w:b/>
          <w:bCs/>
          <w:u w:val="single"/>
        </w:rPr>
        <w:t>adjudication</w:t>
      </w:r>
      <w:r>
        <w:rPr>
          <w:rFonts w:eastAsia="Calibri"/>
          <w:sz w:val="16"/>
          <w:szCs w:val="16"/>
        </w:rPr>
        <w:t xml:space="preserve"> of competition cases to shape the law.</w:t>
      </w:r>
    </w:p>
    <w:p w14:paraId="3C7DB5F6" w14:textId="77777777" w:rsidR="005D35B6" w:rsidRDefault="005D35B6" w:rsidP="005D35B6">
      <w:pPr>
        <w:rPr>
          <w:rFonts w:eastAsia="Calibri"/>
          <w:sz w:val="16"/>
          <w:szCs w:val="16"/>
        </w:rPr>
      </w:pPr>
      <w:r>
        <w:rPr>
          <w:rFonts w:eastAsia="Calibri"/>
          <w:u w:val="single"/>
        </w:rPr>
        <w:t xml:space="preserve">Efforts by the agency to engage in </w:t>
      </w:r>
      <w:r>
        <w:rPr>
          <w:rFonts w:eastAsia="Calibri"/>
          <w:b/>
          <w:bCs/>
          <w:u w:val="single"/>
        </w:rPr>
        <w:t>competition rulemaking</w:t>
      </w:r>
      <w:r>
        <w:rPr>
          <w:rFonts w:eastAsia="Calibri"/>
          <w:u w:val="single"/>
        </w:rPr>
        <w:t xml:space="preserve"> </w:t>
      </w:r>
      <w:r>
        <w:rPr>
          <w:rFonts w:eastAsia="Calibri"/>
          <w:highlight w:val="green"/>
          <w:u w:val="single"/>
        </w:rPr>
        <w:t>ignore</w:t>
      </w:r>
      <w:r>
        <w:rPr>
          <w:rFonts w:eastAsia="Calibri"/>
          <w:u w:val="single"/>
        </w:rPr>
        <w:t xml:space="preserve"> the </w:t>
      </w:r>
      <w:r>
        <w:rPr>
          <w:rFonts w:eastAsia="Calibri"/>
          <w:b/>
          <w:bCs/>
          <w:u w:val="single"/>
        </w:rPr>
        <w:t xml:space="preserve">clear </w:t>
      </w:r>
      <w:r>
        <w:rPr>
          <w:rFonts w:eastAsia="Calibri"/>
          <w:b/>
          <w:bCs/>
          <w:highlight w:val="green"/>
          <w:u w:val="single"/>
        </w:rPr>
        <w:t>limits</w:t>
      </w:r>
      <w:r>
        <w:rPr>
          <w:rFonts w:eastAsia="Calibri"/>
          <w:highlight w:val="green"/>
          <w:u w:val="single"/>
        </w:rPr>
        <w:t xml:space="preserve"> of</w:t>
      </w:r>
      <w:r>
        <w:rPr>
          <w:rFonts w:eastAsia="Calibri"/>
          <w:u w:val="single"/>
        </w:rPr>
        <w:t xml:space="preserve"> its </w:t>
      </w:r>
      <w:r>
        <w:rPr>
          <w:rFonts w:eastAsia="Calibri"/>
          <w:b/>
          <w:bCs/>
          <w:highlight w:val="green"/>
          <w:u w:val="single"/>
        </w:rPr>
        <w:t>statutory authority</w:t>
      </w:r>
      <w:r>
        <w:rPr>
          <w:rFonts w:eastAsia="Calibri"/>
          <w:u w:val="single"/>
        </w:rPr>
        <w:t>.</w:t>
      </w:r>
      <w:r>
        <w:rPr>
          <w:rFonts w:eastAsia="Calibri"/>
          <w:sz w:val="16"/>
          <w:szCs w:val="16"/>
        </w:rPr>
        <w:t xml:space="preserve"> The agency would be better served to be mindful of its history and make effective use of its ability to prosecute unfair methods of competition on a case-by-case basis.</w:t>
      </w:r>
    </w:p>
    <w:p w14:paraId="3DBA66D3" w14:textId="6ED15438" w:rsidR="005D35B6" w:rsidRDefault="00662988" w:rsidP="00662988">
      <w:pPr>
        <w:pStyle w:val="Heading4"/>
        <w:rPr>
          <w:rFonts w:eastAsia="Calibri" w:cs="Calibri"/>
        </w:rPr>
      </w:pPr>
      <w:r>
        <w:rPr>
          <w:rFonts w:eastAsia="Calibri"/>
        </w:rPr>
        <w:lastRenderedPageBreak/>
        <w:t xml:space="preserve">4---No impact scenario read. It just asserts that “US lead is key” but that artificial superintelligence causes </w:t>
      </w:r>
      <w:proofErr w:type="spellStart"/>
      <w:r>
        <w:rPr>
          <w:rFonts w:eastAsia="Calibri"/>
        </w:rPr>
        <w:t>robo</w:t>
      </w:r>
      <w:proofErr w:type="spellEnd"/>
      <w:r>
        <w:rPr>
          <w:rFonts w:eastAsia="Calibri"/>
        </w:rPr>
        <w:t>-armies and nuclear submarines which causes global war.</w:t>
      </w:r>
      <w:r w:rsidR="00665211">
        <w:rPr>
          <w:rFonts w:eastAsia="Calibri"/>
        </w:rPr>
        <w:t xml:space="preserve"> The FTC can’t regulate AI in places like China and Russia.</w:t>
      </w:r>
    </w:p>
    <w:p w14:paraId="34A84DF8" w14:textId="603DC299" w:rsidR="00554A3C" w:rsidRPr="006C277E" w:rsidRDefault="00554A3C" w:rsidP="00554A3C">
      <w:pPr>
        <w:pStyle w:val="Heading4"/>
        <w:rPr>
          <w:rFonts w:eastAsia="Times New Roman"/>
          <w:b w:val="0"/>
          <w:bCs/>
        </w:rPr>
      </w:pPr>
      <w:r>
        <w:t>5---</w:t>
      </w:r>
      <w:r w:rsidRPr="005437CC">
        <w:rPr>
          <w:rFonts w:eastAsia="Times New Roman"/>
          <w:u w:val="single"/>
        </w:rPr>
        <w:t>Antitrust</w:t>
      </w:r>
      <w:r w:rsidRPr="005437CC">
        <w:rPr>
          <w:rFonts w:eastAsia="Times New Roman"/>
        </w:rPr>
        <w:t xml:space="preserve"> enforcement </w:t>
      </w:r>
      <w:r w:rsidRPr="005437CC">
        <w:rPr>
          <w:rFonts w:eastAsia="Times New Roman"/>
          <w:u w:val="single"/>
        </w:rPr>
        <w:t>guarantees</w:t>
      </w:r>
      <w:r w:rsidRPr="005437CC">
        <w:rPr>
          <w:rFonts w:eastAsia="Times New Roman"/>
        </w:rPr>
        <w:t xml:space="preserve"> Chinese lead---it </w:t>
      </w:r>
      <w:r w:rsidRPr="005437CC">
        <w:rPr>
          <w:rFonts w:eastAsia="Times New Roman"/>
          <w:u w:val="single"/>
        </w:rPr>
        <w:t>dismantles</w:t>
      </w:r>
      <w:r w:rsidRPr="005437CC">
        <w:rPr>
          <w:rFonts w:eastAsia="Times New Roman"/>
        </w:rPr>
        <w:t xml:space="preserve"> the </w:t>
      </w:r>
      <w:r w:rsidRPr="005437CC">
        <w:rPr>
          <w:rFonts w:eastAsia="Times New Roman"/>
          <w:u w:val="single"/>
        </w:rPr>
        <w:t>domestic tech</w:t>
      </w:r>
      <w:r w:rsidRPr="005437CC">
        <w:rPr>
          <w:rFonts w:eastAsia="Times New Roman"/>
        </w:rPr>
        <w:t xml:space="preserve"> system.</w:t>
      </w:r>
      <w:r w:rsidR="006C277E">
        <w:rPr>
          <w:rFonts w:eastAsia="Times New Roman"/>
        </w:rPr>
        <w:t xml:space="preserve"> </w:t>
      </w:r>
      <w:r w:rsidR="006C277E">
        <w:rPr>
          <w:rFonts w:eastAsia="Times New Roman"/>
          <w:b w:val="0"/>
          <w:bCs/>
        </w:rPr>
        <w:t>Larger in scope than AI</w:t>
      </w:r>
    </w:p>
    <w:p w14:paraId="37C400E8" w14:textId="77777777" w:rsidR="00554A3C" w:rsidRPr="005437CC" w:rsidRDefault="00554A3C" w:rsidP="00554A3C">
      <w:pPr>
        <w:rPr>
          <w:rFonts w:eastAsia="Calibri"/>
        </w:rPr>
      </w:pPr>
      <w:r w:rsidRPr="005437CC">
        <w:rPr>
          <w:rFonts w:eastAsia="Calibri"/>
          <w:b/>
          <w:bCs/>
          <w:sz w:val="26"/>
        </w:rPr>
        <w:t>Barnett ’24</w:t>
      </w:r>
      <w:r w:rsidRPr="005437CC">
        <w:rPr>
          <w:rFonts w:eastAsia="Calibri"/>
        </w:rPr>
        <w:t xml:space="preserve"> [Jonathan; February 8; Torrey H. Webb Professor of Law at the University of Southern California, J.D. from Yale University; Center for Strategic and International Studies, “How Regulators Endanger U.S. and EU Technology Leadership in the Global Wireless Marketplace,” </w:t>
      </w:r>
      <w:hyperlink r:id="rId8" w:history="1">
        <w:r w:rsidRPr="009952CF">
          <w:rPr>
            <w:rStyle w:val="Hyperlink"/>
            <w:rFonts w:eastAsia="Calibri"/>
          </w:rPr>
          <w:t>https://www.csis.org/blogs/perspectives-innovation/how-regulators-endanger-us-and-eu-technology-leadership-global</w:t>
        </w:r>
      </w:hyperlink>
      <w:r w:rsidRPr="005437CC">
        <w:rPr>
          <w:rFonts w:eastAsia="Calibri"/>
        </w:rPr>
        <w:t>]</w:t>
      </w:r>
      <w:r>
        <w:rPr>
          <w:rFonts w:eastAsia="Calibri"/>
        </w:rPr>
        <w:t xml:space="preserve"> manan</w:t>
      </w:r>
    </w:p>
    <w:p w14:paraId="756387A4" w14:textId="77777777" w:rsidR="00554A3C" w:rsidRPr="005437CC" w:rsidRDefault="00554A3C" w:rsidP="00554A3C">
      <w:pPr>
        <w:rPr>
          <w:rFonts w:eastAsia="Calibri"/>
          <w:sz w:val="16"/>
        </w:rPr>
      </w:pPr>
      <w:r w:rsidRPr="005437CC">
        <w:rPr>
          <w:rFonts w:eastAsia="Calibri"/>
          <w:sz w:val="16"/>
        </w:rPr>
        <w:t xml:space="preserve">Policymakers across the political spectrum recognize the </w:t>
      </w:r>
      <w:r w:rsidRPr="00C83506">
        <w:rPr>
          <w:rFonts w:eastAsia="Calibri"/>
          <w:highlight w:val="cyan"/>
          <w:u w:val="single"/>
        </w:rPr>
        <w:t xml:space="preserve">vital </w:t>
      </w:r>
      <w:r w:rsidRPr="00C83506">
        <w:rPr>
          <w:rFonts w:eastAsia="Calibri"/>
          <w:b/>
          <w:iCs/>
          <w:highlight w:val="cyan"/>
          <w:u w:val="single"/>
          <w:bdr w:val="single" w:sz="8" w:space="0" w:color="auto"/>
        </w:rPr>
        <w:t>importance</w:t>
      </w:r>
      <w:r w:rsidRPr="00C83506">
        <w:rPr>
          <w:rFonts w:eastAsia="Calibri"/>
          <w:highlight w:val="cyan"/>
          <w:u w:val="single"/>
        </w:rPr>
        <w:t xml:space="preserve"> of</w:t>
      </w:r>
      <w:r w:rsidRPr="005437CC">
        <w:rPr>
          <w:rFonts w:eastAsia="Calibri"/>
          <w:u w:val="single"/>
        </w:rPr>
        <w:t xml:space="preserve"> maintaining the </w:t>
      </w:r>
      <w:r w:rsidRPr="00C83506">
        <w:rPr>
          <w:rFonts w:eastAsia="Calibri"/>
          <w:b/>
          <w:iCs/>
          <w:highlight w:val="cyan"/>
          <w:u w:val="single"/>
          <w:bdr w:val="single" w:sz="8" w:space="0" w:color="auto"/>
        </w:rPr>
        <w:t>tech</w:t>
      </w:r>
      <w:r w:rsidRPr="005437CC">
        <w:rPr>
          <w:rFonts w:eastAsia="Calibri"/>
          <w:b/>
          <w:iCs/>
          <w:u w:val="single"/>
          <w:bdr w:val="single" w:sz="8" w:space="0" w:color="auto"/>
        </w:rPr>
        <w:t xml:space="preserve">nological </w:t>
      </w:r>
      <w:r w:rsidRPr="00C83506">
        <w:rPr>
          <w:rFonts w:eastAsia="Calibri"/>
          <w:b/>
          <w:iCs/>
          <w:highlight w:val="cyan"/>
          <w:u w:val="single"/>
          <w:bdr w:val="single" w:sz="8" w:space="0" w:color="auto"/>
        </w:rPr>
        <w:t>lead</w:t>
      </w:r>
      <w:r w:rsidRPr="005437CC">
        <w:rPr>
          <w:rFonts w:eastAsia="Calibri"/>
          <w:b/>
          <w:iCs/>
          <w:u w:val="single"/>
          <w:bdr w:val="single" w:sz="8" w:space="0" w:color="auto"/>
        </w:rPr>
        <w:t>ership</w:t>
      </w:r>
      <w:r w:rsidRPr="00C83506">
        <w:rPr>
          <w:rFonts w:eastAsia="Calibri"/>
          <w:highlight w:val="cyan"/>
          <w:u w:val="single"/>
        </w:rPr>
        <w:t xml:space="preserve"> </w:t>
      </w:r>
      <w:r w:rsidRPr="005437CC">
        <w:rPr>
          <w:rFonts w:eastAsia="Calibri"/>
          <w:u w:val="single"/>
        </w:rPr>
        <w:t xml:space="preserve">of the </w:t>
      </w:r>
      <w:r w:rsidRPr="005437CC">
        <w:rPr>
          <w:rFonts w:eastAsia="Calibri"/>
          <w:b/>
          <w:iCs/>
          <w:u w:val="single"/>
          <w:bdr w:val="single" w:sz="8" w:space="0" w:color="auto"/>
        </w:rPr>
        <w:t>U</w:t>
      </w:r>
      <w:r w:rsidRPr="005437CC">
        <w:rPr>
          <w:rFonts w:eastAsia="Calibri"/>
          <w:sz w:val="16"/>
        </w:rPr>
        <w:t xml:space="preserve">nited </w:t>
      </w:r>
      <w:r w:rsidRPr="005437CC">
        <w:rPr>
          <w:rFonts w:eastAsia="Calibri"/>
          <w:b/>
          <w:iCs/>
          <w:u w:val="single"/>
          <w:bdr w:val="single" w:sz="8" w:space="0" w:color="auto"/>
        </w:rPr>
        <w:t>S</w:t>
      </w:r>
      <w:r w:rsidRPr="005437CC">
        <w:rPr>
          <w:rFonts w:eastAsia="Calibri"/>
          <w:sz w:val="16"/>
        </w:rPr>
        <w:t xml:space="preserve">tates and other liberal democracies in the semiconductor industry. Semiconductors are a mission-critical technology that supports a broad range of industries, including computing, communications, automotive, defense, and many more. In the wireless communications industry, the leadership position of liberal democracies in semiconductors </w:t>
      </w:r>
      <w:r w:rsidRPr="00C83506">
        <w:rPr>
          <w:rFonts w:eastAsia="Calibri"/>
          <w:b/>
          <w:iCs/>
          <w:highlight w:val="cyan"/>
          <w:u w:val="single"/>
          <w:bdr w:val="single" w:sz="8" w:space="0" w:color="auto"/>
        </w:rPr>
        <w:t>depends</w:t>
      </w:r>
      <w:r w:rsidRPr="00C83506">
        <w:rPr>
          <w:rFonts w:eastAsia="Calibri"/>
          <w:highlight w:val="cyan"/>
          <w:u w:val="single"/>
        </w:rPr>
        <w:t xml:space="preserve"> on</w:t>
      </w:r>
      <w:r w:rsidRPr="005437CC">
        <w:rPr>
          <w:rFonts w:eastAsia="Calibri"/>
          <w:u w:val="single"/>
        </w:rPr>
        <w:t xml:space="preserve"> billions of </w:t>
      </w:r>
      <w:r w:rsidRPr="005437CC">
        <w:rPr>
          <w:rFonts w:eastAsia="Calibri"/>
          <w:b/>
          <w:iCs/>
          <w:u w:val="single"/>
          <w:bdr w:val="single" w:sz="8" w:space="0" w:color="auto"/>
        </w:rPr>
        <w:t>dollars</w:t>
      </w:r>
      <w:r w:rsidRPr="005437CC">
        <w:rPr>
          <w:rFonts w:eastAsia="Calibri"/>
          <w:u w:val="single"/>
        </w:rPr>
        <w:t xml:space="preserve"> of investments in </w:t>
      </w:r>
      <w:r w:rsidRPr="00C83506">
        <w:rPr>
          <w:rFonts w:eastAsia="Calibri"/>
          <w:b/>
          <w:iCs/>
          <w:highlight w:val="cyan"/>
          <w:u w:val="single"/>
          <w:bdr w:val="single" w:sz="8" w:space="0" w:color="auto"/>
        </w:rPr>
        <w:t>r</w:t>
      </w:r>
      <w:r w:rsidRPr="005437CC">
        <w:rPr>
          <w:rFonts w:eastAsia="Calibri"/>
          <w:sz w:val="16"/>
        </w:rPr>
        <w:t xml:space="preserve">esearch </w:t>
      </w:r>
      <w:r w:rsidRPr="00C83506">
        <w:rPr>
          <w:rFonts w:eastAsia="Calibri"/>
          <w:b/>
          <w:iCs/>
          <w:highlight w:val="cyan"/>
          <w:u w:val="single"/>
          <w:bdr w:val="single" w:sz="8" w:space="0" w:color="auto"/>
        </w:rPr>
        <w:t>and d</w:t>
      </w:r>
      <w:r w:rsidRPr="005437CC">
        <w:rPr>
          <w:rFonts w:eastAsia="Calibri"/>
          <w:sz w:val="16"/>
        </w:rPr>
        <w:t xml:space="preserve">evelopment </w:t>
      </w:r>
      <w:r w:rsidRPr="00C83506">
        <w:rPr>
          <w:rFonts w:eastAsia="Calibri"/>
          <w:highlight w:val="cyan"/>
          <w:u w:val="single"/>
        </w:rPr>
        <w:t>by</w:t>
      </w:r>
      <w:r w:rsidRPr="005437CC">
        <w:rPr>
          <w:rFonts w:eastAsia="Calibri"/>
          <w:u w:val="single"/>
        </w:rPr>
        <w:t xml:space="preserve"> a </w:t>
      </w:r>
      <w:r w:rsidRPr="005437CC">
        <w:rPr>
          <w:rFonts w:eastAsia="Calibri"/>
          <w:b/>
          <w:iCs/>
          <w:u w:val="single"/>
          <w:bdr w:val="single" w:sz="8" w:space="0" w:color="auto"/>
        </w:rPr>
        <w:t>small group</w:t>
      </w:r>
      <w:r w:rsidRPr="005437CC">
        <w:rPr>
          <w:rFonts w:eastAsia="Calibri"/>
          <w:u w:val="single"/>
        </w:rPr>
        <w:t xml:space="preserve"> of </w:t>
      </w:r>
      <w:r w:rsidRPr="00C83506">
        <w:rPr>
          <w:rFonts w:eastAsia="Calibri"/>
          <w:b/>
          <w:iCs/>
          <w:highlight w:val="cyan"/>
          <w:u w:val="single"/>
          <w:bdr w:val="single" w:sz="8" w:space="0" w:color="auto"/>
        </w:rPr>
        <w:t>companies</w:t>
      </w:r>
      <w:r w:rsidRPr="00C83506">
        <w:rPr>
          <w:rFonts w:eastAsia="Calibri"/>
          <w:highlight w:val="cyan"/>
          <w:u w:val="single"/>
        </w:rPr>
        <w:t xml:space="preserve"> that specialize in </w:t>
      </w:r>
      <w:r w:rsidRPr="00C83506">
        <w:rPr>
          <w:rFonts w:eastAsia="Calibri"/>
          <w:b/>
          <w:iCs/>
          <w:highlight w:val="cyan"/>
          <w:u w:val="single"/>
          <w:bdr w:val="single" w:sz="8" w:space="0" w:color="auto"/>
        </w:rPr>
        <w:t>wireless comm</w:t>
      </w:r>
      <w:r w:rsidRPr="005437CC">
        <w:rPr>
          <w:rFonts w:eastAsia="Calibri"/>
          <w:u w:val="single"/>
        </w:rPr>
        <w:t>unication</w:t>
      </w:r>
      <w:r w:rsidRPr="00C83506">
        <w:rPr>
          <w:rFonts w:eastAsia="Calibri"/>
          <w:b/>
          <w:iCs/>
          <w:highlight w:val="cyan"/>
          <w:u w:val="single"/>
          <w:bdr w:val="single" w:sz="8" w:space="0" w:color="auto"/>
        </w:rPr>
        <w:t>s</w:t>
      </w:r>
      <w:r w:rsidRPr="005437CC">
        <w:rPr>
          <w:rFonts w:eastAsia="Calibri"/>
          <w:sz w:val="16"/>
        </w:rPr>
        <w:t xml:space="preserve">. As shown in a 2022 report by the U.S. Patent &amp; Trademark Office (USPTO), the most active contributors to the development of 5G wireless communications are located in the U.S., Europe, and South Korea, with the exception of Huawei in China. </w:t>
      </w:r>
    </w:p>
    <w:p w14:paraId="065783BC" w14:textId="77777777" w:rsidR="00554A3C" w:rsidRPr="005437CC" w:rsidRDefault="00554A3C" w:rsidP="00554A3C">
      <w:pPr>
        <w:rPr>
          <w:rFonts w:eastAsia="Calibri"/>
          <w:sz w:val="16"/>
        </w:rPr>
      </w:pPr>
      <w:r w:rsidRPr="005437CC">
        <w:rPr>
          <w:rFonts w:eastAsia="Calibri"/>
          <w:u w:val="single"/>
        </w:rPr>
        <w:t xml:space="preserve">Many of those </w:t>
      </w:r>
      <w:r w:rsidRPr="00C83506">
        <w:rPr>
          <w:rFonts w:eastAsia="Calibri"/>
          <w:highlight w:val="cyan"/>
          <w:u w:val="single"/>
        </w:rPr>
        <w:t xml:space="preserve">companies </w:t>
      </w:r>
      <w:r w:rsidRPr="00C83506">
        <w:rPr>
          <w:rFonts w:eastAsia="Calibri"/>
          <w:b/>
          <w:iCs/>
          <w:highlight w:val="cyan"/>
          <w:u w:val="single"/>
          <w:bdr w:val="single" w:sz="8" w:space="0" w:color="auto"/>
        </w:rPr>
        <w:t>monetize innovation</w:t>
      </w:r>
      <w:r w:rsidRPr="00C83506">
        <w:rPr>
          <w:rFonts w:eastAsia="Calibri"/>
          <w:highlight w:val="cyan"/>
          <w:u w:val="single"/>
        </w:rPr>
        <w:t xml:space="preserve"> through</w:t>
      </w:r>
      <w:r w:rsidRPr="005437CC">
        <w:rPr>
          <w:rFonts w:eastAsia="Calibri"/>
          <w:u w:val="single"/>
        </w:rPr>
        <w:t xml:space="preserve"> a </w:t>
      </w:r>
      <w:r w:rsidRPr="00C83506">
        <w:rPr>
          <w:rFonts w:eastAsia="Calibri"/>
          <w:b/>
          <w:iCs/>
          <w:highlight w:val="cyan"/>
          <w:u w:val="single"/>
          <w:bdr w:val="single" w:sz="8" w:space="0" w:color="auto"/>
        </w:rPr>
        <w:t>licensing</w:t>
      </w:r>
      <w:r w:rsidRPr="005437CC">
        <w:rPr>
          <w:rFonts w:eastAsia="Calibri"/>
          <w:u w:val="single"/>
        </w:rPr>
        <w:t xml:space="preserve">-based business </w:t>
      </w:r>
      <w:r w:rsidRPr="00C83506">
        <w:rPr>
          <w:rFonts w:eastAsia="Calibri"/>
          <w:b/>
          <w:iCs/>
          <w:highlight w:val="cyan"/>
          <w:u w:val="single"/>
          <w:bdr w:val="single" w:sz="8" w:space="0" w:color="auto"/>
        </w:rPr>
        <w:t>model</w:t>
      </w:r>
      <w:r w:rsidRPr="005437CC">
        <w:rPr>
          <w:rFonts w:eastAsia="Calibri"/>
          <w:sz w:val="16"/>
        </w:rPr>
        <w:t xml:space="preserve"> that disseminates wireless technologies among device producers around the world, promoting the adoption of technology standards that support interoperability in digital markets. The licensing model is anchored in a patent portfolio that generates a royalty stream to fund continuous investment in innovation in advance of each new generation of wireless technology. This began with the launch of 2G technology in the early 1990s that enabled voice and text messaging and has </w:t>
      </w:r>
      <w:r w:rsidRPr="00C83506">
        <w:rPr>
          <w:rFonts w:eastAsia="Calibri"/>
          <w:b/>
          <w:iCs/>
          <w:highlight w:val="cyan"/>
          <w:u w:val="single"/>
          <w:bdr w:val="single" w:sz="8" w:space="0" w:color="auto"/>
        </w:rPr>
        <w:t>progressed</w:t>
      </w:r>
      <w:r w:rsidRPr="00C83506">
        <w:rPr>
          <w:rFonts w:eastAsia="Calibri"/>
          <w:highlight w:val="cyan"/>
          <w:u w:val="single"/>
        </w:rPr>
        <w:t xml:space="preserve"> to</w:t>
      </w:r>
      <w:r w:rsidRPr="005437CC">
        <w:rPr>
          <w:rFonts w:eastAsia="Calibri"/>
          <w:u w:val="single"/>
        </w:rPr>
        <w:t xml:space="preserve"> the current deployment of </w:t>
      </w:r>
      <w:r w:rsidRPr="00C83506">
        <w:rPr>
          <w:rFonts w:eastAsia="Calibri"/>
          <w:b/>
          <w:iCs/>
          <w:highlight w:val="cyan"/>
          <w:u w:val="single"/>
          <w:bdr w:val="single" w:sz="8" w:space="0" w:color="auto"/>
        </w:rPr>
        <w:t>5G</w:t>
      </w:r>
      <w:r w:rsidRPr="005437CC">
        <w:rPr>
          <w:rFonts w:eastAsia="Calibri"/>
          <w:b/>
          <w:iCs/>
          <w:u w:val="single"/>
          <w:bdr w:val="single" w:sz="8" w:space="0" w:color="auto"/>
        </w:rPr>
        <w:t xml:space="preserve"> technologies</w:t>
      </w:r>
      <w:r w:rsidRPr="005437CC">
        <w:rPr>
          <w:rFonts w:eastAsia="Calibri"/>
          <w:sz w:val="16"/>
        </w:rPr>
        <w:t xml:space="preserve"> that can transmit rich streams of information across user-to-user, business-to-user, and machine-to-machine connections in the emergent Internet of Things (IoT). </w:t>
      </w:r>
    </w:p>
    <w:p w14:paraId="66657F03" w14:textId="77777777" w:rsidR="00554A3C" w:rsidRPr="005437CC" w:rsidRDefault="00554A3C" w:rsidP="00554A3C">
      <w:pPr>
        <w:rPr>
          <w:rFonts w:eastAsia="Calibri"/>
          <w:sz w:val="16"/>
        </w:rPr>
      </w:pPr>
      <w:r w:rsidRPr="005437CC">
        <w:rPr>
          <w:rFonts w:eastAsia="Calibri"/>
          <w:sz w:val="16"/>
        </w:rPr>
        <w:t>This licensing-based model for commercializing innovation has sustained the worldwide deployment of wireless technologies and, as I and other contributors explore in a recently published book on innovation and competition policy in the 5G wireless ecosystem, has the promise to do so again in the IoT.</w:t>
      </w:r>
    </w:p>
    <w:p w14:paraId="5EC68D60" w14:textId="77777777" w:rsidR="00554A3C" w:rsidRPr="005437CC" w:rsidRDefault="00554A3C" w:rsidP="00554A3C">
      <w:pPr>
        <w:rPr>
          <w:rFonts w:eastAsia="Calibri"/>
          <w:sz w:val="16"/>
        </w:rPr>
      </w:pPr>
      <w:r w:rsidRPr="005437CC">
        <w:rPr>
          <w:rFonts w:eastAsia="Calibri"/>
          <w:sz w:val="16"/>
        </w:rPr>
        <w:t>The People’s Republic of China (PRC) has made extensive efforts to achieve technological parity and independence in wireless communications technology. Congressional reports and federal agencies have documented how PRC government entities and PRC-based companies have sought to close the technology gap in semiconductors and other strategic sectors through internal R&amp;D, mandatory and quasi-mandatory technology transfer, patent infringement, or trade-secret theft and other forms of industrial espionage. Notwithstanding these efforts, it appears that PRC-based producers of mobile communications devices have remained at least partially dependent on the wireless technologies developed by leading chip-design firms based in the U.S. and Europe.</w:t>
      </w:r>
    </w:p>
    <w:p w14:paraId="022A7C50" w14:textId="77777777" w:rsidR="00554A3C" w:rsidRPr="005437CC" w:rsidRDefault="00554A3C" w:rsidP="00554A3C">
      <w:pPr>
        <w:rPr>
          <w:rFonts w:eastAsia="Calibri"/>
          <w:sz w:val="16"/>
        </w:rPr>
      </w:pPr>
      <w:r w:rsidRPr="005437CC">
        <w:rPr>
          <w:rFonts w:eastAsia="Calibri"/>
          <w:sz w:val="16"/>
        </w:rPr>
        <w:t xml:space="preserve">The recent article in the Berkeley Technology Law Journal documents and analyzes the strategies undertaken by the PRC to correct its negative “IP balance of trade” in wireless technology through the institutional apparatus of competition and patent law. The highest levels of PRC leadership have called on the country’s courts and regulators to deploy intellectual property law for purposes of securing geopolitical advantage in the global marketplace. Speaking in 2020 to Chinese Community Party leaders, President Xi Jinping reportedly stated: “Intellectual property is a core factor for competitiveness on the international stage, as well as a focal point of international dispute. We need to have the courage and the capacity to stand up for ourselves.” </w:t>
      </w:r>
    </w:p>
    <w:p w14:paraId="32EFB3C6" w14:textId="77777777" w:rsidR="00554A3C" w:rsidRPr="005437CC" w:rsidRDefault="00554A3C" w:rsidP="00554A3C">
      <w:pPr>
        <w:rPr>
          <w:rFonts w:eastAsia="Calibri"/>
          <w:sz w:val="16"/>
        </w:rPr>
      </w:pPr>
      <w:r w:rsidRPr="005437CC">
        <w:rPr>
          <w:rFonts w:eastAsia="Calibri"/>
          <w:sz w:val="16"/>
        </w:rPr>
        <w:t xml:space="preserve">PRC courts and regulators have taken actions consistent with these geopolitical objectives. </w:t>
      </w:r>
    </w:p>
    <w:p w14:paraId="30D07AF0" w14:textId="77777777" w:rsidR="00554A3C" w:rsidRPr="005437CC" w:rsidRDefault="00554A3C" w:rsidP="00554A3C">
      <w:pPr>
        <w:rPr>
          <w:rFonts w:eastAsia="Calibri"/>
          <w:sz w:val="16"/>
        </w:rPr>
      </w:pPr>
      <w:r w:rsidRPr="005437CC">
        <w:rPr>
          <w:rFonts w:eastAsia="Calibri"/>
          <w:sz w:val="16"/>
        </w:rPr>
        <w:t>Unconstrained by separation-of-powers or rule-of-law principles, PRC courts and regulators have implemented policies that tend to depress the royalty rates owed by local device producers to foreign chip suppliers and other holders of wireless technologies. These legally determined royalty rates impact market-determined royalty rates negotiated in the shadow of potential judicial or regulatory intervention. Given the size of the China market, these actions can distort pricing in a global market representing billions of dollars annually in IP payment flows. This is mercantilism in the guise of competition law.</w:t>
      </w:r>
    </w:p>
    <w:p w14:paraId="49092905" w14:textId="77777777" w:rsidR="00554A3C" w:rsidRPr="005437CC" w:rsidRDefault="00554A3C" w:rsidP="00554A3C">
      <w:pPr>
        <w:rPr>
          <w:rFonts w:eastAsia="Calibri"/>
          <w:sz w:val="16"/>
        </w:rPr>
      </w:pPr>
      <w:r w:rsidRPr="005437CC">
        <w:rPr>
          <w:rFonts w:eastAsia="Calibri"/>
          <w:sz w:val="16"/>
        </w:rPr>
        <w:lastRenderedPageBreak/>
        <w:t>How A False Regulatory Narrative Inspired China’s Antitrust Mercantilism</w:t>
      </w:r>
    </w:p>
    <w:p w14:paraId="7F778ADD" w14:textId="77777777" w:rsidR="00554A3C" w:rsidRPr="005437CC" w:rsidRDefault="00554A3C" w:rsidP="00554A3C">
      <w:pPr>
        <w:rPr>
          <w:rFonts w:eastAsia="Calibri"/>
          <w:sz w:val="16"/>
        </w:rPr>
      </w:pPr>
      <w:r w:rsidRPr="005437CC">
        <w:rPr>
          <w:rFonts w:eastAsia="Calibri"/>
          <w:u w:val="single"/>
        </w:rPr>
        <w:t xml:space="preserve">In </w:t>
      </w:r>
      <w:r w:rsidRPr="00C83506">
        <w:rPr>
          <w:rFonts w:eastAsia="Calibri"/>
          <w:highlight w:val="cyan"/>
          <w:u w:val="single"/>
        </w:rPr>
        <w:t xml:space="preserve">deploying </w:t>
      </w:r>
      <w:r w:rsidRPr="00C83506">
        <w:rPr>
          <w:rFonts w:eastAsia="Calibri"/>
          <w:b/>
          <w:iCs/>
          <w:highlight w:val="cyan"/>
          <w:u w:val="single"/>
          <w:bdr w:val="single" w:sz="8" w:space="0" w:color="auto"/>
        </w:rPr>
        <w:t>IP</w:t>
      </w:r>
      <w:r w:rsidRPr="00C83506">
        <w:rPr>
          <w:rFonts w:eastAsia="Calibri"/>
          <w:highlight w:val="cyan"/>
          <w:u w:val="single"/>
        </w:rPr>
        <w:t xml:space="preserve"> and </w:t>
      </w:r>
      <w:r w:rsidRPr="00C83506">
        <w:rPr>
          <w:rFonts w:eastAsia="Calibri"/>
          <w:b/>
          <w:iCs/>
          <w:highlight w:val="cyan"/>
          <w:u w:val="single"/>
          <w:bdr w:val="single" w:sz="8" w:space="0" w:color="auto"/>
        </w:rPr>
        <w:t>antitrust policy</w:t>
      </w:r>
      <w:r w:rsidRPr="005437CC">
        <w:rPr>
          <w:rFonts w:eastAsia="Calibri"/>
          <w:u w:val="single"/>
        </w:rPr>
        <w:t xml:space="preserve"> in the service of geopolitical objectives, </w:t>
      </w:r>
      <w:r w:rsidRPr="00C83506">
        <w:rPr>
          <w:rFonts w:eastAsia="Calibri"/>
          <w:b/>
          <w:iCs/>
          <w:highlight w:val="cyan"/>
          <w:u w:val="single"/>
          <w:bdr w:val="single" w:sz="8" w:space="0" w:color="auto"/>
        </w:rPr>
        <w:t>PRC</w:t>
      </w:r>
      <w:r w:rsidRPr="005437CC">
        <w:rPr>
          <w:rFonts w:eastAsia="Calibri"/>
          <w:u w:val="single"/>
        </w:rPr>
        <w:t xml:space="preserve"> regulators and courts have </w:t>
      </w:r>
      <w:r w:rsidRPr="00C83506">
        <w:rPr>
          <w:rFonts w:eastAsia="Calibri"/>
          <w:b/>
          <w:iCs/>
          <w:highlight w:val="cyan"/>
          <w:u w:val="single"/>
          <w:bdr w:val="single" w:sz="8" w:space="0" w:color="auto"/>
        </w:rPr>
        <w:t>applied concepts</w:t>
      </w:r>
      <w:r w:rsidRPr="00C83506">
        <w:rPr>
          <w:rFonts w:eastAsia="Calibri"/>
          <w:highlight w:val="cyan"/>
          <w:u w:val="single"/>
        </w:rPr>
        <w:t xml:space="preserve"> developed</w:t>
      </w:r>
      <w:r w:rsidRPr="005437CC">
        <w:rPr>
          <w:rFonts w:eastAsia="Calibri"/>
          <w:u w:val="single"/>
        </w:rPr>
        <w:t xml:space="preserve"> and promoted </w:t>
      </w:r>
      <w:r w:rsidRPr="00C83506">
        <w:rPr>
          <w:rFonts w:eastAsia="Calibri"/>
          <w:highlight w:val="cyan"/>
          <w:u w:val="single"/>
        </w:rPr>
        <w:t xml:space="preserve">by </w:t>
      </w:r>
      <w:r w:rsidRPr="00C83506">
        <w:rPr>
          <w:rFonts w:eastAsia="Calibri"/>
          <w:b/>
          <w:iCs/>
          <w:highlight w:val="cyan"/>
          <w:u w:val="single"/>
          <w:bdr w:val="single" w:sz="8" w:space="0" w:color="auto"/>
        </w:rPr>
        <w:t>U.S.</w:t>
      </w:r>
      <w:r w:rsidRPr="005437CC">
        <w:rPr>
          <w:rFonts w:eastAsia="Calibri"/>
          <w:u w:val="single"/>
        </w:rPr>
        <w:t xml:space="preserve"> and EU </w:t>
      </w:r>
      <w:r w:rsidRPr="005437CC">
        <w:rPr>
          <w:rFonts w:eastAsia="Calibri"/>
          <w:b/>
          <w:iCs/>
          <w:u w:val="single"/>
          <w:bdr w:val="single" w:sz="8" w:space="0" w:color="auto"/>
        </w:rPr>
        <w:t>regulators</w:t>
      </w:r>
      <w:r w:rsidRPr="005437CC">
        <w:rPr>
          <w:rFonts w:eastAsia="Calibri"/>
          <w:sz w:val="16"/>
        </w:rPr>
        <w:t xml:space="preserve">. </w:t>
      </w:r>
    </w:p>
    <w:p w14:paraId="28174FA0" w14:textId="77777777" w:rsidR="00554A3C" w:rsidRPr="005437CC" w:rsidRDefault="00554A3C" w:rsidP="00554A3C">
      <w:pPr>
        <w:rPr>
          <w:rFonts w:eastAsia="Calibri"/>
          <w:sz w:val="16"/>
        </w:rPr>
      </w:pPr>
      <w:r w:rsidRPr="005437CC">
        <w:rPr>
          <w:rFonts w:eastAsia="Calibri"/>
          <w:sz w:val="16"/>
        </w:rPr>
        <w:t xml:space="preserve">Since approximately the mid-2000s, antitrust regulators and many scholars have argued that the owners of standard-essential patents (SEPs) in wireless communications have incentives and capacities to “hold up” device producers by inflating royalty rates once producers are locked into the standard. Relatedly, regulators and scholars have warned of a “royalty stack” that purportedly leads to high device prices for consumers, threatening to stall market growth and technology adoption. Except for the Department of Justice (DOJ) Antitrust Division during 2017-2020, U.S. and EU antitrust regulators have endorsed these concerns by adopting policies to limit the enforcement and licensing capacities of SEP owners which include the world’s leading innovators in wireless communications technology.  </w:t>
      </w:r>
    </w:p>
    <w:p w14:paraId="21567309" w14:textId="77777777" w:rsidR="00554A3C" w:rsidRPr="005437CC" w:rsidRDefault="00554A3C" w:rsidP="00554A3C">
      <w:pPr>
        <w:rPr>
          <w:rFonts w:eastAsia="Calibri"/>
          <w:sz w:val="16"/>
        </w:rPr>
      </w:pPr>
      <w:r w:rsidRPr="005437CC">
        <w:rPr>
          <w:rFonts w:eastAsia="Calibri"/>
          <w:sz w:val="16"/>
        </w:rPr>
        <w:t xml:space="preserve">Yet there is one inconvenient fact that has been overlooked by the prevailing policy narrative. </w:t>
      </w:r>
    </w:p>
    <w:p w14:paraId="0C87E5CE" w14:textId="77777777" w:rsidR="00554A3C" w:rsidRPr="005437CC" w:rsidRDefault="00554A3C" w:rsidP="00554A3C">
      <w:pPr>
        <w:rPr>
          <w:rFonts w:eastAsia="Calibri"/>
          <w:sz w:val="16"/>
        </w:rPr>
      </w:pPr>
      <w:r w:rsidRPr="005437CC">
        <w:rPr>
          <w:rFonts w:eastAsia="Calibri"/>
          <w:sz w:val="16"/>
        </w:rPr>
        <w:t xml:space="preserve">For several decades, </w:t>
      </w:r>
      <w:r w:rsidRPr="00C83506">
        <w:rPr>
          <w:rFonts w:eastAsia="Calibri"/>
          <w:b/>
          <w:iCs/>
          <w:highlight w:val="cyan"/>
          <w:u w:val="single"/>
          <w:bdr w:val="single" w:sz="8" w:space="0" w:color="auto"/>
        </w:rPr>
        <w:t>real-world</w:t>
      </w:r>
      <w:r w:rsidRPr="00C83506">
        <w:rPr>
          <w:rFonts w:eastAsia="Calibri"/>
          <w:highlight w:val="cyan"/>
          <w:u w:val="single"/>
        </w:rPr>
        <w:t xml:space="preserve"> markets</w:t>
      </w:r>
      <w:r w:rsidRPr="005437CC">
        <w:rPr>
          <w:rFonts w:eastAsia="Calibri"/>
          <w:u w:val="single"/>
        </w:rPr>
        <w:t xml:space="preserve"> have </w:t>
      </w:r>
      <w:r w:rsidRPr="00C83506">
        <w:rPr>
          <w:rFonts w:eastAsia="Calibri"/>
          <w:highlight w:val="cyan"/>
          <w:u w:val="single"/>
        </w:rPr>
        <w:t xml:space="preserve">failed to </w:t>
      </w:r>
      <w:r w:rsidRPr="00C83506">
        <w:rPr>
          <w:rFonts w:eastAsia="Calibri"/>
          <w:b/>
          <w:iCs/>
          <w:highlight w:val="cyan"/>
          <w:u w:val="single"/>
          <w:bdr w:val="single" w:sz="8" w:space="0" w:color="auto"/>
        </w:rPr>
        <w:t>conform</w:t>
      </w:r>
      <w:r w:rsidRPr="00C83506">
        <w:rPr>
          <w:rFonts w:eastAsia="Calibri"/>
          <w:highlight w:val="cyan"/>
          <w:u w:val="single"/>
        </w:rPr>
        <w:t xml:space="preserve"> to</w:t>
      </w:r>
      <w:r w:rsidRPr="005437CC">
        <w:rPr>
          <w:rFonts w:eastAsia="Calibri"/>
          <w:u w:val="single"/>
        </w:rPr>
        <w:t xml:space="preserve"> these </w:t>
      </w:r>
      <w:r w:rsidRPr="005437CC">
        <w:rPr>
          <w:rFonts w:eastAsia="Calibri"/>
          <w:b/>
          <w:iCs/>
          <w:u w:val="single"/>
          <w:bdr w:val="single" w:sz="8" w:space="0" w:color="auto"/>
        </w:rPr>
        <w:t xml:space="preserve">theoretical </w:t>
      </w:r>
      <w:r w:rsidRPr="00C83506">
        <w:rPr>
          <w:rFonts w:eastAsia="Calibri"/>
          <w:b/>
          <w:iCs/>
          <w:highlight w:val="cyan"/>
          <w:u w:val="single"/>
          <w:bdr w:val="single" w:sz="8" w:space="0" w:color="auto"/>
        </w:rPr>
        <w:t>assertions</w:t>
      </w:r>
      <w:r w:rsidRPr="00C83506">
        <w:rPr>
          <w:rFonts w:eastAsia="Calibri"/>
          <w:highlight w:val="cyan"/>
          <w:u w:val="single"/>
        </w:rPr>
        <w:t xml:space="preserve"> of market </w:t>
      </w:r>
      <w:r w:rsidRPr="00C83506">
        <w:rPr>
          <w:rFonts w:eastAsia="Calibri"/>
          <w:b/>
          <w:iCs/>
          <w:highlight w:val="cyan"/>
          <w:u w:val="single"/>
          <w:bdr w:val="single" w:sz="8" w:space="0" w:color="auto"/>
        </w:rPr>
        <w:t>failure</w:t>
      </w:r>
      <w:r w:rsidRPr="00C83506">
        <w:rPr>
          <w:rFonts w:eastAsia="Calibri"/>
          <w:highlight w:val="cyan"/>
          <w:u w:val="single"/>
        </w:rPr>
        <w:t xml:space="preserve">. Empirical </w:t>
      </w:r>
      <w:r w:rsidRPr="00C83506">
        <w:rPr>
          <w:rFonts w:eastAsia="Calibri"/>
          <w:b/>
          <w:iCs/>
          <w:highlight w:val="cyan"/>
          <w:u w:val="single"/>
          <w:bdr w:val="single" w:sz="8" w:space="0" w:color="auto"/>
        </w:rPr>
        <w:t>researchers</w:t>
      </w:r>
      <w:r w:rsidRPr="005437CC">
        <w:rPr>
          <w:rFonts w:eastAsia="Calibri"/>
          <w:u w:val="single"/>
        </w:rPr>
        <w:t xml:space="preserve"> have </w:t>
      </w:r>
      <w:r w:rsidRPr="00C83506">
        <w:rPr>
          <w:rFonts w:eastAsia="Calibri"/>
          <w:highlight w:val="cyan"/>
          <w:u w:val="single"/>
        </w:rPr>
        <w:t>found</w:t>
      </w:r>
      <w:r w:rsidRPr="005437CC">
        <w:rPr>
          <w:rFonts w:eastAsia="Calibri"/>
          <w:u w:val="single"/>
        </w:rPr>
        <w:t xml:space="preserve"> repeatedly that aggregate </w:t>
      </w:r>
      <w:r w:rsidRPr="005437CC">
        <w:rPr>
          <w:rFonts w:eastAsia="Calibri"/>
          <w:b/>
          <w:iCs/>
          <w:u w:val="single"/>
          <w:bdr w:val="single" w:sz="8" w:space="0" w:color="auto"/>
        </w:rPr>
        <w:t xml:space="preserve">patent </w:t>
      </w:r>
      <w:r w:rsidRPr="00C83506">
        <w:rPr>
          <w:rFonts w:eastAsia="Calibri"/>
          <w:b/>
          <w:iCs/>
          <w:highlight w:val="cyan"/>
          <w:u w:val="single"/>
          <w:bdr w:val="single" w:sz="8" w:space="0" w:color="auto"/>
        </w:rPr>
        <w:t>royalty</w:t>
      </w:r>
      <w:r w:rsidRPr="00C83506">
        <w:rPr>
          <w:rFonts w:eastAsia="Calibri"/>
          <w:highlight w:val="cyan"/>
          <w:u w:val="single"/>
        </w:rPr>
        <w:t xml:space="preserve"> rates</w:t>
      </w:r>
      <w:r w:rsidRPr="005437CC">
        <w:rPr>
          <w:rFonts w:eastAsia="Calibri"/>
          <w:u w:val="single"/>
        </w:rPr>
        <w:t xml:space="preserve"> in wireless </w:t>
      </w:r>
      <w:r w:rsidRPr="005437CC">
        <w:rPr>
          <w:rFonts w:eastAsia="Calibri"/>
          <w:b/>
          <w:iCs/>
          <w:u w:val="single"/>
          <w:bdr w:val="single" w:sz="8" w:space="0" w:color="auto"/>
        </w:rPr>
        <w:t>communications markets</w:t>
      </w:r>
      <w:r w:rsidRPr="005437CC">
        <w:rPr>
          <w:rFonts w:eastAsia="Calibri"/>
          <w:u w:val="single"/>
        </w:rPr>
        <w:t xml:space="preserve"> have </w:t>
      </w:r>
      <w:r w:rsidRPr="00C83506">
        <w:rPr>
          <w:rFonts w:eastAsia="Calibri"/>
          <w:highlight w:val="cyan"/>
          <w:u w:val="single"/>
        </w:rPr>
        <w:t>held</w:t>
      </w:r>
      <w:r w:rsidRPr="005437CC">
        <w:rPr>
          <w:rFonts w:eastAsia="Calibri"/>
          <w:u w:val="single"/>
        </w:rPr>
        <w:t xml:space="preserve"> approximately </w:t>
      </w:r>
      <w:r w:rsidRPr="00C83506">
        <w:rPr>
          <w:rFonts w:eastAsia="Calibri"/>
          <w:b/>
          <w:iCs/>
          <w:highlight w:val="cyan"/>
          <w:u w:val="single"/>
          <w:bdr w:val="single" w:sz="8" w:space="0" w:color="auto"/>
        </w:rPr>
        <w:t>constant</w:t>
      </w:r>
      <w:r w:rsidRPr="00C83506">
        <w:rPr>
          <w:rFonts w:eastAsia="Calibri"/>
          <w:highlight w:val="cyan"/>
          <w:u w:val="single"/>
        </w:rPr>
        <w:t xml:space="preserve"> throughout</w:t>
      </w:r>
      <w:r w:rsidRPr="005437CC">
        <w:rPr>
          <w:rFonts w:eastAsia="Calibri"/>
          <w:u w:val="single"/>
        </w:rPr>
        <w:t xml:space="preserve"> the </w:t>
      </w:r>
      <w:r w:rsidRPr="00C83506">
        <w:rPr>
          <w:rFonts w:eastAsia="Calibri"/>
          <w:highlight w:val="cyan"/>
          <w:u w:val="single"/>
        </w:rPr>
        <w:t>life of</w:t>
      </w:r>
      <w:r w:rsidRPr="005437CC">
        <w:rPr>
          <w:rFonts w:eastAsia="Calibri"/>
          <w:u w:val="single"/>
        </w:rPr>
        <w:t xml:space="preserve"> the </w:t>
      </w:r>
      <w:r w:rsidRPr="00C83506">
        <w:rPr>
          <w:rFonts w:eastAsia="Calibri"/>
          <w:highlight w:val="cyan"/>
          <w:u w:val="single"/>
        </w:rPr>
        <w:t>industry, representing</w:t>
      </w:r>
      <w:r w:rsidRPr="005437CC">
        <w:rPr>
          <w:rFonts w:eastAsia="Calibri"/>
          <w:u w:val="single"/>
        </w:rPr>
        <w:t xml:space="preserve"> a modest </w:t>
      </w:r>
      <w:r w:rsidRPr="00C83506">
        <w:rPr>
          <w:rFonts w:eastAsia="Calibri"/>
          <w:b/>
          <w:iCs/>
          <w:highlight w:val="cyan"/>
          <w:u w:val="single"/>
          <w:bdr w:val="single" w:sz="8" w:space="0" w:color="auto"/>
        </w:rPr>
        <w:t>single-digit percentage</w:t>
      </w:r>
      <w:r w:rsidRPr="00C83506">
        <w:rPr>
          <w:rFonts w:eastAsia="Calibri"/>
          <w:highlight w:val="cyan"/>
          <w:u w:val="single"/>
        </w:rPr>
        <w:t xml:space="preserve"> of</w:t>
      </w:r>
      <w:r w:rsidRPr="005437CC">
        <w:rPr>
          <w:rFonts w:eastAsia="Calibri"/>
          <w:u w:val="single"/>
        </w:rPr>
        <w:t xml:space="preserve"> the device </w:t>
      </w:r>
      <w:r w:rsidRPr="00C83506">
        <w:rPr>
          <w:rFonts w:eastAsia="Calibri"/>
          <w:b/>
          <w:iCs/>
          <w:highlight w:val="cyan"/>
          <w:u w:val="single"/>
          <w:bdr w:val="single" w:sz="8" w:space="0" w:color="auto"/>
        </w:rPr>
        <w:t>price</w:t>
      </w:r>
      <w:r w:rsidRPr="005437CC">
        <w:rPr>
          <w:rFonts w:eastAsia="Calibri"/>
          <w:sz w:val="16"/>
        </w:rPr>
        <w:t xml:space="preserve">. These findings should not be surprising given the high adoption rates since the inception of the mobile communications industry. In turn, widespread deployment of wireless technologies has spawned new business models in a wide range of industries, lowering transaction costs and expanding product choices.  </w:t>
      </w:r>
    </w:p>
    <w:p w14:paraId="5487D8E4" w14:textId="77777777" w:rsidR="00554A3C" w:rsidRPr="005437CC" w:rsidRDefault="00554A3C" w:rsidP="00554A3C">
      <w:pPr>
        <w:rPr>
          <w:rFonts w:eastAsia="Calibri"/>
          <w:sz w:val="16"/>
        </w:rPr>
      </w:pPr>
      <w:r w:rsidRPr="005437CC">
        <w:rPr>
          <w:rFonts w:eastAsia="Calibri"/>
          <w:sz w:val="16"/>
        </w:rPr>
        <w:t xml:space="preserve">Notwithstanding the discrepancy between theory and evidence, </w:t>
      </w:r>
      <w:r w:rsidRPr="005437CC">
        <w:rPr>
          <w:rFonts w:eastAsia="Calibri"/>
          <w:u w:val="single"/>
        </w:rPr>
        <w:t xml:space="preserve">U.S. and EU regulators have largely </w:t>
      </w:r>
      <w:r w:rsidRPr="005437CC">
        <w:rPr>
          <w:rFonts w:eastAsia="Calibri"/>
          <w:b/>
          <w:iCs/>
          <w:u w:val="single"/>
          <w:bdr w:val="single" w:sz="8" w:space="0" w:color="auto"/>
        </w:rPr>
        <w:t>adhered</w:t>
      </w:r>
      <w:r w:rsidRPr="005437CC">
        <w:rPr>
          <w:rFonts w:eastAsia="Calibri"/>
          <w:u w:val="single"/>
        </w:rPr>
        <w:t xml:space="preserve"> to the patent </w:t>
      </w:r>
      <w:r w:rsidRPr="005437CC">
        <w:rPr>
          <w:rFonts w:eastAsia="Calibri"/>
          <w:b/>
          <w:iCs/>
          <w:u w:val="single"/>
          <w:bdr w:val="single" w:sz="8" w:space="0" w:color="auto"/>
        </w:rPr>
        <w:t>holdup theory</w:t>
      </w:r>
      <w:r w:rsidRPr="005437CC">
        <w:rPr>
          <w:rFonts w:eastAsia="Calibri"/>
          <w:sz w:val="16"/>
        </w:rPr>
        <w:t xml:space="preserve"> and sought to constrain the enforcement and licensing capacities of patent owners in wireless communications. </w:t>
      </w:r>
    </w:p>
    <w:p w14:paraId="7A98807C" w14:textId="77777777" w:rsidR="00554A3C" w:rsidRPr="005437CC" w:rsidRDefault="00554A3C" w:rsidP="00554A3C">
      <w:pPr>
        <w:rPr>
          <w:rFonts w:eastAsia="Calibri"/>
          <w:sz w:val="16"/>
        </w:rPr>
      </w:pPr>
      <w:r w:rsidRPr="005437CC">
        <w:rPr>
          <w:rFonts w:eastAsia="Calibri"/>
          <w:sz w:val="16"/>
        </w:rPr>
        <w:t xml:space="preserve">In this policy climate, courts in the U.S. and EU have rarely granted injunctions to SEP owners against even adjudicated infringers. Concurrently, regulators have sought to reengineer long-standing SEP licensing practices that efficiently locate licensing at the device level of the supply chain. The constrained property-rights environment in which SEP owners operate shifts bargaining leverage from technology innovators to technology implementers, which often have abundant cash resources and therefore few incentives to enter into a license agreement absent a protracted litigation process. As shown in a recently published paper coauthored with former U.S. Patent and Trademark Office (USPTO) director David Kappos, this </w:t>
      </w:r>
      <w:r w:rsidRPr="005437CC">
        <w:rPr>
          <w:rFonts w:eastAsia="Calibri"/>
          <w:u w:val="single"/>
        </w:rPr>
        <w:t xml:space="preserve">regulatory campaign to </w:t>
      </w:r>
      <w:r w:rsidRPr="005437CC">
        <w:rPr>
          <w:rFonts w:eastAsia="Calibri"/>
          <w:b/>
          <w:iCs/>
          <w:u w:val="single"/>
          <w:bdr w:val="single" w:sz="8" w:space="0" w:color="auto"/>
        </w:rPr>
        <w:t>cure</w:t>
      </w:r>
      <w:r w:rsidRPr="005437CC">
        <w:rPr>
          <w:rFonts w:eastAsia="Calibri"/>
          <w:u w:val="single"/>
        </w:rPr>
        <w:t xml:space="preserve"> patent </w:t>
      </w:r>
      <w:r w:rsidRPr="005437CC">
        <w:rPr>
          <w:rFonts w:eastAsia="Calibri"/>
          <w:b/>
          <w:iCs/>
          <w:u w:val="single"/>
          <w:bdr w:val="single" w:sz="8" w:space="0" w:color="auto"/>
        </w:rPr>
        <w:t>holdup</w:t>
      </w:r>
      <w:r w:rsidRPr="005437CC">
        <w:rPr>
          <w:rFonts w:eastAsia="Calibri"/>
          <w:u w:val="single"/>
        </w:rPr>
        <w:t xml:space="preserve"> has generated conditions </w:t>
      </w:r>
      <w:r w:rsidRPr="005437CC">
        <w:rPr>
          <w:rFonts w:eastAsia="Calibri"/>
          <w:b/>
          <w:iCs/>
          <w:u w:val="single"/>
          <w:bdr w:val="single" w:sz="8" w:space="0" w:color="auto"/>
        </w:rPr>
        <w:t>hospitable</w:t>
      </w:r>
      <w:r w:rsidRPr="005437CC">
        <w:rPr>
          <w:rFonts w:eastAsia="Calibri"/>
          <w:u w:val="single"/>
        </w:rPr>
        <w:t xml:space="preserve"> to </w:t>
      </w:r>
      <w:r w:rsidRPr="005437CC">
        <w:rPr>
          <w:rFonts w:eastAsia="Calibri"/>
          <w:b/>
          <w:iCs/>
          <w:u w:val="single"/>
          <w:bdr w:val="single" w:sz="8" w:space="0" w:color="auto"/>
        </w:rPr>
        <w:t>patent holdout</w:t>
      </w:r>
      <w:r w:rsidRPr="005437CC">
        <w:rPr>
          <w:rFonts w:eastAsia="Calibri"/>
          <w:u w:val="single"/>
        </w:rPr>
        <w:t xml:space="preserve"> by some of the world’s largest device producers</w:t>
      </w:r>
      <w:r w:rsidRPr="005437CC">
        <w:rPr>
          <w:rFonts w:eastAsia="Calibri"/>
          <w:sz w:val="16"/>
        </w:rPr>
        <w:t xml:space="preserve">, as illustrated by extended legal disputes in the U.S., UK, EU, and other jurisdictions.  </w:t>
      </w:r>
    </w:p>
    <w:p w14:paraId="47861732" w14:textId="77777777" w:rsidR="00554A3C" w:rsidRPr="005437CC" w:rsidRDefault="00554A3C" w:rsidP="00554A3C">
      <w:pPr>
        <w:rPr>
          <w:rFonts w:eastAsia="Calibri"/>
          <w:sz w:val="16"/>
        </w:rPr>
      </w:pPr>
      <w:r w:rsidRPr="005437CC">
        <w:rPr>
          <w:rFonts w:eastAsia="Calibri"/>
          <w:sz w:val="16"/>
        </w:rPr>
        <w:t>How China Deploys IP and Antitrust Policy in the Wireless Marketplace</w:t>
      </w:r>
    </w:p>
    <w:p w14:paraId="7E34C6A1" w14:textId="77777777" w:rsidR="00554A3C" w:rsidRPr="005437CC" w:rsidRDefault="00554A3C" w:rsidP="00554A3C">
      <w:pPr>
        <w:rPr>
          <w:rFonts w:eastAsia="Calibri"/>
          <w:sz w:val="16"/>
        </w:rPr>
      </w:pPr>
      <w:r w:rsidRPr="005437CC">
        <w:rPr>
          <w:rFonts w:eastAsia="Calibri"/>
          <w:sz w:val="16"/>
        </w:rPr>
        <w:t>The infringer-friendly approach promoted by U.S. and EU regulators has been embraced by PRC regulators and courts when acting against foreign SEP owners in wireless communications markets, which are alleged to have taken “anticompetitive” actions toward local device producers.</w:t>
      </w:r>
    </w:p>
    <w:p w14:paraId="49B51D27" w14:textId="77777777" w:rsidR="00554A3C" w:rsidRPr="005437CC" w:rsidRDefault="00554A3C" w:rsidP="00554A3C">
      <w:pPr>
        <w:rPr>
          <w:rFonts w:eastAsia="Calibri"/>
          <w:sz w:val="16"/>
        </w:rPr>
      </w:pPr>
      <w:r w:rsidRPr="005437CC">
        <w:rPr>
          <w:rFonts w:eastAsia="Calibri"/>
          <w:sz w:val="16"/>
        </w:rPr>
        <w:t>During 2013-2015, PRC competition regulators pursued an enforcement action against Qualcomm—a pioneer of the CDMA technology that drove the shift from 2G to 3G and 4G/LTE wireless communications—for “excessive pricing” and other purportedly anticompetitive practices, culminating in a $975 million fine and an agreement to lower royalty rates by adjusting the “base” to 65 percent of the device sale price.</w:t>
      </w:r>
    </w:p>
    <w:p w14:paraId="442C3503" w14:textId="77777777" w:rsidR="00554A3C" w:rsidRPr="005437CC" w:rsidRDefault="00554A3C" w:rsidP="00554A3C">
      <w:pPr>
        <w:rPr>
          <w:rFonts w:eastAsia="Calibri"/>
          <w:sz w:val="16"/>
        </w:rPr>
      </w:pPr>
      <w:r w:rsidRPr="005437CC">
        <w:rPr>
          <w:rFonts w:eastAsia="Calibri"/>
          <w:sz w:val="16"/>
        </w:rPr>
        <w:t>From 2020 to early 2021, PRC courts repeatedly issued “anti-suit” injunctions against foreign SEP owners, which precluded those entities from proceeding with existing infringement litigations in foreign courts against local device producers. Typically, the anti-suit injunctions were issued in response to a petition brought by the local device producer after having been sued for infringement by the SEP owner in a foreign court. In response to this practice—which has ceased for the time being—the EU filed a complaint against the PRC at the World Trade Organization in 2022; a complaint which is still pending. Remarkably, the Office of the U.S. Trade Representative (USTR) filed a submission in this proceeding that largely endorses the PRC’s position that the EU’s complaint addresses matters that fall outside the WTO panel’s scope of authority.</w:t>
      </w:r>
    </w:p>
    <w:p w14:paraId="6EFA97BE" w14:textId="77777777" w:rsidR="00554A3C" w:rsidRPr="005437CC" w:rsidRDefault="00554A3C" w:rsidP="00554A3C">
      <w:pPr>
        <w:rPr>
          <w:rFonts w:eastAsia="Calibri"/>
          <w:sz w:val="16"/>
        </w:rPr>
      </w:pPr>
      <w:r w:rsidRPr="005437CC">
        <w:rPr>
          <w:rFonts w:eastAsia="Calibri"/>
          <w:sz w:val="16"/>
        </w:rPr>
        <w:t xml:space="preserve">More generally, </w:t>
      </w:r>
      <w:r w:rsidRPr="00C83506">
        <w:rPr>
          <w:rFonts w:eastAsia="Calibri"/>
          <w:b/>
          <w:iCs/>
          <w:highlight w:val="cyan"/>
          <w:u w:val="single"/>
          <w:bdr w:val="single" w:sz="8" w:space="0" w:color="auto"/>
        </w:rPr>
        <w:t>PRC</w:t>
      </w:r>
      <w:r w:rsidRPr="005437CC">
        <w:rPr>
          <w:rFonts w:eastAsia="Calibri"/>
          <w:u w:val="single"/>
        </w:rPr>
        <w:t xml:space="preserve"> policymakers</w:t>
      </w:r>
      <w:r w:rsidRPr="005437CC">
        <w:rPr>
          <w:rFonts w:eastAsia="Calibri"/>
          <w:sz w:val="16"/>
        </w:rPr>
        <w:t xml:space="preserve"> have modified and deployed legal doctrines from U.S. antitrust and EU competition law in a manner that favors local device producers over foreign innovators in the licensing of wireless technologies. These policies </w:t>
      </w:r>
      <w:r w:rsidRPr="00C83506">
        <w:rPr>
          <w:rFonts w:eastAsia="Calibri"/>
          <w:highlight w:val="cyan"/>
          <w:u w:val="single"/>
        </w:rPr>
        <w:t xml:space="preserve">shift </w:t>
      </w:r>
      <w:r w:rsidRPr="00C83506">
        <w:rPr>
          <w:rFonts w:eastAsia="Calibri"/>
          <w:b/>
          <w:iCs/>
          <w:highlight w:val="cyan"/>
          <w:u w:val="single"/>
          <w:bdr w:val="single" w:sz="8" w:space="0" w:color="auto"/>
        </w:rPr>
        <w:t>value away</w:t>
      </w:r>
      <w:r w:rsidRPr="00C83506">
        <w:rPr>
          <w:rFonts w:eastAsia="Calibri"/>
          <w:highlight w:val="cyan"/>
          <w:u w:val="single"/>
        </w:rPr>
        <w:t xml:space="preserve"> from</w:t>
      </w:r>
      <w:r w:rsidRPr="005437CC">
        <w:rPr>
          <w:rFonts w:eastAsia="Calibri"/>
          <w:u w:val="single"/>
        </w:rPr>
        <w:t xml:space="preserve"> the </w:t>
      </w:r>
      <w:r w:rsidRPr="00C83506">
        <w:rPr>
          <w:rFonts w:eastAsia="Calibri"/>
          <w:b/>
          <w:iCs/>
          <w:highlight w:val="cyan"/>
          <w:u w:val="single"/>
          <w:bdr w:val="single" w:sz="8" w:space="0" w:color="auto"/>
        </w:rPr>
        <w:t>firms</w:t>
      </w:r>
      <w:r w:rsidRPr="005437CC">
        <w:rPr>
          <w:rFonts w:eastAsia="Calibri"/>
          <w:u w:val="single"/>
        </w:rPr>
        <w:t xml:space="preserve"> and economies </w:t>
      </w:r>
      <w:r w:rsidRPr="00C83506">
        <w:rPr>
          <w:rFonts w:eastAsia="Calibri"/>
          <w:highlight w:val="cyan"/>
          <w:u w:val="single"/>
        </w:rPr>
        <w:t>that</w:t>
      </w:r>
      <w:r w:rsidRPr="005437CC">
        <w:rPr>
          <w:rFonts w:eastAsia="Calibri"/>
          <w:u w:val="single"/>
        </w:rPr>
        <w:t xml:space="preserve"> have sustained </w:t>
      </w:r>
      <w:r w:rsidRPr="00C83506">
        <w:rPr>
          <w:rFonts w:eastAsia="Calibri"/>
          <w:b/>
          <w:iCs/>
          <w:highlight w:val="cyan"/>
          <w:u w:val="single"/>
          <w:bdr w:val="single" w:sz="8" w:space="0" w:color="auto"/>
        </w:rPr>
        <w:t>innovat</w:t>
      </w:r>
      <w:r w:rsidRPr="005437CC">
        <w:rPr>
          <w:rFonts w:eastAsia="Calibri"/>
          <w:b/>
          <w:iCs/>
          <w:u w:val="single"/>
          <w:bdr w:val="single" w:sz="8" w:space="0" w:color="auto"/>
        </w:rPr>
        <w:t>ion</w:t>
      </w:r>
      <w:r w:rsidRPr="005437CC">
        <w:rPr>
          <w:rFonts w:eastAsia="Calibri"/>
          <w:u w:val="single"/>
        </w:rPr>
        <w:t xml:space="preserve"> in the global wireless </w:t>
      </w:r>
      <w:r w:rsidRPr="005437CC">
        <w:rPr>
          <w:rFonts w:eastAsia="Calibri"/>
          <w:b/>
          <w:iCs/>
          <w:u w:val="single"/>
          <w:bdr w:val="single" w:sz="8" w:space="0" w:color="auto"/>
        </w:rPr>
        <w:t>marketplace</w:t>
      </w:r>
      <w:r w:rsidRPr="005437CC">
        <w:rPr>
          <w:rFonts w:eastAsia="Calibri"/>
          <w:sz w:val="16"/>
        </w:rPr>
        <w:t xml:space="preserve">.  Three strategies can be observed in China’s strategic deployment of competition and patent law in the wireless communications device industry since the mid-2010s. </w:t>
      </w:r>
    </w:p>
    <w:p w14:paraId="1E9C4432" w14:textId="77777777" w:rsidR="00554A3C" w:rsidRPr="005437CC" w:rsidRDefault="00554A3C" w:rsidP="00554A3C">
      <w:pPr>
        <w:rPr>
          <w:rFonts w:eastAsia="Calibri"/>
          <w:sz w:val="16"/>
        </w:rPr>
      </w:pPr>
      <w:r w:rsidRPr="005437CC">
        <w:rPr>
          <w:rFonts w:eastAsia="Calibri"/>
          <w:sz w:val="16"/>
        </w:rPr>
        <w:lastRenderedPageBreak/>
        <w:t xml:space="preserve">First, as illustrated by the action against Qualcomm, PRC regulators have adopted the “excessive pricing” cause of action recognized—but rarely applied—under EU competition law and expanded its scope of application considerably. </w:t>
      </w:r>
    </w:p>
    <w:p w14:paraId="6BF0E27E" w14:textId="77777777" w:rsidR="00554A3C" w:rsidRPr="005437CC" w:rsidRDefault="00554A3C" w:rsidP="00554A3C">
      <w:pPr>
        <w:rPr>
          <w:rFonts w:eastAsia="Calibri"/>
          <w:sz w:val="16"/>
        </w:rPr>
      </w:pPr>
      <w:r w:rsidRPr="005437CC">
        <w:rPr>
          <w:rFonts w:eastAsia="Calibri"/>
          <w:sz w:val="16"/>
        </w:rPr>
        <w:t xml:space="preserve">Second, </w:t>
      </w:r>
      <w:r w:rsidRPr="005437CC">
        <w:rPr>
          <w:rFonts w:eastAsia="Calibri"/>
          <w:u w:val="single"/>
        </w:rPr>
        <w:t xml:space="preserve">PRC courts have </w:t>
      </w:r>
      <w:r w:rsidRPr="00C83506">
        <w:rPr>
          <w:rFonts w:eastAsia="Calibri"/>
          <w:highlight w:val="cyan"/>
          <w:u w:val="single"/>
        </w:rPr>
        <w:t xml:space="preserve">adopted </w:t>
      </w:r>
      <w:r w:rsidRPr="00C83506">
        <w:rPr>
          <w:rFonts w:eastAsia="Calibri"/>
          <w:b/>
          <w:iCs/>
          <w:highlight w:val="cyan"/>
          <w:u w:val="single"/>
          <w:bdr w:val="single" w:sz="8" w:space="0" w:color="auto"/>
        </w:rPr>
        <w:t>methodologies</w:t>
      </w:r>
      <w:r w:rsidRPr="00C83506">
        <w:rPr>
          <w:rFonts w:eastAsia="Calibri"/>
          <w:highlight w:val="cyan"/>
          <w:u w:val="single"/>
        </w:rPr>
        <w:t xml:space="preserve"> for determining</w:t>
      </w:r>
      <w:r w:rsidRPr="005437CC">
        <w:rPr>
          <w:rFonts w:eastAsia="Calibri"/>
          <w:u w:val="single"/>
        </w:rPr>
        <w:t xml:space="preserve"> “reasonable” </w:t>
      </w:r>
      <w:r w:rsidRPr="00C83506">
        <w:rPr>
          <w:rFonts w:eastAsia="Calibri"/>
          <w:b/>
          <w:iCs/>
          <w:highlight w:val="cyan"/>
          <w:u w:val="single"/>
          <w:bdr w:val="single" w:sz="8" w:space="0" w:color="auto"/>
        </w:rPr>
        <w:t>royalties</w:t>
      </w:r>
      <w:r w:rsidRPr="005437CC">
        <w:rPr>
          <w:rFonts w:eastAsia="Calibri"/>
          <w:u w:val="single"/>
        </w:rPr>
        <w:t xml:space="preserve"> in SEP infringement litigations that </w:t>
      </w:r>
      <w:r w:rsidRPr="00C83506">
        <w:rPr>
          <w:rFonts w:eastAsia="Calibri"/>
          <w:highlight w:val="cyan"/>
          <w:u w:val="single"/>
        </w:rPr>
        <w:t xml:space="preserve">tend to result in </w:t>
      </w:r>
      <w:r w:rsidRPr="00C83506">
        <w:rPr>
          <w:rFonts w:eastAsia="Calibri"/>
          <w:b/>
          <w:iCs/>
          <w:highlight w:val="cyan"/>
          <w:u w:val="single"/>
          <w:bdr w:val="single" w:sz="8" w:space="0" w:color="auto"/>
        </w:rPr>
        <w:t>rates</w:t>
      </w:r>
      <w:r w:rsidRPr="005437CC">
        <w:rPr>
          <w:rFonts w:eastAsia="Calibri"/>
          <w:u w:val="single"/>
        </w:rPr>
        <w:t xml:space="preserve"> that are substantially </w:t>
      </w:r>
      <w:r w:rsidRPr="00C83506">
        <w:rPr>
          <w:rFonts w:eastAsia="Calibri"/>
          <w:b/>
          <w:iCs/>
          <w:highlight w:val="cyan"/>
          <w:u w:val="single"/>
          <w:bdr w:val="single" w:sz="8" w:space="0" w:color="auto"/>
        </w:rPr>
        <w:t>lower</w:t>
      </w:r>
      <w:r w:rsidRPr="00C83506">
        <w:rPr>
          <w:rFonts w:eastAsia="Calibri"/>
          <w:highlight w:val="cyan"/>
          <w:u w:val="single"/>
        </w:rPr>
        <w:t xml:space="preserve"> than</w:t>
      </w:r>
      <w:r w:rsidRPr="005437CC">
        <w:rPr>
          <w:rFonts w:eastAsia="Calibri"/>
          <w:u w:val="single"/>
        </w:rPr>
        <w:t xml:space="preserve"> the rates set by </w:t>
      </w:r>
      <w:r w:rsidRPr="00C83506">
        <w:rPr>
          <w:rFonts w:eastAsia="Calibri"/>
          <w:highlight w:val="cyan"/>
          <w:u w:val="single"/>
        </w:rPr>
        <w:t>U.S.</w:t>
      </w:r>
      <w:r w:rsidRPr="005437CC">
        <w:rPr>
          <w:rFonts w:eastAsia="Calibri"/>
          <w:sz w:val="16"/>
        </w:rPr>
        <w:t xml:space="preserve"> and EU </w:t>
      </w:r>
      <w:r w:rsidRPr="005437CC">
        <w:rPr>
          <w:rFonts w:eastAsia="Calibri"/>
          <w:u w:val="single"/>
        </w:rPr>
        <w:t>courts</w:t>
      </w:r>
      <w:r w:rsidRPr="005437CC">
        <w:rPr>
          <w:rFonts w:eastAsia="Calibri"/>
          <w:sz w:val="16"/>
        </w:rPr>
        <w:t xml:space="preserve"> in SEP infringement litigation. A December 2023 ruling involving Nokia—an SEP owner—and Oppo—a PRC-based device producer— was the world’s first decision on royalties for 5G smartphone technology, and demonstrated that PRC courts often hold that these lower rates apply globally, even when litigation on similar issues is pending in other jurisdictions. </w:t>
      </w:r>
    </w:p>
    <w:p w14:paraId="132DDBAF" w14:textId="77777777" w:rsidR="00554A3C" w:rsidRPr="005437CC" w:rsidRDefault="00554A3C" w:rsidP="00554A3C">
      <w:pPr>
        <w:rPr>
          <w:rFonts w:eastAsia="Calibri"/>
          <w:sz w:val="16"/>
        </w:rPr>
      </w:pPr>
      <w:r w:rsidRPr="005437CC">
        <w:rPr>
          <w:rFonts w:eastAsia="Calibri"/>
          <w:sz w:val="16"/>
        </w:rPr>
        <w:t xml:space="preserve">Third, PRC courts and regulators have adopted and </w:t>
      </w:r>
      <w:r w:rsidRPr="00C83506">
        <w:rPr>
          <w:rFonts w:eastAsia="Calibri"/>
          <w:highlight w:val="cyan"/>
          <w:u w:val="single"/>
        </w:rPr>
        <w:t>expanded</w:t>
      </w:r>
      <w:r w:rsidRPr="005437CC">
        <w:rPr>
          <w:rFonts w:eastAsia="Calibri"/>
          <w:u w:val="single"/>
        </w:rPr>
        <w:t xml:space="preserve"> the “</w:t>
      </w:r>
      <w:r w:rsidRPr="005437CC">
        <w:rPr>
          <w:rFonts w:eastAsia="Calibri"/>
          <w:b/>
          <w:iCs/>
          <w:u w:val="single"/>
          <w:bdr w:val="single" w:sz="8" w:space="0" w:color="auto"/>
        </w:rPr>
        <w:t>essential facility</w:t>
      </w:r>
      <w:r w:rsidRPr="005437CC">
        <w:rPr>
          <w:rFonts w:eastAsia="Calibri"/>
          <w:u w:val="single"/>
        </w:rPr>
        <w:t>” and “</w:t>
      </w:r>
      <w:r w:rsidRPr="005437CC">
        <w:rPr>
          <w:rFonts w:eastAsia="Calibri"/>
          <w:b/>
          <w:iCs/>
          <w:u w:val="single"/>
          <w:bdr w:val="single" w:sz="8" w:space="0" w:color="auto"/>
        </w:rPr>
        <w:t>duty to deal</w:t>
      </w:r>
      <w:r w:rsidRPr="005437CC">
        <w:rPr>
          <w:rFonts w:eastAsia="Calibri"/>
          <w:u w:val="single"/>
        </w:rPr>
        <w:t xml:space="preserve">” </w:t>
      </w:r>
      <w:r w:rsidRPr="00C83506">
        <w:rPr>
          <w:rFonts w:eastAsia="Calibri"/>
          <w:highlight w:val="cyan"/>
          <w:u w:val="single"/>
        </w:rPr>
        <w:t>doctrines</w:t>
      </w:r>
      <w:r w:rsidRPr="005437CC">
        <w:rPr>
          <w:rFonts w:eastAsia="Calibri"/>
          <w:sz w:val="16"/>
        </w:rPr>
        <w:t xml:space="preserve"> under U.S. and EU competition law. In a 2021 decision, a PRC court applied the essential facility doctrine in an infringement suit brought by the Japanese firm, Hitachi, to enforce patents relating to a rare-earth magnet alloy used in automobiles and other products, </w:t>
      </w:r>
      <w:r w:rsidRPr="005437CC">
        <w:rPr>
          <w:rFonts w:eastAsia="Calibri"/>
          <w:u w:val="single"/>
        </w:rPr>
        <w:t xml:space="preserve">effectively </w:t>
      </w:r>
      <w:r w:rsidRPr="00C83506">
        <w:rPr>
          <w:rFonts w:eastAsia="Calibri"/>
          <w:highlight w:val="cyan"/>
          <w:u w:val="single"/>
        </w:rPr>
        <w:t>imposing</w:t>
      </w:r>
      <w:r w:rsidRPr="005437CC">
        <w:rPr>
          <w:rFonts w:eastAsia="Calibri"/>
          <w:u w:val="single"/>
        </w:rPr>
        <w:t xml:space="preserve"> a </w:t>
      </w:r>
      <w:r w:rsidRPr="00C83506">
        <w:rPr>
          <w:rFonts w:eastAsia="Calibri"/>
          <w:b/>
          <w:iCs/>
          <w:highlight w:val="cyan"/>
          <w:u w:val="single"/>
          <w:bdr w:val="single" w:sz="8" w:space="0" w:color="auto"/>
        </w:rPr>
        <w:t>compulsory license</w:t>
      </w:r>
      <w:r w:rsidRPr="00C83506">
        <w:rPr>
          <w:rFonts w:eastAsia="Calibri"/>
          <w:highlight w:val="cyan"/>
          <w:u w:val="single"/>
        </w:rPr>
        <w:t xml:space="preserve"> over</w:t>
      </w:r>
      <w:r w:rsidRPr="005437CC">
        <w:rPr>
          <w:rFonts w:eastAsia="Calibri"/>
          <w:u w:val="single"/>
        </w:rPr>
        <w:t xml:space="preserve"> a </w:t>
      </w:r>
      <w:r w:rsidRPr="00C83506">
        <w:rPr>
          <w:rFonts w:eastAsia="Calibri"/>
          <w:highlight w:val="cyan"/>
          <w:u w:val="single"/>
        </w:rPr>
        <w:t xml:space="preserve">strategic </w:t>
      </w:r>
      <w:r w:rsidRPr="00C83506">
        <w:rPr>
          <w:rFonts w:eastAsia="Calibri"/>
          <w:b/>
          <w:iCs/>
          <w:highlight w:val="cyan"/>
          <w:u w:val="single"/>
          <w:bdr w:val="single" w:sz="8" w:space="0" w:color="auto"/>
        </w:rPr>
        <w:t>IP asset</w:t>
      </w:r>
      <w:r w:rsidRPr="005437CC">
        <w:rPr>
          <w:rFonts w:eastAsia="Calibri"/>
          <w:u w:val="single"/>
        </w:rPr>
        <w:t xml:space="preserve"> to the advantage of </w:t>
      </w:r>
      <w:r w:rsidRPr="005437CC">
        <w:rPr>
          <w:rFonts w:eastAsia="Calibri"/>
          <w:b/>
          <w:iCs/>
          <w:u w:val="single"/>
          <w:bdr w:val="single" w:sz="8" w:space="0" w:color="auto"/>
        </w:rPr>
        <w:t>domestic</w:t>
      </w:r>
      <w:r w:rsidRPr="005437CC">
        <w:rPr>
          <w:rFonts w:eastAsia="Calibri"/>
          <w:u w:val="single"/>
        </w:rPr>
        <w:t xml:space="preserve"> producers</w:t>
      </w:r>
      <w:r w:rsidRPr="005437CC">
        <w:rPr>
          <w:rFonts w:eastAsia="Calibri"/>
          <w:sz w:val="16"/>
        </w:rPr>
        <w:t xml:space="preserve">.  </w:t>
      </w:r>
    </w:p>
    <w:p w14:paraId="61518F3B" w14:textId="77777777" w:rsidR="00554A3C" w:rsidRPr="005437CC" w:rsidRDefault="00554A3C" w:rsidP="00554A3C">
      <w:pPr>
        <w:rPr>
          <w:rFonts w:eastAsia="Calibri"/>
          <w:sz w:val="16"/>
        </w:rPr>
      </w:pPr>
      <w:r w:rsidRPr="005437CC">
        <w:rPr>
          <w:rFonts w:eastAsia="Calibri"/>
          <w:sz w:val="16"/>
        </w:rPr>
        <w:t>Regulatory Myopia: U.S. and EU Policies on SEP-Protected Wireless Technologies</w:t>
      </w:r>
    </w:p>
    <w:p w14:paraId="10F0AF4A" w14:textId="77777777" w:rsidR="00554A3C" w:rsidRPr="005437CC" w:rsidRDefault="00554A3C" w:rsidP="00554A3C">
      <w:pPr>
        <w:rPr>
          <w:rFonts w:eastAsia="Calibri"/>
          <w:sz w:val="16"/>
        </w:rPr>
      </w:pPr>
      <w:r w:rsidRPr="005437CC">
        <w:rPr>
          <w:rFonts w:eastAsia="Calibri"/>
          <w:sz w:val="16"/>
        </w:rPr>
        <w:t xml:space="preserve">With some merit, PRC regulators could argue that their SEP-unfriendly policies in the wireless communications industry track the policies pursued by U.S. and EU regulators. </w:t>
      </w:r>
    </w:p>
    <w:p w14:paraId="7C817016" w14:textId="77777777" w:rsidR="00554A3C" w:rsidRPr="005437CC" w:rsidRDefault="00554A3C" w:rsidP="00554A3C">
      <w:pPr>
        <w:rPr>
          <w:rFonts w:eastAsia="Calibri"/>
          <w:sz w:val="16"/>
        </w:rPr>
      </w:pPr>
      <w:r w:rsidRPr="005437CC">
        <w:rPr>
          <w:rFonts w:eastAsia="Calibri"/>
          <w:sz w:val="16"/>
        </w:rPr>
        <w:t xml:space="preserve">In 2017, the </w:t>
      </w:r>
      <w:r w:rsidRPr="00C83506">
        <w:rPr>
          <w:rFonts w:eastAsia="Calibri"/>
          <w:b/>
          <w:iCs/>
          <w:highlight w:val="cyan"/>
          <w:u w:val="single"/>
          <w:bdr w:val="single" w:sz="8" w:space="0" w:color="auto"/>
        </w:rPr>
        <w:t>F</w:t>
      </w:r>
      <w:r w:rsidRPr="005437CC">
        <w:rPr>
          <w:rFonts w:eastAsia="Calibri"/>
          <w:sz w:val="16"/>
        </w:rPr>
        <w:t xml:space="preserve">ederal </w:t>
      </w:r>
      <w:r w:rsidRPr="00C83506">
        <w:rPr>
          <w:rFonts w:eastAsia="Calibri"/>
          <w:b/>
          <w:iCs/>
          <w:highlight w:val="cyan"/>
          <w:u w:val="single"/>
          <w:bdr w:val="single" w:sz="8" w:space="0" w:color="auto"/>
        </w:rPr>
        <w:t>T</w:t>
      </w:r>
      <w:r w:rsidRPr="005437CC">
        <w:rPr>
          <w:rFonts w:eastAsia="Calibri"/>
          <w:sz w:val="16"/>
        </w:rPr>
        <w:t xml:space="preserve">rade </w:t>
      </w:r>
      <w:r w:rsidRPr="00C83506">
        <w:rPr>
          <w:rFonts w:eastAsia="Calibri"/>
          <w:b/>
          <w:iCs/>
          <w:highlight w:val="cyan"/>
          <w:u w:val="single"/>
          <w:bdr w:val="single" w:sz="8" w:space="0" w:color="auto"/>
        </w:rPr>
        <w:t>C</w:t>
      </w:r>
      <w:r w:rsidRPr="005437CC">
        <w:rPr>
          <w:rFonts w:eastAsia="Calibri"/>
          <w:sz w:val="16"/>
        </w:rPr>
        <w:t xml:space="preserve">ommission (FTC) brought an antitrust litigation against Qualcomm, resulting in a district court order that purported to apply globally. If implemented, it would have </w:t>
      </w:r>
      <w:r w:rsidRPr="00C83506">
        <w:rPr>
          <w:rFonts w:eastAsia="Calibri"/>
          <w:highlight w:val="cyan"/>
          <w:u w:val="single"/>
        </w:rPr>
        <w:t>threatened</w:t>
      </w:r>
      <w:r w:rsidRPr="005437CC">
        <w:rPr>
          <w:rFonts w:eastAsia="Calibri"/>
          <w:u w:val="single"/>
        </w:rPr>
        <w:t xml:space="preserve"> the </w:t>
      </w:r>
      <w:r w:rsidRPr="005437CC">
        <w:rPr>
          <w:rFonts w:eastAsia="Calibri"/>
          <w:b/>
          <w:iCs/>
          <w:u w:val="single"/>
          <w:bdr w:val="single" w:sz="8" w:space="0" w:color="auto"/>
        </w:rPr>
        <w:t xml:space="preserve">economic </w:t>
      </w:r>
      <w:r w:rsidRPr="00C83506">
        <w:rPr>
          <w:rFonts w:eastAsia="Calibri"/>
          <w:b/>
          <w:iCs/>
          <w:highlight w:val="cyan"/>
          <w:u w:val="single"/>
          <w:bdr w:val="single" w:sz="8" w:space="0" w:color="auto"/>
        </w:rPr>
        <w:t>viability</w:t>
      </w:r>
      <w:r w:rsidRPr="00C83506">
        <w:rPr>
          <w:rFonts w:eastAsia="Calibri"/>
          <w:highlight w:val="cyan"/>
          <w:u w:val="single"/>
        </w:rPr>
        <w:t xml:space="preserve"> of</w:t>
      </w:r>
      <w:r w:rsidRPr="005437CC">
        <w:rPr>
          <w:rFonts w:eastAsia="Calibri"/>
          <w:u w:val="single"/>
        </w:rPr>
        <w:t xml:space="preserve"> Qualcomm’s </w:t>
      </w:r>
      <w:r w:rsidRPr="005437CC">
        <w:rPr>
          <w:rFonts w:eastAsia="Calibri"/>
          <w:b/>
          <w:iCs/>
          <w:u w:val="single"/>
          <w:bdr w:val="single" w:sz="8" w:space="0" w:color="auto"/>
        </w:rPr>
        <w:t>licensing</w:t>
      </w:r>
      <w:r w:rsidRPr="005437CC">
        <w:rPr>
          <w:rFonts w:eastAsia="Calibri"/>
          <w:u w:val="single"/>
        </w:rPr>
        <w:t xml:space="preserve">-based business </w:t>
      </w:r>
      <w:r w:rsidRPr="00C83506">
        <w:rPr>
          <w:rFonts w:eastAsia="Calibri"/>
          <w:b/>
          <w:iCs/>
          <w:highlight w:val="cyan"/>
          <w:u w:val="single"/>
          <w:bdr w:val="single" w:sz="8" w:space="0" w:color="auto"/>
        </w:rPr>
        <w:t>model</w:t>
      </w:r>
      <w:r w:rsidRPr="005437CC">
        <w:rPr>
          <w:rFonts w:eastAsia="Calibri"/>
          <w:sz w:val="16"/>
        </w:rPr>
        <w:t xml:space="preserve"> or compelled a sale of the company to a vertically integrated entity that could monetize innovation through a “walled garden” strategy. The lower court’s order was rejected in all respects on appeal.</w:t>
      </w:r>
    </w:p>
    <w:p w14:paraId="0CB603C4" w14:textId="77777777" w:rsidR="00554A3C" w:rsidRPr="005437CC" w:rsidRDefault="00554A3C" w:rsidP="00554A3C">
      <w:pPr>
        <w:rPr>
          <w:rFonts w:eastAsia="Calibri"/>
          <w:sz w:val="16"/>
        </w:rPr>
      </w:pPr>
      <w:r w:rsidRPr="005437CC">
        <w:rPr>
          <w:rFonts w:eastAsia="Calibri"/>
          <w:sz w:val="16"/>
        </w:rPr>
        <w:t xml:space="preserve">In 2021, the Biden administration issued an executive order directing agencies to “consider…whether to revise” a policy statement issued in 2019 by the DOJ, the USPTO, and the National Institute for Standards and Technology (NIST), which had recognized the </w:t>
      </w:r>
      <w:r w:rsidRPr="00C83506">
        <w:rPr>
          <w:rFonts w:eastAsia="Calibri"/>
          <w:highlight w:val="cyan"/>
          <w:u w:val="single"/>
        </w:rPr>
        <w:t>weak</w:t>
      </w:r>
      <w:r w:rsidRPr="005437CC">
        <w:rPr>
          <w:rFonts w:eastAsia="Calibri"/>
          <w:u w:val="single"/>
        </w:rPr>
        <w:t xml:space="preserve"> evidentiary </w:t>
      </w:r>
      <w:r w:rsidRPr="00C83506">
        <w:rPr>
          <w:rFonts w:eastAsia="Calibri"/>
          <w:highlight w:val="cyan"/>
          <w:u w:val="single"/>
        </w:rPr>
        <w:t>basis for</w:t>
      </w:r>
      <w:r w:rsidRPr="005437CC">
        <w:rPr>
          <w:rFonts w:eastAsia="Calibri"/>
          <w:u w:val="single"/>
        </w:rPr>
        <w:t xml:space="preserve"> </w:t>
      </w:r>
      <w:r w:rsidRPr="005437CC">
        <w:rPr>
          <w:rFonts w:eastAsia="Calibri"/>
          <w:b/>
          <w:iCs/>
          <w:u w:val="single"/>
          <w:bdr w:val="single" w:sz="8" w:space="0" w:color="auto"/>
        </w:rPr>
        <w:t xml:space="preserve">patent </w:t>
      </w:r>
      <w:r w:rsidRPr="00C83506">
        <w:rPr>
          <w:rFonts w:eastAsia="Calibri"/>
          <w:b/>
          <w:iCs/>
          <w:highlight w:val="cyan"/>
          <w:u w:val="single"/>
          <w:bdr w:val="single" w:sz="8" w:space="0" w:color="auto"/>
        </w:rPr>
        <w:t>holdup</w:t>
      </w:r>
      <w:r w:rsidRPr="00C83506">
        <w:rPr>
          <w:rFonts w:eastAsia="Calibri"/>
          <w:highlight w:val="cyan"/>
          <w:u w:val="single"/>
        </w:rPr>
        <w:t xml:space="preserve"> concerns</w:t>
      </w:r>
      <w:r w:rsidRPr="005437CC">
        <w:rPr>
          <w:rFonts w:eastAsia="Calibri"/>
          <w:sz w:val="16"/>
        </w:rPr>
        <w:t xml:space="preserve">. In 2022, those agencies withdrew the 2019 statement and largely reverted to the previous regulatory position focused on patent holdup risk. While the 2022 statement was withdrawn following criticism from—among others—three past directors of the USPTO, two former heads of the DOJ Antitrust Division, and three former directors of NIST, it nonetheless sent a signal concerning the “weak IP” policy favored by the U.S. administration.  </w:t>
      </w:r>
    </w:p>
    <w:p w14:paraId="3DBB2EC6" w14:textId="77777777" w:rsidR="00554A3C" w:rsidRPr="005437CC" w:rsidRDefault="00554A3C" w:rsidP="00554A3C">
      <w:pPr>
        <w:rPr>
          <w:rFonts w:eastAsia="Calibri"/>
          <w:sz w:val="16"/>
        </w:rPr>
      </w:pPr>
      <w:r w:rsidRPr="005437CC">
        <w:rPr>
          <w:rFonts w:eastAsia="Calibri"/>
          <w:sz w:val="16"/>
        </w:rPr>
        <w:t xml:space="preserve">In 2023, the European Commission proposed establishing a government-administered royalty determination process for SEP-protected technologies in communications, automotive, and other industries encompassed by the IoT. If implemented, this proposal risks devaluing the wireless technologies developed by U.S. and EU-based companies that lead in chip design.  Moreover, this proposal overlooks the market’s demonstrated capacity to develop licensing-based solutions in IP-intensive markets, as reflected by extensive cross-licensing arrangements that have operated for decades in the electronics industry (as I have documented) and the </w:t>
      </w:r>
      <w:proofErr w:type="spellStart"/>
      <w:r w:rsidRPr="005437CC">
        <w:rPr>
          <w:rFonts w:eastAsia="Calibri"/>
          <w:sz w:val="16"/>
        </w:rPr>
        <w:t>Avanci</w:t>
      </w:r>
      <w:proofErr w:type="spellEnd"/>
      <w:r w:rsidRPr="005437CC">
        <w:rPr>
          <w:rFonts w:eastAsia="Calibri"/>
          <w:sz w:val="16"/>
        </w:rPr>
        <w:t xml:space="preserve"> platform for SEP licensing in the automotive market.</w:t>
      </w:r>
    </w:p>
    <w:p w14:paraId="50FE4117" w14:textId="77777777" w:rsidR="00554A3C" w:rsidRPr="005437CC" w:rsidRDefault="00554A3C" w:rsidP="00554A3C">
      <w:pPr>
        <w:rPr>
          <w:rFonts w:eastAsia="Calibri"/>
          <w:sz w:val="16"/>
        </w:rPr>
      </w:pPr>
      <w:r w:rsidRPr="005437CC">
        <w:rPr>
          <w:rFonts w:eastAsia="Calibri"/>
          <w:sz w:val="16"/>
        </w:rPr>
        <w:t>USTR has expressed no view on the EU proposal and—as noted previously—has effectively opposed the EU’s challenge to PRC courts’ use of anti-suit injunctions in SEP litigation. Without initiative by U.S. agencies to advance a more balanced policy trajectory, the EU proposal could give rise to a “Brussels effect” in which European regulators set a de facto global standard for regulating SEP licensing in wireless markets. In September 2023, the USPTO, NIST, and International Trade Administration issued a Request for Comments on U.S. firms’ participation in standard-setting processes. In submitted comments, the Information Technology &amp; Innovation Foundation observed that the EU proposal may provide a template for PRC regulators to establish a similar mechanism, which could then be used to influence SEP royalty rates for protectionist purposes.</w:t>
      </w:r>
    </w:p>
    <w:p w14:paraId="4513DD0E" w14:textId="77777777" w:rsidR="00554A3C" w:rsidRPr="005437CC" w:rsidRDefault="00554A3C" w:rsidP="00554A3C">
      <w:pPr>
        <w:rPr>
          <w:rFonts w:eastAsia="Calibri"/>
          <w:sz w:val="16"/>
        </w:rPr>
      </w:pPr>
      <w:r w:rsidRPr="005437CC">
        <w:rPr>
          <w:rFonts w:eastAsia="Calibri"/>
          <w:sz w:val="16"/>
        </w:rPr>
        <w:t>The Geopolitical Consequences of Antitrust Overreach</w:t>
      </w:r>
    </w:p>
    <w:p w14:paraId="261449CA" w14:textId="77777777" w:rsidR="00554A3C" w:rsidRPr="005437CC" w:rsidRDefault="00554A3C" w:rsidP="00554A3C">
      <w:pPr>
        <w:rPr>
          <w:rFonts w:eastAsia="Calibri"/>
          <w:sz w:val="16"/>
        </w:rPr>
      </w:pPr>
      <w:r w:rsidRPr="005437CC">
        <w:rPr>
          <w:rFonts w:eastAsia="Calibri"/>
          <w:sz w:val="16"/>
        </w:rPr>
        <w:t xml:space="preserve">Policymakers have paid </w:t>
      </w:r>
      <w:r w:rsidRPr="00C83506">
        <w:rPr>
          <w:rFonts w:eastAsia="Calibri"/>
          <w:highlight w:val="cyan"/>
          <w:u w:val="single"/>
        </w:rPr>
        <w:t xml:space="preserve">insufficient </w:t>
      </w:r>
      <w:r w:rsidRPr="00C83506">
        <w:rPr>
          <w:rFonts w:eastAsia="Calibri"/>
          <w:b/>
          <w:iCs/>
          <w:highlight w:val="cyan"/>
          <w:u w:val="single"/>
          <w:bdr w:val="single" w:sz="8" w:space="0" w:color="auto"/>
        </w:rPr>
        <w:t>attention</w:t>
      </w:r>
      <w:r w:rsidRPr="00C83506">
        <w:rPr>
          <w:rFonts w:eastAsia="Calibri"/>
          <w:highlight w:val="cyan"/>
          <w:u w:val="single"/>
        </w:rPr>
        <w:t xml:space="preserve"> to</w:t>
      </w:r>
      <w:r w:rsidRPr="005437CC">
        <w:rPr>
          <w:rFonts w:eastAsia="Calibri"/>
          <w:u w:val="single"/>
        </w:rPr>
        <w:t xml:space="preserve"> the </w:t>
      </w:r>
      <w:r w:rsidRPr="00C83506">
        <w:rPr>
          <w:rFonts w:eastAsia="Calibri"/>
          <w:highlight w:val="cyan"/>
          <w:u w:val="single"/>
        </w:rPr>
        <w:t>geopolitical consequences</w:t>
      </w:r>
      <w:r w:rsidRPr="005437CC">
        <w:rPr>
          <w:rFonts w:eastAsia="Calibri"/>
          <w:u w:val="single"/>
        </w:rPr>
        <w:t xml:space="preserve"> of </w:t>
      </w:r>
      <w:r w:rsidRPr="005437CC">
        <w:rPr>
          <w:rFonts w:eastAsia="Calibri"/>
          <w:b/>
          <w:iCs/>
          <w:u w:val="single"/>
          <w:bdr w:val="single" w:sz="8" w:space="0" w:color="auto"/>
        </w:rPr>
        <w:t>antitrust overreach</w:t>
      </w:r>
      <w:r w:rsidRPr="005437CC">
        <w:rPr>
          <w:rFonts w:eastAsia="Calibri"/>
          <w:sz w:val="16"/>
        </w:rPr>
        <w:t xml:space="preserve">. Most infamously, the breakup of AT&amp;T in the early 1980s—an otherwise laudable intervention—failed to address how to preserve Bell Labs, resulting in the effective dismantling of a crown jewel of the U.S. technology ecosystem. Currently, the geopolitical effects of antitrust policy are </w:t>
      </w:r>
      <w:r w:rsidRPr="005437CC">
        <w:rPr>
          <w:rFonts w:eastAsia="Calibri"/>
          <w:u w:val="single"/>
        </w:rPr>
        <w:t xml:space="preserve">especially </w:t>
      </w:r>
      <w:r w:rsidRPr="00C83506">
        <w:rPr>
          <w:rFonts w:eastAsia="Calibri"/>
          <w:b/>
          <w:iCs/>
          <w:highlight w:val="cyan"/>
          <w:u w:val="single"/>
          <w:bdr w:val="single" w:sz="8" w:space="0" w:color="auto"/>
        </w:rPr>
        <w:t>salient</w:t>
      </w:r>
      <w:r w:rsidRPr="00C83506">
        <w:rPr>
          <w:rFonts w:eastAsia="Calibri"/>
          <w:highlight w:val="cyan"/>
          <w:u w:val="single"/>
        </w:rPr>
        <w:t xml:space="preserve"> as</w:t>
      </w:r>
      <w:r w:rsidRPr="005437CC">
        <w:rPr>
          <w:rFonts w:eastAsia="Calibri"/>
          <w:u w:val="single"/>
        </w:rPr>
        <w:t xml:space="preserve"> the </w:t>
      </w:r>
      <w:r w:rsidRPr="00C83506">
        <w:rPr>
          <w:rFonts w:eastAsia="Calibri"/>
          <w:highlight w:val="cyan"/>
          <w:u w:val="single"/>
        </w:rPr>
        <w:t>U.S.</w:t>
      </w:r>
      <w:r w:rsidRPr="005437CC">
        <w:rPr>
          <w:rFonts w:eastAsia="Calibri"/>
          <w:u w:val="single"/>
        </w:rPr>
        <w:t xml:space="preserve"> and its liberal democratic allies </w:t>
      </w:r>
      <w:r w:rsidRPr="00C83506">
        <w:rPr>
          <w:rFonts w:eastAsia="Calibri"/>
          <w:highlight w:val="cyan"/>
          <w:u w:val="single"/>
        </w:rPr>
        <w:t xml:space="preserve">seek to preserve </w:t>
      </w:r>
      <w:r w:rsidRPr="00C83506">
        <w:rPr>
          <w:rFonts w:eastAsia="Calibri"/>
          <w:b/>
          <w:iCs/>
          <w:highlight w:val="cyan"/>
          <w:u w:val="single"/>
          <w:bdr w:val="single" w:sz="8" w:space="0" w:color="auto"/>
        </w:rPr>
        <w:t>leadership</w:t>
      </w:r>
      <w:r w:rsidRPr="005437CC">
        <w:rPr>
          <w:rFonts w:eastAsia="Calibri"/>
          <w:u w:val="single"/>
        </w:rPr>
        <w:t xml:space="preserve"> in </w:t>
      </w:r>
      <w:r w:rsidRPr="005437CC">
        <w:rPr>
          <w:rFonts w:eastAsia="Calibri"/>
          <w:b/>
          <w:iCs/>
          <w:u w:val="single"/>
          <w:bdr w:val="single" w:sz="8" w:space="0" w:color="auto"/>
        </w:rPr>
        <w:t>foundational technologies</w:t>
      </w:r>
      <w:r w:rsidRPr="005437CC">
        <w:rPr>
          <w:rFonts w:eastAsia="Calibri"/>
          <w:sz w:val="16"/>
        </w:rPr>
        <w:t xml:space="preserve"> that underlie strategically important industries. </w:t>
      </w:r>
      <w:r w:rsidRPr="00C83506">
        <w:rPr>
          <w:rFonts w:eastAsia="Calibri"/>
          <w:highlight w:val="cyan"/>
          <w:u w:val="single"/>
        </w:rPr>
        <w:t>Policies</w:t>
      </w:r>
      <w:r w:rsidRPr="005437CC">
        <w:rPr>
          <w:rFonts w:eastAsia="Calibri"/>
          <w:u w:val="single"/>
        </w:rPr>
        <w:t xml:space="preserve"> developed and promoted by </w:t>
      </w:r>
      <w:r w:rsidRPr="005437CC">
        <w:rPr>
          <w:rFonts w:eastAsia="Calibri"/>
          <w:b/>
          <w:iCs/>
          <w:u w:val="single"/>
          <w:bdr w:val="single" w:sz="8" w:space="0" w:color="auto"/>
        </w:rPr>
        <w:t>U.S.</w:t>
      </w:r>
      <w:r w:rsidRPr="005437CC">
        <w:rPr>
          <w:rFonts w:eastAsia="Calibri"/>
          <w:u w:val="single"/>
        </w:rPr>
        <w:t xml:space="preserve"> and EU regulators have </w:t>
      </w:r>
      <w:r w:rsidRPr="00C83506">
        <w:rPr>
          <w:rFonts w:eastAsia="Calibri"/>
          <w:highlight w:val="cyan"/>
          <w:u w:val="single"/>
        </w:rPr>
        <w:t>provided</w:t>
      </w:r>
      <w:r w:rsidRPr="005437CC">
        <w:rPr>
          <w:rFonts w:eastAsia="Calibri"/>
          <w:u w:val="single"/>
        </w:rPr>
        <w:t xml:space="preserve"> a </w:t>
      </w:r>
      <w:r w:rsidRPr="00C83506">
        <w:rPr>
          <w:rFonts w:eastAsia="Calibri"/>
          <w:highlight w:val="cyan"/>
          <w:u w:val="single"/>
        </w:rPr>
        <w:t xml:space="preserve">template for </w:t>
      </w:r>
      <w:r w:rsidRPr="00C83506">
        <w:rPr>
          <w:rFonts w:eastAsia="Calibri"/>
          <w:b/>
          <w:iCs/>
          <w:highlight w:val="cyan"/>
          <w:u w:val="single"/>
          <w:bdr w:val="single" w:sz="8" w:space="0" w:color="auto"/>
        </w:rPr>
        <w:t>PRC courts</w:t>
      </w:r>
      <w:r w:rsidRPr="005437CC">
        <w:rPr>
          <w:rFonts w:eastAsia="Calibri"/>
          <w:u w:val="single"/>
        </w:rPr>
        <w:t xml:space="preserve"> and regulators </w:t>
      </w:r>
      <w:r w:rsidRPr="00C83506">
        <w:rPr>
          <w:rFonts w:eastAsia="Calibri"/>
          <w:highlight w:val="cyan"/>
          <w:u w:val="single"/>
        </w:rPr>
        <w:t>to</w:t>
      </w:r>
      <w:r w:rsidRPr="005437CC">
        <w:rPr>
          <w:rFonts w:eastAsia="Calibri"/>
          <w:u w:val="single"/>
        </w:rPr>
        <w:t xml:space="preserve"> deploy </w:t>
      </w:r>
      <w:r w:rsidRPr="005437CC">
        <w:rPr>
          <w:rFonts w:eastAsia="Calibri"/>
          <w:b/>
          <w:iCs/>
          <w:u w:val="single"/>
          <w:bdr w:val="single" w:sz="8" w:space="0" w:color="auto"/>
        </w:rPr>
        <w:t>competition law</w:t>
      </w:r>
      <w:r w:rsidRPr="005437CC">
        <w:rPr>
          <w:rFonts w:eastAsia="Calibri"/>
          <w:u w:val="single"/>
        </w:rPr>
        <w:t xml:space="preserve"> for </w:t>
      </w:r>
      <w:r w:rsidRPr="005437CC">
        <w:rPr>
          <w:rFonts w:eastAsia="Calibri"/>
          <w:b/>
          <w:iCs/>
          <w:u w:val="single"/>
          <w:bdr w:val="single" w:sz="8" w:space="0" w:color="auto"/>
        </w:rPr>
        <w:t>mercantilist</w:t>
      </w:r>
      <w:r w:rsidRPr="005437CC">
        <w:rPr>
          <w:rFonts w:eastAsia="Calibri"/>
          <w:u w:val="single"/>
        </w:rPr>
        <w:t xml:space="preserve"> objectives that </w:t>
      </w:r>
      <w:r w:rsidRPr="00C83506">
        <w:rPr>
          <w:rFonts w:eastAsia="Calibri"/>
          <w:b/>
          <w:iCs/>
          <w:highlight w:val="cyan"/>
          <w:u w:val="single"/>
          <w:bdr w:val="single" w:sz="8" w:space="0" w:color="auto"/>
        </w:rPr>
        <w:t>distort</w:t>
      </w:r>
      <w:r w:rsidRPr="00C83506">
        <w:rPr>
          <w:rFonts w:eastAsia="Calibri"/>
          <w:highlight w:val="cyan"/>
          <w:u w:val="single"/>
        </w:rPr>
        <w:t xml:space="preserve"> wireless tech</w:t>
      </w:r>
      <w:r w:rsidRPr="005437CC">
        <w:rPr>
          <w:rFonts w:eastAsia="Calibri"/>
          <w:u w:val="single"/>
        </w:rPr>
        <w:t>nology</w:t>
      </w:r>
      <w:r w:rsidRPr="005437CC">
        <w:rPr>
          <w:rFonts w:eastAsia="Calibri"/>
          <w:sz w:val="16"/>
        </w:rPr>
        <w:t xml:space="preserve"> markets. These </w:t>
      </w:r>
      <w:r w:rsidRPr="005437CC">
        <w:rPr>
          <w:rFonts w:eastAsia="Calibri"/>
          <w:u w:val="single"/>
        </w:rPr>
        <w:t xml:space="preserve">policies </w:t>
      </w:r>
      <w:r w:rsidRPr="00C83506">
        <w:rPr>
          <w:rFonts w:eastAsia="Calibri"/>
          <w:highlight w:val="cyan"/>
          <w:u w:val="single"/>
        </w:rPr>
        <w:t>lack</w:t>
      </w:r>
      <w:r w:rsidRPr="005437CC">
        <w:rPr>
          <w:rFonts w:eastAsia="Calibri"/>
          <w:u w:val="single"/>
        </w:rPr>
        <w:t xml:space="preserve"> a sound </w:t>
      </w:r>
      <w:r w:rsidRPr="00C83506">
        <w:rPr>
          <w:rFonts w:eastAsia="Calibri"/>
          <w:b/>
          <w:iCs/>
          <w:highlight w:val="cyan"/>
          <w:u w:val="single"/>
          <w:bdr w:val="single" w:sz="8" w:space="0" w:color="auto"/>
        </w:rPr>
        <w:t xml:space="preserve">empirical </w:t>
      </w:r>
      <w:r w:rsidRPr="00C83506">
        <w:rPr>
          <w:rFonts w:eastAsia="Calibri"/>
          <w:b/>
          <w:iCs/>
          <w:highlight w:val="cyan"/>
          <w:u w:val="single"/>
          <w:bdr w:val="single" w:sz="8" w:space="0" w:color="auto"/>
        </w:rPr>
        <w:lastRenderedPageBreak/>
        <w:t>basis</w:t>
      </w:r>
      <w:r w:rsidRPr="00C83506">
        <w:rPr>
          <w:rFonts w:eastAsia="Calibri"/>
          <w:highlight w:val="cyan"/>
          <w:u w:val="single"/>
        </w:rPr>
        <w:t>, shift</w:t>
      </w:r>
      <w:r w:rsidRPr="005437CC">
        <w:rPr>
          <w:rFonts w:eastAsia="Calibri"/>
          <w:u w:val="single"/>
        </w:rPr>
        <w:t xml:space="preserve"> economic </w:t>
      </w:r>
      <w:r w:rsidRPr="005437CC">
        <w:rPr>
          <w:rFonts w:eastAsia="Calibri"/>
          <w:b/>
          <w:iCs/>
          <w:u w:val="single"/>
          <w:bdr w:val="single" w:sz="8" w:space="0" w:color="auto"/>
        </w:rPr>
        <w:t>value</w:t>
      </w:r>
      <w:r w:rsidRPr="005437CC">
        <w:rPr>
          <w:rFonts w:eastAsia="Calibri"/>
          <w:u w:val="single"/>
        </w:rPr>
        <w:t xml:space="preserve"> from innovators to implementers, and over the longer term, </w:t>
      </w:r>
      <w:r w:rsidRPr="00C83506">
        <w:rPr>
          <w:rFonts w:eastAsia="Calibri"/>
          <w:highlight w:val="cyan"/>
          <w:u w:val="single"/>
        </w:rPr>
        <w:t>endanger</w:t>
      </w:r>
      <w:r w:rsidRPr="005437CC">
        <w:rPr>
          <w:rFonts w:eastAsia="Calibri"/>
          <w:u w:val="single"/>
        </w:rPr>
        <w:t xml:space="preserve"> the </w:t>
      </w:r>
      <w:r w:rsidRPr="005437CC">
        <w:rPr>
          <w:rFonts w:eastAsia="Calibri"/>
          <w:b/>
          <w:iCs/>
          <w:u w:val="single"/>
          <w:bdr w:val="single" w:sz="8" w:space="0" w:color="auto"/>
        </w:rPr>
        <w:t xml:space="preserve">licensing-based </w:t>
      </w:r>
      <w:r w:rsidRPr="00C83506">
        <w:rPr>
          <w:rFonts w:eastAsia="Calibri"/>
          <w:b/>
          <w:iCs/>
          <w:highlight w:val="cyan"/>
          <w:u w:val="single"/>
          <w:bdr w:val="single" w:sz="8" w:space="0" w:color="auto"/>
        </w:rPr>
        <w:t>infrastructure</w:t>
      </w:r>
      <w:r w:rsidRPr="005437CC">
        <w:rPr>
          <w:rFonts w:eastAsia="Calibri"/>
          <w:sz w:val="16"/>
        </w:rPr>
        <w:t xml:space="preserve"> that underlies the wireless-enabled tech ecosystem. </w:t>
      </w:r>
    </w:p>
    <w:p w14:paraId="735F8CD7" w14:textId="1AFFA68B" w:rsidR="00554A3C" w:rsidRPr="005437CC" w:rsidRDefault="009318D1" w:rsidP="00554A3C">
      <w:pPr>
        <w:keepNext/>
        <w:keepLines/>
        <w:spacing w:before="40" w:after="0"/>
        <w:outlineLvl w:val="3"/>
        <w:rPr>
          <w:rFonts w:eastAsia="Times New Roman" w:cs="Times New Roman"/>
          <w:b/>
          <w:iCs/>
          <w:sz w:val="26"/>
        </w:rPr>
      </w:pPr>
      <w:r>
        <w:rPr>
          <w:rFonts w:eastAsia="Times New Roman" w:cs="Times New Roman"/>
          <w:b/>
          <w:iCs/>
          <w:sz w:val="26"/>
        </w:rPr>
        <w:t>6---</w:t>
      </w:r>
      <w:r w:rsidR="00554A3C" w:rsidRPr="005437CC">
        <w:rPr>
          <w:rFonts w:eastAsia="Times New Roman" w:cs="Times New Roman"/>
          <w:b/>
          <w:iCs/>
          <w:sz w:val="26"/>
        </w:rPr>
        <w:t xml:space="preserve">Domestic </w:t>
      </w:r>
      <w:r w:rsidR="00554A3C" w:rsidRPr="005437CC">
        <w:rPr>
          <w:rFonts w:eastAsia="Times New Roman" w:cs="Times New Roman"/>
          <w:b/>
          <w:iCs/>
          <w:sz w:val="26"/>
          <w:u w:val="single"/>
        </w:rPr>
        <w:t>5G innovation</w:t>
      </w:r>
      <w:r w:rsidR="00554A3C" w:rsidRPr="005437CC">
        <w:rPr>
          <w:rFonts w:eastAsia="Times New Roman" w:cs="Times New Roman"/>
          <w:b/>
          <w:iCs/>
          <w:sz w:val="26"/>
        </w:rPr>
        <w:t xml:space="preserve"> is </w:t>
      </w:r>
      <w:r w:rsidR="00554A3C" w:rsidRPr="005437CC">
        <w:rPr>
          <w:rFonts w:eastAsia="Times New Roman" w:cs="Times New Roman"/>
          <w:b/>
          <w:iCs/>
          <w:sz w:val="26"/>
          <w:u w:val="single"/>
        </w:rPr>
        <w:t>critical</w:t>
      </w:r>
      <w:r w:rsidR="00554A3C" w:rsidRPr="005437CC">
        <w:rPr>
          <w:rFonts w:eastAsia="Times New Roman" w:cs="Times New Roman"/>
          <w:b/>
          <w:iCs/>
          <w:sz w:val="26"/>
        </w:rPr>
        <w:t xml:space="preserve"> to </w:t>
      </w:r>
      <w:r w:rsidR="00554A3C" w:rsidRPr="005437CC">
        <w:rPr>
          <w:rFonts w:eastAsia="Times New Roman" w:cs="Times New Roman"/>
          <w:b/>
          <w:iCs/>
          <w:sz w:val="26"/>
          <w:u w:val="single"/>
        </w:rPr>
        <w:t>outcompeting China</w:t>
      </w:r>
      <w:r w:rsidR="00554A3C" w:rsidRPr="005437CC">
        <w:rPr>
          <w:rFonts w:eastAsia="Times New Roman" w:cs="Times New Roman"/>
          <w:b/>
          <w:iCs/>
          <w:sz w:val="26"/>
        </w:rPr>
        <w:t xml:space="preserve">, allowing the U.S. to </w:t>
      </w:r>
      <w:r w:rsidR="00554A3C" w:rsidRPr="005437CC">
        <w:rPr>
          <w:rFonts w:eastAsia="Times New Roman" w:cs="Times New Roman"/>
          <w:b/>
          <w:iCs/>
          <w:sz w:val="26"/>
          <w:u w:val="single"/>
        </w:rPr>
        <w:t>set global standards</w:t>
      </w:r>
      <w:r w:rsidR="00554A3C" w:rsidRPr="005437CC">
        <w:rPr>
          <w:rFonts w:eastAsia="Times New Roman" w:cs="Times New Roman"/>
          <w:b/>
          <w:iCs/>
          <w:sz w:val="26"/>
        </w:rPr>
        <w:t xml:space="preserve">. That </w:t>
      </w:r>
      <w:r w:rsidR="00554A3C" w:rsidRPr="005437CC">
        <w:rPr>
          <w:rFonts w:eastAsia="Times New Roman" w:cs="Times New Roman"/>
          <w:b/>
          <w:iCs/>
          <w:sz w:val="26"/>
          <w:u w:val="single"/>
        </w:rPr>
        <w:t>determines</w:t>
      </w:r>
      <w:r w:rsidR="00554A3C" w:rsidRPr="005437CC">
        <w:rPr>
          <w:rFonts w:eastAsia="Times New Roman" w:cs="Times New Roman"/>
          <w:b/>
          <w:iCs/>
          <w:sz w:val="26"/>
        </w:rPr>
        <w:t xml:space="preserve"> the balance of </w:t>
      </w:r>
      <w:r w:rsidR="00554A3C" w:rsidRPr="005437CC">
        <w:rPr>
          <w:rFonts w:eastAsia="Times New Roman" w:cs="Times New Roman"/>
          <w:b/>
          <w:iCs/>
          <w:sz w:val="26"/>
          <w:u w:val="single"/>
        </w:rPr>
        <w:t>military power</w:t>
      </w:r>
      <w:r w:rsidR="00554A3C" w:rsidRPr="005437CC">
        <w:rPr>
          <w:rFonts w:eastAsia="Times New Roman" w:cs="Times New Roman"/>
          <w:b/>
          <w:iCs/>
          <w:sz w:val="26"/>
        </w:rPr>
        <w:t>.</w:t>
      </w:r>
    </w:p>
    <w:p w14:paraId="33AB18BB" w14:textId="77777777" w:rsidR="00554A3C" w:rsidRPr="005437CC" w:rsidRDefault="00554A3C" w:rsidP="00554A3C">
      <w:pPr>
        <w:rPr>
          <w:rFonts w:eastAsia="Calibri"/>
        </w:rPr>
      </w:pPr>
      <w:proofErr w:type="spellStart"/>
      <w:r w:rsidRPr="005437CC">
        <w:rPr>
          <w:rFonts w:eastAsia="Calibri"/>
          <w:b/>
          <w:bCs/>
          <w:sz w:val="26"/>
        </w:rPr>
        <w:t>Borghard</w:t>
      </w:r>
      <w:proofErr w:type="spellEnd"/>
      <w:r w:rsidRPr="005437CC">
        <w:rPr>
          <w:rFonts w:eastAsia="Calibri"/>
          <w:b/>
          <w:bCs/>
          <w:sz w:val="26"/>
        </w:rPr>
        <w:t xml:space="preserve"> ’19</w:t>
      </w:r>
      <w:r w:rsidRPr="005437CC">
        <w:rPr>
          <w:rFonts w:eastAsia="Calibri"/>
        </w:rPr>
        <w:t xml:space="preserve"> [Erica and Shawn Lonergan; April 25; Assistant Professor at the Army Cyber Institute at West Point Academy; U.S. Army Reserve Officer assigned to 75th Innovation Command and a Research Scholar at the Army Cyber Institute; CFR, “The Overlooked Military Implications of the 5G Debate,” </w:t>
      </w:r>
      <w:hyperlink r:id="rId9" w:history="1">
        <w:r w:rsidRPr="009952CF">
          <w:rPr>
            <w:rStyle w:val="Hyperlink"/>
            <w:rFonts w:eastAsia="Calibri"/>
          </w:rPr>
          <w:t>https://www.cfr.org/blog/overlooked-military-implications-5g-debate</w:t>
        </w:r>
      </w:hyperlink>
      <w:r w:rsidRPr="005437CC">
        <w:rPr>
          <w:rFonts w:eastAsia="Calibri"/>
        </w:rPr>
        <w:t>]</w:t>
      </w:r>
      <w:r>
        <w:rPr>
          <w:rFonts w:eastAsia="Calibri"/>
        </w:rPr>
        <w:t xml:space="preserve"> manan</w:t>
      </w:r>
    </w:p>
    <w:p w14:paraId="45E084BE" w14:textId="77777777" w:rsidR="00554A3C" w:rsidRPr="005437CC" w:rsidRDefault="00554A3C" w:rsidP="00554A3C">
      <w:pPr>
        <w:rPr>
          <w:rFonts w:eastAsia="Calibri"/>
          <w:sz w:val="16"/>
        </w:rPr>
      </w:pPr>
      <w:r w:rsidRPr="005437CC">
        <w:rPr>
          <w:rFonts w:eastAsia="Calibri"/>
          <w:sz w:val="16"/>
        </w:rPr>
        <w:t xml:space="preserve">The military applications of </w:t>
      </w:r>
      <w:r w:rsidRPr="00C83506">
        <w:rPr>
          <w:rFonts w:eastAsia="Calibri"/>
          <w:b/>
          <w:iCs/>
          <w:highlight w:val="cyan"/>
          <w:u w:val="single"/>
          <w:bdr w:val="single" w:sz="8" w:space="0" w:color="auto"/>
        </w:rPr>
        <w:t>5G</w:t>
      </w:r>
      <w:r w:rsidRPr="005437CC">
        <w:rPr>
          <w:rFonts w:eastAsia="Calibri"/>
          <w:b/>
          <w:iCs/>
          <w:u w:val="single"/>
          <w:bdr w:val="single" w:sz="8" w:space="0" w:color="auto"/>
        </w:rPr>
        <w:t xml:space="preserve"> tech</w:t>
      </w:r>
      <w:r w:rsidRPr="005437CC">
        <w:rPr>
          <w:rFonts w:eastAsia="Calibri"/>
          <w:u w:val="single"/>
        </w:rPr>
        <w:t xml:space="preserve">nology have vital </w:t>
      </w:r>
      <w:r w:rsidRPr="00C83506">
        <w:rPr>
          <w:rFonts w:eastAsia="Calibri"/>
          <w:b/>
          <w:iCs/>
          <w:highlight w:val="cyan"/>
          <w:u w:val="single"/>
          <w:bdr w:val="single" w:sz="8" w:space="0" w:color="auto"/>
        </w:rPr>
        <w:t>strategic</w:t>
      </w:r>
      <w:r w:rsidRPr="00C83506">
        <w:rPr>
          <w:rFonts w:eastAsia="Calibri"/>
          <w:highlight w:val="cyan"/>
          <w:u w:val="single"/>
        </w:rPr>
        <w:t xml:space="preserve"> and </w:t>
      </w:r>
      <w:r w:rsidRPr="00C83506">
        <w:rPr>
          <w:rFonts w:eastAsia="Calibri"/>
          <w:b/>
          <w:iCs/>
          <w:highlight w:val="cyan"/>
          <w:u w:val="single"/>
          <w:bdr w:val="single" w:sz="8" w:space="0" w:color="auto"/>
        </w:rPr>
        <w:t>battlefield</w:t>
      </w:r>
      <w:r w:rsidRPr="00C83506">
        <w:rPr>
          <w:rFonts w:eastAsia="Calibri"/>
          <w:highlight w:val="cyan"/>
          <w:u w:val="single"/>
        </w:rPr>
        <w:t xml:space="preserve"> implications</w:t>
      </w:r>
      <w:r w:rsidRPr="005437CC">
        <w:rPr>
          <w:rFonts w:eastAsia="Calibri"/>
          <w:u w:val="single"/>
        </w:rPr>
        <w:t xml:space="preserve"> for the U.S. Historically, the U.S. </w:t>
      </w:r>
      <w:r w:rsidRPr="00C83506">
        <w:rPr>
          <w:rFonts w:eastAsia="Calibri"/>
          <w:b/>
          <w:iCs/>
          <w:highlight w:val="cyan"/>
          <w:u w:val="single"/>
          <w:bdr w:val="single" w:sz="8" w:space="0" w:color="auto"/>
        </w:rPr>
        <w:t>military</w:t>
      </w:r>
      <w:r w:rsidRPr="005437CC">
        <w:rPr>
          <w:rFonts w:eastAsia="Calibri"/>
          <w:u w:val="single"/>
        </w:rPr>
        <w:t xml:space="preserve"> has </w:t>
      </w:r>
      <w:r w:rsidRPr="00C83506">
        <w:rPr>
          <w:rFonts w:eastAsia="Calibri"/>
          <w:highlight w:val="cyan"/>
          <w:u w:val="single"/>
        </w:rPr>
        <w:t>reaped</w:t>
      </w:r>
      <w:r w:rsidRPr="005437CC">
        <w:rPr>
          <w:rFonts w:eastAsia="Calibri"/>
          <w:u w:val="single"/>
        </w:rPr>
        <w:t xml:space="preserve"> </w:t>
      </w:r>
      <w:r w:rsidRPr="005437CC">
        <w:rPr>
          <w:rFonts w:eastAsia="Calibri"/>
          <w:b/>
          <w:iCs/>
          <w:u w:val="single"/>
          <w:bdr w:val="single" w:sz="8" w:space="0" w:color="auto"/>
        </w:rPr>
        <w:t xml:space="preserve">enormous </w:t>
      </w:r>
      <w:r w:rsidRPr="00C83506">
        <w:rPr>
          <w:rFonts w:eastAsia="Calibri"/>
          <w:b/>
          <w:iCs/>
          <w:highlight w:val="cyan"/>
          <w:u w:val="single"/>
          <w:bdr w:val="single" w:sz="8" w:space="0" w:color="auto"/>
        </w:rPr>
        <w:t>advantages</w:t>
      </w:r>
      <w:r w:rsidRPr="00C83506">
        <w:rPr>
          <w:rFonts w:eastAsia="Calibri"/>
          <w:highlight w:val="cyan"/>
          <w:u w:val="single"/>
        </w:rPr>
        <w:t xml:space="preserve"> from employing</w:t>
      </w:r>
      <w:r w:rsidRPr="005437CC">
        <w:rPr>
          <w:rFonts w:eastAsia="Calibri"/>
          <w:u w:val="single"/>
        </w:rPr>
        <w:t xml:space="preserve"> cutting edge </w:t>
      </w:r>
      <w:r w:rsidRPr="00C83506">
        <w:rPr>
          <w:rFonts w:eastAsia="Calibri"/>
          <w:b/>
          <w:iCs/>
          <w:highlight w:val="cyan"/>
          <w:u w:val="single"/>
          <w:bdr w:val="single" w:sz="8" w:space="0" w:color="auto"/>
        </w:rPr>
        <w:t>tech</w:t>
      </w:r>
      <w:r w:rsidRPr="005437CC">
        <w:rPr>
          <w:rFonts w:eastAsia="Calibri"/>
          <w:u w:val="single"/>
        </w:rPr>
        <w:t>nology</w:t>
      </w:r>
      <w:r w:rsidRPr="005437CC">
        <w:rPr>
          <w:rFonts w:eastAsia="Calibri"/>
          <w:sz w:val="16"/>
        </w:rPr>
        <w:t xml:space="preserve"> on the battlefield. </w:t>
      </w:r>
      <w:r w:rsidRPr="005437CC">
        <w:rPr>
          <w:rFonts w:eastAsia="Calibri"/>
          <w:u w:val="single"/>
        </w:rPr>
        <w:t xml:space="preserve">5G technology holds similar </w:t>
      </w:r>
      <w:r w:rsidRPr="00C83506">
        <w:rPr>
          <w:rFonts w:eastAsia="Calibri"/>
          <w:b/>
          <w:iCs/>
          <w:highlight w:val="cyan"/>
          <w:u w:val="single"/>
          <w:bdr w:val="single" w:sz="8" w:space="0" w:color="auto"/>
        </w:rPr>
        <w:t>innovative</w:t>
      </w:r>
      <w:r w:rsidRPr="00C83506">
        <w:rPr>
          <w:rFonts w:eastAsia="Calibri"/>
          <w:highlight w:val="cyan"/>
          <w:u w:val="single"/>
        </w:rPr>
        <w:t xml:space="preserve"> potential</w:t>
      </w:r>
      <w:r w:rsidRPr="005437CC">
        <w:rPr>
          <w:rFonts w:eastAsia="Calibri"/>
          <w:sz w:val="16"/>
        </w:rPr>
        <w:t xml:space="preserve">. Perhaps most obviously, the next generation of </w:t>
      </w:r>
      <w:r w:rsidRPr="005437CC">
        <w:rPr>
          <w:rFonts w:eastAsia="Calibri"/>
          <w:u w:val="single"/>
        </w:rPr>
        <w:t xml:space="preserve">telecommunications infrastructure will have a direct impact on improving military </w:t>
      </w:r>
      <w:r w:rsidRPr="005437CC">
        <w:rPr>
          <w:rFonts w:eastAsia="Calibri"/>
          <w:b/>
          <w:iCs/>
          <w:u w:val="single"/>
          <w:bdr w:val="single" w:sz="8" w:space="0" w:color="auto"/>
        </w:rPr>
        <w:t>comm</w:t>
      </w:r>
      <w:r w:rsidRPr="005437CC">
        <w:rPr>
          <w:rFonts w:eastAsia="Calibri"/>
          <w:u w:val="single"/>
        </w:rPr>
        <w:t>unication</w:t>
      </w:r>
      <w:r w:rsidRPr="005437CC">
        <w:rPr>
          <w:rFonts w:eastAsia="Calibri"/>
          <w:b/>
          <w:iCs/>
          <w:u w:val="single"/>
          <w:bdr w:val="single" w:sz="8" w:space="0" w:color="auto"/>
        </w:rPr>
        <w:t>s</w:t>
      </w:r>
      <w:r w:rsidRPr="005437CC">
        <w:rPr>
          <w:rFonts w:eastAsia="Calibri"/>
          <w:sz w:val="16"/>
        </w:rPr>
        <w:t xml:space="preserve">. However, it will also </w:t>
      </w:r>
      <w:r w:rsidRPr="005437CC">
        <w:rPr>
          <w:rFonts w:eastAsia="Calibri"/>
          <w:u w:val="single"/>
        </w:rPr>
        <w:t xml:space="preserve">produce cascading effects on the development of </w:t>
      </w:r>
      <w:r w:rsidRPr="00C83506">
        <w:rPr>
          <w:rFonts w:eastAsia="Calibri"/>
          <w:highlight w:val="cyan"/>
          <w:u w:val="single"/>
        </w:rPr>
        <w:t xml:space="preserve">other kinds of </w:t>
      </w:r>
      <w:r w:rsidRPr="00C83506">
        <w:rPr>
          <w:rFonts w:eastAsia="Calibri"/>
          <w:b/>
          <w:iCs/>
          <w:highlight w:val="cyan"/>
          <w:u w:val="single"/>
          <w:bdr w:val="single" w:sz="8" w:space="0" w:color="auto"/>
        </w:rPr>
        <w:t>military tech</w:t>
      </w:r>
      <w:r w:rsidRPr="005437CC">
        <w:rPr>
          <w:rFonts w:eastAsia="Calibri"/>
          <w:b/>
          <w:iCs/>
          <w:u w:val="single"/>
          <w:bdr w:val="single" w:sz="8" w:space="0" w:color="auto"/>
        </w:rPr>
        <w:t>nologies</w:t>
      </w:r>
      <w:r w:rsidRPr="005437CC">
        <w:rPr>
          <w:rFonts w:eastAsia="Calibri"/>
          <w:u w:val="single"/>
        </w:rPr>
        <w:t xml:space="preserve">, </w:t>
      </w:r>
      <w:r w:rsidRPr="00C83506">
        <w:rPr>
          <w:rFonts w:eastAsia="Calibri"/>
          <w:highlight w:val="cyan"/>
          <w:u w:val="single"/>
        </w:rPr>
        <w:t xml:space="preserve">such as robotics and </w:t>
      </w:r>
      <w:r w:rsidRPr="00C83506">
        <w:rPr>
          <w:rFonts w:eastAsia="Calibri"/>
          <w:b/>
          <w:iCs/>
          <w:highlight w:val="cyan"/>
          <w:u w:val="single"/>
          <w:bdr w:val="single" w:sz="8" w:space="0" w:color="auto"/>
        </w:rPr>
        <w:t>a</w:t>
      </w:r>
      <w:r w:rsidRPr="005437CC">
        <w:rPr>
          <w:rFonts w:eastAsia="Calibri"/>
          <w:sz w:val="16"/>
        </w:rPr>
        <w:t xml:space="preserve">rtificial </w:t>
      </w:r>
      <w:r w:rsidRPr="00C83506">
        <w:rPr>
          <w:rFonts w:eastAsia="Calibri"/>
          <w:b/>
          <w:iCs/>
          <w:highlight w:val="cyan"/>
          <w:u w:val="single"/>
          <w:bdr w:val="single" w:sz="8" w:space="0" w:color="auto"/>
        </w:rPr>
        <w:t>i</w:t>
      </w:r>
      <w:r w:rsidRPr="005437CC">
        <w:rPr>
          <w:rFonts w:eastAsia="Calibri"/>
          <w:sz w:val="16"/>
        </w:rPr>
        <w:t xml:space="preserve">ntelligence. For instance, artificial intelligence and machine learning capabilities, such as those used in the Department of Defense’s Project Maven, could be greatly enhanced when leveraging the data processing speeds made possible through 5G infrastructure. As an era of great power competition emerges between the </w:t>
      </w:r>
      <w:r w:rsidRPr="00C83506">
        <w:rPr>
          <w:rFonts w:eastAsia="Calibri"/>
          <w:b/>
          <w:iCs/>
          <w:highlight w:val="cyan"/>
          <w:u w:val="single"/>
          <w:bdr w:val="single" w:sz="8" w:space="0" w:color="auto"/>
        </w:rPr>
        <w:t>U</w:t>
      </w:r>
      <w:r w:rsidRPr="005437CC">
        <w:rPr>
          <w:rFonts w:eastAsia="Calibri"/>
          <w:sz w:val="16"/>
        </w:rPr>
        <w:t xml:space="preserve">nited </w:t>
      </w:r>
      <w:r w:rsidRPr="00C83506">
        <w:rPr>
          <w:rFonts w:eastAsia="Calibri"/>
          <w:b/>
          <w:iCs/>
          <w:highlight w:val="cyan"/>
          <w:u w:val="single"/>
          <w:bdr w:val="single" w:sz="8" w:space="0" w:color="auto"/>
        </w:rPr>
        <w:t>S</w:t>
      </w:r>
      <w:r w:rsidRPr="005437CC">
        <w:rPr>
          <w:rFonts w:eastAsia="Calibri"/>
          <w:sz w:val="16"/>
        </w:rPr>
        <w:t xml:space="preserve">tates and China, the United States </w:t>
      </w:r>
      <w:r w:rsidRPr="00C83506">
        <w:rPr>
          <w:rFonts w:eastAsia="Calibri"/>
          <w:highlight w:val="cyan"/>
          <w:u w:val="single"/>
        </w:rPr>
        <w:t>has</w:t>
      </w:r>
      <w:r w:rsidRPr="005437CC">
        <w:rPr>
          <w:rFonts w:eastAsia="Calibri"/>
          <w:u w:val="single"/>
        </w:rPr>
        <w:t xml:space="preserve"> a compelling </w:t>
      </w:r>
      <w:r w:rsidRPr="00C83506">
        <w:rPr>
          <w:rFonts w:eastAsia="Calibri"/>
          <w:b/>
          <w:iCs/>
          <w:highlight w:val="cyan"/>
          <w:u w:val="single"/>
          <w:bdr w:val="single" w:sz="8" w:space="0" w:color="auto"/>
        </w:rPr>
        <w:t>strategic interest</w:t>
      </w:r>
      <w:r w:rsidRPr="00C83506">
        <w:rPr>
          <w:rFonts w:eastAsia="Calibri"/>
          <w:highlight w:val="cyan"/>
          <w:u w:val="single"/>
        </w:rPr>
        <w:t xml:space="preserve"> in being at</w:t>
      </w:r>
      <w:r w:rsidRPr="005437CC">
        <w:rPr>
          <w:rFonts w:eastAsia="Calibri"/>
          <w:u w:val="single"/>
        </w:rPr>
        <w:t xml:space="preserve"> the </w:t>
      </w:r>
      <w:r w:rsidRPr="00C83506">
        <w:rPr>
          <w:rFonts w:eastAsia="Calibri"/>
          <w:highlight w:val="cyan"/>
          <w:u w:val="single"/>
        </w:rPr>
        <w:t>forefront of</w:t>
      </w:r>
      <w:r w:rsidRPr="005437CC">
        <w:rPr>
          <w:rFonts w:eastAsia="Calibri"/>
          <w:u w:val="single"/>
        </w:rPr>
        <w:t xml:space="preserve"> these </w:t>
      </w:r>
      <w:r w:rsidRPr="00C83506">
        <w:rPr>
          <w:rFonts w:eastAsia="Calibri"/>
          <w:b/>
          <w:iCs/>
          <w:highlight w:val="cyan"/>
          <w:u w:val="single"/>
          <w:bdr w:val="single" w:sz="8" w:space="0" w:color="auto"/>
        </w:rPr>
        <w:t>new tech</w:t>
      </w:r>
      <w:r w:rsidRPr="005437CC">
        <w:rPr>
          <w:rFonts w:eastAsia="Calibri"/>
          <w:b/>
          <w:iCs/>
          <w:u w:val="single"/>
          <w:bdr w:val="single" w:sz="8" w:space="0" w:color="auto"/>
        </w:rPr>
        <w:t>nologies</w:t>
      </w:r>
      <w:r w:rsidRPr="005437CC">
        <w:rPr>
          <w:rFonts w:eastAsia="Calibri"/>
          <w:sz w:val="16"/>
        </w:rPr>
        <w:t>.</w:t>
      </w:r>
    </w:p>
    <w:p w14:paraId="51513973" w14:textId="77777777" w:rsidR="00554A3C" w:rsidRPr="005437CC" w:rsidRDefault="00554A3C" w:rsidP="00554A3C">
      <w:pPr>
        <w:rPr>
          <w:rFonts w:eastAsia="Calibri"/>
          <w:sz w:val="16"/>
        </w:rPr>
      </w:pPr>
      <w:r w:rsidRPr="005437CC">
        <w:rPr>
          <w:rFonts w:eastAsia="Calibri"/>
          <w:sz w:val="16"/>
        </w:rPr>
        <w:t>The United States and its allies must also consider the tactical and operational implications on the battlefield of conducting conventional or counterinsurgency operations in an area with Chinese owned or operated 5G infrastructure. This concern stems from the nature of the relationship between Huawei, an ostensibly private company, and the Chinese Communist Party (CCP). While Huawei’s founder and CEO, Ren Zhengfei proclaimed in a February 2019 interview on CBS This Morning that the company never has and never would provide information to the Chinese government, many experts are skeptical. Under China’s 2017 National Intelligence Law, the CCP has the authority to monitor and investigate domestic and international companies as well as direct organizations to assist with government espionage efforts. As such, it is conceivable that Huawei will be required to hand over its data to the Chinese government for collection and analysis.</w:t>
      </w:r>
    </w:p>
    <w:p w14:paraId="3415D51B" w14:textId="77777777" w:rsidR="00554A3C" w:rsidRPr="005437CC" w:rsidRDefault="00554A3C" w:rsidP="00554A3C">
      <w:pPr>
        <w:rPr>
          <w:rFonts w:eastAsia="Calibri"/>
          <w:sz w:val="16"/>
        </w:rPr>
      </w:pPr>
      <w:r w:rsidRPr="005437CC">
        <w:rPr>
          <w:rFonts w:eastAsia="Calibri"/>
          <w:sz w:val="16"/>
        </w:rPr>
        <w:t xml:space="preserve">Due to this reality, the United States must consider and be prepared to conduct overseas contingency or counterterrorism operations in areas where Chinese telecommunications infrastructure is widely proliferated, thus restricting the United States’ ability to rely on indigenous telecoms. As noted by US AFRICOM Commander General Thomas Waldhauser, this has already become an issue in Africa where Chinese telecommunications companies are poised to dominate. The integrity of U.S. military communications systems that rely on 5G networks could be undermined at key phases of an operation. For example, if the United States is conducting a military operation in an area of interest to China, it is plausible that the Chinese government could leverage Huawei to intercept or even deny military communications. Furthermore, Chinese telecom infrastructure dominance in a theater of operations may limit the U.S. military’s ability to conduct precision targeting that leverages signals intelligence collection on 5G telecommunications networks. </w:t>
      </w:r>
    </w:p>
    <w:p w14:paraId="449D4EF7" w14:textId="77777777" w:rsidR="00554A3C" w:rsidRPr="005437CC" w:rsidRDefault="00554A3C" w:rsidP="00554A3C">
      <w:pPr>
        <w:rPr>
          <w:rFonts w:eastAsia="Calibri"/>
          <w:sz w:val="16"/>
        </w:rPr>
      </w:pPr>
      <w:r w:rsidRPr="005437CC">
        <w:rPr>
          <w:rFonts w:eastAsia="Calibri"/>
          <w:sz w:val="16"/>
        </w:rPr>
        <w:t>T</w:t>
      </w:r>
      <w:r w:rsidRPr="005437CC">
        <w:rPr>
          <w:rFonts w:eastAsia="Calibri"/>
          <w:u w:val="single"/>
        </w:rPr>
        <w:t xml:space="preserve">he </w:t>
      </w:r>
      <w:r w:rsidRPr="00C83506">
        <w:rPr>
          <w:rFonts w:eastAsia="Calibri"/>
          <w:b/>
          <w:iCs/>
          <w:highlight w:val="cyan"/>
          <w:u w:val="single"/>
          <w:bdr w:val="single" w:sz="8" w:space="0" w:color="auto"/>
        </w:rPr>
        <w:t>strategic</w:t>
      </w:r>
      <w:r w:rsidRPr="005437CC">
        <w:rPr>
          <w:rFonts w:eastAsia="Calibri"/>
          <w:u w:val="single"/>
        </w:rPr>
        <w:t xml:space="preserve"> and </w:t>
      </w:r>
      <w:r w:rsidRPr="005437CC">
        <w:rPr>
          <w:rFonts w:eastAsia="Calibri"/>
          <w:b/>
          <w:iCs/>
          <w:u w:val="single"/>
          <w:bdr w:val="single" w:sz="8" w:space="0" w:color="auto"/>
        </w:rPr>
        <w:t xml:space="preserve">battlefield </w:t>
      </w:r>
      <w:r w:rsidRPr="00C83506">
        <w:rPr>
          <w:rFonts w:eastAsia="Calibri"/>
          <w:b/>
          <w:iCs/>
          <w:highlight w:val="cyan"/>
          <w:u w:val="single"/>
          <w:bdr w:val="single" w:sz="8" w:space="0" w:color="auto"/>
        </w:rPr>
        <w:t>implications</w:t>
      </w:r>
      <w:r w:rsidRPr="00C83506">
        <w:rPr>
          <w:rFonts w:eastAsia="Calibri"/>
          <w:highlight w:val="cyan"/>
          <w:u w:val="single"/>
        </w:rPr>
        <w:t xml:space="preserve"> of who owns</w:t>
      </w:r>
      <w:r w:rsidRPr="005437CC">
        <w:rPr>
          <w:rFonts w:eastAsia="Calibri"/>
          <w:u w:val="single"/>
        </w:rPr>
        <w:t xml:space="preserve"> and operates </w:t>
      </w:r>
      <w:r w:rsidRPr="00C83506">
        <w:rPr>
          <w:rFonts w:eastAsia="Calibri"/>
          <w:b/>
          <w:iCs/>
          <w:highlight w:val="cyan"/>
          <w:u w:val="single"/>
          <w:bdr w:val="single" w:sz="8" w:space="0" w:color="auto"/>
        </w:rPr>
        <w:t>5G infra</w:t>
      </w:r>
      <w:r w:rsidRPr="005437CC">
        <w:rPr>
          <w:rFonts w:eastAsia="Calibri"/>
          <w:b/>
          <w:iCs/>
          <w:u w:val="single"/>
          <w:bdr w:val="single" w:sz="8" w:space="0" w:color="auto"/>
        </w:rPr>
        <w:t>structure</w:t>
      </w:r>
      <w:r w:rsidRPr="005437CC">
        <w:rPr>
          <w:rFonts w:eastAsia="Calibri"/>
          <w:u w:val="single"/>
        </w:rPr>
        <w:t xml:space="preserve"> around the world </w:t>
      </w:r>
      <w:r w:rsidRPr="00C83506">
        <w:rPr>
          <w:rFonts w:eastAsia="Calibri"/>
          <w:highlight w:val="cyan"/>
          <w:u w:val="single"/>
        </w:rPr>
        <w:t>underscores</w:t>
      </w:r>
      <w:r w:rsidRPr="005437CC">
        <w:rPr>
          <w:rFonts w:eastAsia="Calibri"/>
          <w:u w:val="single"/>
        </w:rPr>
        <w:t xml:space="preserve"> the </w:t>
      </w:r>
      <w:r w:rsidRPr="00C83506">
        <w:rPr>
          <w:rFonts w:eastAsia="Calibri"/>
          <w:highlight w:val="cyan"/>
          <w:u w:val="single"/>
        </w:rPr>
        <w:t xml:space="preserve">national </w:t>
      </w:r>
      <w:r w:rsidRPr="00C83506">
        <w:rPr>
          <w:rFonts w:eastAsia="Calibri"/>
          <w:b/>
          <w:iCs/>
          <w:highlight w:val="cyan"/>
          <w:u w:val="single"/>
          <w:bdr w:val="single" w:sz="8" w:space="0" w:color="auto"/>
        </w:rPr>
        <w:t>security importance</w:t>
      </w:r>
      <w:r w:rsidRPr="00C83506">
        <w:rPr>
          <w:rFonts w:eastAsia="Calibri"/>
          <w:highlight w:val="cyan"/>
          <w:u w:val="single"/>
        </w:rPr>
        <w:t xml:space="preserve"> of 5G</w:t>
      </w:r>
      <w:r w:rsidRPr="005437CC">
        <w:rPr>
          <w:rFonts w:eastAsia="Calibri"/>
          <w:sz w:val="16"/>
        </w:rPr>
        <w:t>. The U.S. government and its allies should more systematically assess both the opportunities and risks associated with conducting future military operations in environments that rely on Chinese technology.</w:t>
      </w:r>
    </w:p>
    <w:p w14:paraId="61EB319F" w14:textId="77777777" w:rsidR="00554A3C" w:rsidRPr="005437CC" w:rsidRDefault="00554A3C" w:rsidP="00554A3C">
      <w:pPr>
        <w:rPr>
          <w:rFonts w:eastAsia="Calibri"/>
          <w:sz w:val="16"/>
        </w:rPr>
      </w:pPr>
      <w:r w:rsidRPr="005437CC">
        <w:rPr>
          <w:rFonts w:eastAsia="Calibri"/>
          <w:sz w:val="16"/>
        </w:rPr>
        <w:t xml:space="preserve">To date, the U.S. government has devoted significant energy to persuading its allies and partners to follow the United States in prohibiting Chinese telecoms, particularly Huawei, from building and/or operating 5G infrastructure. However, its diplomatic approach has been met with varying degrees of success. While some countries such as Australia and Japan have fallen in line with the U.S. stance on Huawei, many others have not. The European Commission’s recent 5G recommendations for member states dismissed a ban on Chinese telecoms. British intelligence has reportedly maintained that the security risks associated with Huawei can be sufficiently managed, and New Zealand, after initially </w:t>
      </w:r>
      <w:proofErr w:type="spellStart"/>
      <w:r w:rsidRPr="005437CC">
        <w:rPr>
          <w:rFonts w:eastAsia="Calibri"/>
          <w:sz w:val="16"/>
        </w:rPr>
        <w:t>bandwagoning</w:t>
      </w:r>
      <w:proofErr w:type="spellEnd"/>
      <w:r w:rsidRPr="005437CC">
        <w:rPr>
          <w:rFonts w:eastAsia="Calibri"/>
          <w:sz w:val="16"/>
        </w:rPr>
        <w:t xml:space="preserve"> with the United States in December 2018, abruptly reversed course in February 2019. This is concerning for the United States because New Zealand and the UK are members of the Five Eyes intelligence-sharing alliance. Many allies have refused an outright ban of Huawei because of the company’s ability to offer 5G products at far cheaper rates than Western telecoms. </w:t>
      </w:r>
    </w:p>
    <w:p w14:paraId="16DB7D14" w14:textId="77777777" w:rsidR="00554A3C" w:rsidRPr="005437CC" w:rsidRDefault="00554A3C" w:rsidP="00554A3C">
      <w:pPr>
        <w:rPr>
          <w:rFonts w:eastAsia="Calibri"/>
          <w:sz w:val="16"/>
        </w:rPr>
      </w:pPr>
      <w:r w:rsidRPr="005437CC">
        <w:rPr>
          <w:rFonts w:eastAsia="Calibri"/>
          <w:u w:val="single"/>
        </w:rPr>
        <w:t xml:space="preserve">It is clear that U.S. </w:t>
      </w:r>
      <w:r w:rsidRPr="00C83506">
        <w:rPr>
          <w:rFonts w:eastAsia="Calibri"/>
          <w:b/>
          <w:iCs/>
          <w:highlight w:val="cyan"/>
          <w:u w:val="single"/>
          <w:bdr w:val="single" w:sz="8" w:space="0" w:color="auto"/>
        </w:rPr>
        <w:t>diplomatic efforts</w:t>
      </w:r>
      <w:r w:rsidRPr="005437CC">
        <w:rPr>
          <w:rFonts w:eastAsia="Calibri"/>
          <w:u w:val="single"/>
        </w:rPr>
        <w:t xml:space="preserve"> are </w:t>
      </w:r>
      <w:r w:rsidRPr="00C83506">
        <w:rPr>
          <w:rFonts w:eastAsia="Calibri"/>
          <w:highlight w:val="cyan"/>
          <w:u w:val="single"/>
        </w:rPr>
        <w:t xml:space="preserve">not </w:t>
      </w:r>
      <w:r w:rsidRPr="00C83506">
        <w:rPr>
          <w:rFonts w:eastAsia="Calibri"/>
          <w:b/>
          <w:iCs/>
          <w:highlight w:val="cyan"/>
          <w:u w:val="single"/>
          <w:bdr w:val="single" w:sz="8" w:space="0" w:color="auto"/>
        </w:rPr>
        <w:t>working</w:t>
      </w:r>
      <w:r w:rsidRPr="005437CC">
        <w:rPr>
          <w:rFonts w:eastAsia="Calibri"/>
          <w:sz w:val="16"/>
        </w:rPr>
        <w:t xml:space="preserve">. The reality is that the bottom line is largely driving decision-making. </w:t>
      </w:r>
      <w:r w:rsidRPr="005437CC">
        <w:rPr>
          <w:rFonts w:eastAsia="Calibri"/>
          <w:u w:val="single"/>
        </w:rPr>
        <w:t xml:space="preserve">Therefore, rather than take a purely negative approach, the </w:t>
      </w:r>
      <w:r w:rsidRPr="00C83506">
        <w:rPr>
          <w:rFonts w:eastAsia="Calibri"/>
          <w:b/>
          <w:iCs/>
          <w:highlight w:val="cyan"/>
          <w:u w:val="single"/>
          <w:bdr w:val="single" w:sz="8" w:space="0" w:color="auto"/>
        </w:rPr>
        <w:t>U</w:t>
      </w:r>
      <w:r w:rsidRPr="005437CC">
        <w:rPr>
          <w:rFonts w:eastAsia="Calibri"/>
          <w:sz w:val="16"/>
        </w:rPr>
        <w:t xml:space="preserve">nited </w:t>
      </w:r>
      <w:r w:rsidRPr="00C83506">
        <w:rPr>
          <w:rFonts w:eastAsia="Calibri"/>
          <w:b/>
          <w:iCs/>
          <w:highlight w:val="cyan"/>
          <w:u w:val="single"/>
          <w:bdr w:val="single" w:sz="8" w:space="0" w:color="auto"/>
        </w:rPr>
        <w:t>S</w:t>
      </w:r>
      <w:r w:rsidRPr="005437CC">
        <w:rPr>
          <w:rFonts w:eastAsia="Calibri"/>
          <w:sz w:val="16"/>
        </w:rPr>
        <w:t xml:space="preserve">tates </w:t>
      </w:r>
      <w:r w:rsidRPr="00C83506">
        <w:rPr>
          <w:rFonts w:eastAsia="Calibri"/>
          <w:highlight w:val="cyan"/>
          <w:u w:val="single"/>
        </w:rPr>
        <w:t>should consider</w:t>
      </w:r>
      <w:r w:rsidRPr="005437CC">
        <w:rPr>
          <w:rFonts w:eastAsia="Calibri"/>
          <w:u w:val="single"/>
        </w:rPr>
        <w:t xml:space="preserve"> using </w:t>
      </w:r>
      <w:r w:rsidRPr="00C83506">
        <w:rPr>
          <w:rFonts w:eastAsia="Calibri"/>
          <w:highlight w:val="cyan"/>
          <w:u w:val="single"/>
        </w:rPr>
        <w:t xml:space="preserve">positive </w:t>
      </w:r>
      <w:r w:rsidRPr="00C83506">
        <w:rPr>
          <w:rFonts w:eastAsia="Calibri"/>
          <w:b/>
          <w:iCs/>
          <w:highlight w:val="cyan"/>
          <w:u w:val="single"/>
          <w:bdr w:val="single" w:sz="8" w:space="0" w:color="auto"/>
        </w:rPr>
        <w:lastRenderedPageBreak/>
        <w:t>inducements</w:t>
      </w:r>
      <w:r w:rsidRPr="00C83506">
        <w:rPr>
          <w:rFonts w:eastAsia="Calibri"/>
          <w:highlight w:val="cyan"/>
          <w:u w:val="single"/>
        </w:rPr>
        <w:t xml:space="preserve"> to make</w:t>
      </w:r>
      <w:r w:rsidRPr="005437CC">
        <w:rPr>
          <w:rFonts w:eastAsia="Calibri"/>
          <w:u w:val="single"/>
        </w:rPr>
        <w:t xml:space="preserve"> its </w:t>
      </w:r>
      <w:r w:rsidRPr="00C83506">
        <w:rPr>
          <w:rFonts w:eastAsia="Calibri"/>
          <w:b/>
          <w:iCs/>
          <w:highlight w:val="cyan"/>
          <w:u w:val="single"/>
          <w:bdr w:val="single" w:sz="8" w:space="0" w:color="auto"/>
        </w:rPr>
        <w:t>5G</w:t>
      </w:r>
      <w:r w:rsidRPr="005437CC">
        <w:rPr>
          <w:rFonts w:eastAsia="Calibri"/>
          <w:b/>
          <w:iCs/>
          <w:u w:val="single"/>
          <w:bdr w:val="single" w:sz="8" w:space="0" w:color="auto"/>
        </w:rPr>
        <w:t xml:space="preserve"> products</w:t>
      </w:r>
      <w:r w:rsidRPr="005437CC">
        <w:rPr>
          <w:rFonts w:eastAsia="Calibri"/>
          <w:u w:val="single"/>
        </w:rPr>
        <w:t xml:space="preserve"> </w:t>
      </w:r>
      <w:r w:rsidRPr="00C83506">
        <w:rPr>
          <w:rFonts w:eastAsia="Calibri"/>
          <w:highlight w:val="cyan"/>
          <w:u w:val="single"/>
        </w:rPr>
        <w:t xml:space="preserve">more </w:t>
      </w:r>
      <w:r w:rsidRPr="00C83506">
        <w:rPr>
          <w:rFonts w:eastAsia="Calibri"/>
          <w:b/>
          <w:iCs/>
          <w:highlight w:val="cyan"/>
          <w:u w:val="single"/>
          <w:bdr w:val="single" w:sz="8" w:space="0" w:color="auto"/>
        </w:rPr>
        <w:t>appealing</w:t>
      </w:r>
      <w:r w:rsidRPr="005437CC">
        <w:rPr>
          <w:rFonts w:eastAsia="Calibri"/>
          <w:sz w:val="16"/>
        </w:rPr>
        <w:t>. While the United States should not strive to mirror China’s top-down approach to innovation, it should work with allies to use market incentives to make U.S.- and Western-developed 5G infrastructure and products more competitive. Furthermore, the U.S. military needs to anticipate that its use of native telecommunications infrastructure in a future operating environment may be compromised, limited, or denied. The U.S. military will inevitably need greater bandwidth on the tactical edge and this should be an imperative that drives investment in research and development to address this challenge.</w:t>
      </w:r>
    </w:p>
    <w:p w14:paraId="7D5A1359" w14:textId="77777777" w:rsidR="00554A3C" w:rsidRPr="005437CC" w:rsidRDefault="00554A3C" w:rsidP="00554A3C">
      <w:pPr>
        <w:rPr>
          <w:rFonts w:eastAsia="Calibri"/>
          <w:sz w:val="16"/>
        </w:rPr>
      </w:pPr>
      <w:r w:rsidRPr="005437CC">
        <w:rPr>
          <w:rFonts w:eastAsia="Calibri"/>
          <w:u w:val="single"/>
        </w:rPr>
        <w:t xml:space="preserve">Technological </w:t>
      </w:r>
      <w:r w:rsidRPr="00C83506">
        <w:rPr>
          <w:rFonts w:eastAsia="Calibri"/>
          <w:b/>
          <w:iCs/>
          <w:highlight w:val="cyan"/>
          <w:u w:val="single"/>
          <w:bdr w:val="single" w:sz="8" w:space="0" w:color="auto"/>
        </w:rPr>
        <w:t>innovation</w:t>
      </w:r>
      <w:r w:rsidRPr="005437CC">
        <w:rPr>
          <w:rFonts w:eastAsia="Calibri"/>
          <w:u w:val="single"/>
        </w:rPr>
        <w:t xml:space="preserve"> was </w:t>
      </w:r>
      <w:r w:rsidRPr="00C83506">
        <w:rPr>
          <w:rFonts w:eastAsia="Calibri"/>
          <w:highlight w:val="cyan"/>
          <w:u w:val="single"/>
        </w:rPr>
        <w:t>at</w:t>
      </w:r>
      <w:r w:rsidRPr="005437CC">
        <w:rPr>
          <w:rFonts w:eastAsia="Calibri"/>
          <w:u w:val="single"/>
        </w:rPr>
        <w:t xml:space="preserve"> the </w:t>
      </w:r>
      <w:r w:rsidRPr="00C83506">
        <w:rPr>
          <w:rFonts w:eastAsia="Calibri"/>
          <w:highlight w:val="cyan"/>
          <w:u w:val="single"/>
        </w:rPr>
        <w:t>crux of</w:t>
      </w:r>
      <w:r w:rsidRPr="005437CC">
        <w:rPr>
          <w:rFonts w:eastAsia="Calibri"/>
          <w:u w:val="single"/>
        </w:rPr>
        <w:t xml:space="preserve"> the United States’ comparative </w:t>
      </w:r>
      <w:r w:rsidRPr="00C83506">
        <w:rPr>
          <w:rFonts w:eastAsia="Calibri"/>
          <w:b/>
          <w:iCs/>
          <w:highlight w:val="cyan"/>
          <w:u w:val="single"/>
          <w:bdr w:val="single" w:sz="8" w:space="0" w:color="auto"/>
        </w:rPr>
        <w:t>military</w:t>
      </w:r>
      <w:r w:rsidRPr="005437CC">
        <w:rPr>
          <w:rFonts w:eastAsia="Calibri"/>
          <w:u w:val="single"/>
        </w:rPr>
        <w:t xml:space="preserve"> and </w:t>
      </w:r>
      <w:r w:rsidRPr="005437CC">
        <w:rPr>
          <w:rFonts w:eastAsia="Calibri"/>
          <w:b/>
          <w:iCs/>
          <w:u w:val="single"/>
          <w:bdr w:val="single" w:sz="8" w:space="0" w:color="auto"/>
        </w:rPr>
        <w:t xml:space="preserve">economic </w:t>
      </w:r>
      <w:r w:rsidRPr="00C83506">
        <w:rPr>
          <w:rFonts w:eastAsia="Calibri"/>
          <w:b/>
          <w:iCs/>
          <w:highlight w:val="cyan"/>
          <w:u w:val="single"/>
          <w:bdr w:val="single" w:sz="8" w:space="0" w:color="auto"/>
        </w:rPr>
        <w:t>advantage</w:t>
      </w:r>
      <w:r w:rsidRPr="005437CC">
        <w:rPr>
          <w:rFonts w:eastAsia="Calibri"/>
          <w:u w:val="single"/>
        </w:rPr>
        <w:t xml:space="preserve"> in the twentieth century</w:t>
      </w:r>
      <w:r w:rsidRPr="005437CC">
        <w:rPr>
          <w:rFonts w:eastAsia="Calibri"/>
          <w:sz w:val="16"/>
        </w:rPr>
        <w:t>. In this contemporary great power competition, U.S. failure to innovate at the scientific and technological frontier will have direct (and deleterious) effects for the United States on the distribution of power in the international system over the long term.</w:t>
      </w:r>
    </w:p>
    <w:p w14:paraId="6F55DF90" w14:textId="74B06D49" w:rsidR="00735AA7" w:rsidRDefault="00735AA7" w:rsidP="00735AA7">
      <w:pPr>
        <w:pStyle w:val="Heading3"/>
      </w:pPr>
      <w:r>
        <w:lastRenderedPageBreak/>
        <w:t xml:space="preserve">AT: </w:t>
      </w:r>
      <w:r w:rsidR="00AE7716">
        <w:t>Courts</w:t>
      </w:r>
      <w:r>
        <w:t>---2AC</w:t>
      </w:r>
    </w:p>
    <w:p w14:paraId="59775BF0" w14:textId="5A3C6165" w:rsidR="00A24098" w:rsidRPr="00D63F92" w:rsidRDefault="00880646" w:rsidP="00A24098">
      <w:pPr>
        <w:pStyle w:val="Heading4"/>
        <w:rPr>
          <w:rFonts w:cs="Calibri"/>
        </w:rPr>
      </w:pPr>
      <w:r>
        <w:rPr>
          <w:rFonts w:cs="Calibri"/>
        </w:rPr>
        <w:t>1---</w:t>
      </w:r>
      <w:r w:rsidR="00A24098">
        <w:rPr>
          <w:rFonts w:cs="Calibri"/>
        </w:rPr>
        <w:t xml:space="preserve">Literally IMPOSSIBLE --- </w:t>
      </w:r>
      <w:r w:rsidR="00A24098" w:rsidRPr="00D63F92">
        <w:rPr>
          <w:rFonts w:cs="Calibri"/>
        </w:rPr>
        <w:t xml:space="preserve">Courts have </w:t>
      </w:r>
      <w:r w:rsidR="00A24098" w:rsidRPr="00D63F92">
        <w:rPr>
          <w:rFonts w:cs="Calibri"/>
          <w:u w:val="single"/>
        </w:rPr>
        <w:t>no influence</w:t>
      </w:r>
      <w:r w:rsidR="00A24098" w:rsidRPr="00D63F92">
        <w:rPr>
          <w:rFonts w:cs="Calibri"/>
        </w:rPr>
        <w:t xml:space="preserve"> on FTC adjudication.</w:t>
      </w:r>
    </w:p>
    <w:p w14:paraId="530EED70" w14:textId="21DC1864" w:rsidR="00A24098" w:rsidRPr="00D63F92" w:rsidRDefault="00A24098" w:rsidP="00A24098">
      <w:r w:rsidRPr="00D63F92">
        <w:t xml:space="preserve">Royce </w:t>
      </w:r>
      <w:r w:rsidRPr="00D63F92">
        <w:rPr>
          <w:rStyle w:val="Style13ptBold"/>
        </w:rPr>
        <w:t>Zeisler 14</w:t>
      </w:r>
      <w:r w:rsidRPr="00D63F92">
        <w:t>. J.D. Candidate, Columbia Law School; B.S., B.A. 2012, University of British Columbia. “CHEVRON DEFERENCE AND THE FTC: HOW AND WHY THE FTC SHOULD USE CHEVRON TO IMPROVE ANTITRUST ENFORCEMENT”. 2014 COLUM. BUS. L. REV. 266. 2014</w:t>
      </w:r>
      <w:r w:rsidR="0023720C">
        <w:t>, manan</w:t>
      </w:r>
    </w:p>
    <w:p w14:paraId="7EB7C710" w14:textId="77777777" w:rsidR="00A24098" w:rsidRPr="00D63F92" w:rsidRDefault="00A24098" w:rsidP="00A24098">
      <w:pPr>
        <w:rPr>
          <w:rStyle w:val="StyleUnderline"/>
          <w:highlight w:val="cyan"/>
        </w:rPr>
      </w:pPr>
      <w:r w:rsidRPr="00D63F92">
        <w:rPr>
          <w:sz w:val="16"/>
        </w:rPr>
        <w:t xml:space="preserve">Importantly, the FTC Act not only created a new category of antitrust liability, but it also created a new norm-creator for defining that category: the FTC itself. That is, through the administrative structure of the FTC, Congress made clear that </w:t>
      </w:r>
      <w:r w:rsidRPr="00D63F92">
        <w:rPr>
          <w:rStyle w:val="StyleUnderline"/>
          <w:highlight w:val="cyan"/>
        </w:rPr>
        <w:t xml:space="preserve">the FTC </w:t>
      </w:r>
      <w:r w:rsidRPr="00D63F92">
        <w:rPr>
          <w:rStyle w:val="StyleUnderline"/>
        </w:rPr>
        <w:t xml:space="preserve">should be a </w:t>
      </w:r>
      <w:r w:rsidRPr="00D63F92">
        <w:rPr>
          <w:rStyle w:val="Emphasis"/>
        </w:rPr>
        <w:t>dynamic norm-creator</w:t>
      </w:r>
      <w:r w:rsidRPr="00D63F92">
        <w:rPr>
          <w:sz w:val="16"/>
        </w:rPr>
        <w:t xml:space="preserve">. Specifically, </w:t>
      </w:r>
      <w:r w:rsidRPr="00D63F92">
        <w:rPr>
          <w:rStyle w:val="StyleUnderline"/>
        </w:rPr>
        <w:t>Congress</w:t>
      </w:r>
      <w:r w:rsidRPr="00D63F92">
        <w:rPr>
          <w:sz w:val="16"/>
        </w:rPr>
        <w:t xml:space="preserve"> paralleled the novel agency framework of the Interstate Commerce Commission ("ICC") and </w:t>
      </w:r>
      <w:r w:rsidRPr="00D63F92">
        <w:rPr>
          <w:rStyle w:val="StyleUnderline"/>
        </w:rPr>
        <w:t>established</w:t>
      </w:r>
      <w:r w:rsidRPr="00D63F92">
        <w:rPr>
          <w:sz w:val="16"/>
        </w:rPr>
        <w:t xml:space="preserve"> the </w:t>
      </w:r>
      <w:r w:rsidRPr="00D63F92">
        <w:rPr>
          <w:rStyle w:val="StyleUnderline"/>
        </w:rPr>
        <w:t>FTC</w:t>
      </w:r>
      <w:r w:rsidRPr="00D63F92">
        <w:rPr>
          <w:sz w:val="16"/>
        </w:rPr>
        <w:t xml:space="preserve"> as an independent agency that could bring cases through </w:t>
      </w:r>
      <w:r w:rsidRPr="00D63F92">
        <w:rPr>
          <w:rStyle w:val="Emphasis"/>
          <w:highlight w:val="cyan"/>
        </w:rPr>
        <w:t>internal adjudication</w:t>
      </w:r>
      <w:r w:rsidRPr="00D63F92">
        <w:rPr>
          <w:rStyle w:val="StyleUnderline"/>
          <w:highlight w:val="cyan"/>
        </w:rPr>
        <w:t xml:space="preserve"> and</w:t>
      </w:r>
      <w:r w:rsidRPr="00D63F92">
        <w:rPr>
          <w:sz w:val="16"/>
          <w:highlight w:val="cyan"/>
        </w:rPr>
        <w:t xml:space="preserve"> </w:t>
      </w:r>
      <w:r w:rsidRPr="00D63F92">
        <w:rPr>
          <w:sz w:val="16"/>
        </w:rPr>
        <w:t xml:space="preserve">issue </w:t>
      </w:r>
      <w:r w:rsidRPr="00D63F92">
        <w:rPr>
          <w:rStyle w:val="StyleUnderline"/>
          <w:highlight w:val="cyan"/>
        </w:rPr>
        <w:t>cease-and</w:t>
      </w:r>
      <w:r w:rsidRPr="00D63F92">
        <w:rPr>
          <w:rStyle w:val="StyleUnderline"/>
        </w:rPr>
        <w:t>-</w:t>
      </w:r>
      <w:r w:rsidRPr="00D63F92">
        <w:rPr>
          <w:rStyle w:val="StyleUnderline"/>
          <w:highlight w:val="cyan"/>
        </w:rPr>
        <w:t xml:space="preserve">desist </w:t>
      </w:r>
      <w:r w:rsidRPr="00D63F92">
        <w:rPr>
          <w:rStyle w:val="StyleUnderline"/>
        </w:rPr>
        <w:t>orders</w:t>
      </w:r>
      <w:r w:rsidRPr="00D63F92">
        <w:rPr>
          <w:sz w:val="16"/>
        </w:rPr>
        <w:t xml:space="preserve">. 27 This structure meant and continues to mean (1) that </w:t>
      </w:r>
      <w:r w:rsidRPr="00D63F92">
        <w:rPr>
          <w:rStyle w:val="Emphasis"/>
        </w:rPr>
        <w:t xml:space="preserve">section 5 </w:t>
      </w:r>
      <w:r w:rsidRPr="00D63F92">
        <w:rPr>
          <w:rStyle w:val="Emphasis"/>
          <w:highlight w:val="cyan"/>
        </w:rPr>
        <w:t>cases do not go before juries</w:t>
      </w:r>
      <w:r w:rsidRPr="00D63F92">
        <w:rPr>
          <w:sz w:val="16"/>
        </w:rPr>
        <w:t xml:space="preserve">, 28 (2) that Article III appellate courts use the FTC's administrative record, and (3) that the FTC's factual conclusions are reviewed under the substantial evidence standard. 29 Thus, [*274] much like the Sherman Act, </w:t>
      </w:r>
      <w:r w:rsidRPr="00D63F92">
        <w:rPr>
          <w:rStyle w:val="StyleUnderline"/>
        </w:rPr>
        <w:t>section 5 was intended to be flexible and evolve as business practices changed</w:t>
      </w:r>
      <w:r w:rsidRPr="00D63F92">
        <w:rPr>
          <w:sz w:val="16"/>
        </w:rPr>
        <w:t xml:space="preserve">. 30 </w:t>
      </w:r>
      <w:r w:rsidRPr="00D63F92">
        <w:rPr>
          <w:rStyle w:val="Emphasis"/>
        </w:rPr>
        <w:t>Unlike the Sherman Act</w:t>
      </w:r>
      <w:r w:rsidRPr="00D63F92">
        <w:rPr>
          <w:rStyle w:val="StyleUnderline"/>
        </w:rPr>
        <w:t xml:space="preserve">, however, </w:t>
      </w:r>
      <w:r w:rsidRPr="00D63F92">
        <w:rPr>
          <w:rStyle w:val="StyleUnderline"/>
          <w:highlight w:val="cyan"/>
        </w:rPr>
        <w:t xml:space="preserve">Congress did not leave </w:t>
      </w:r>
      <w:r w:rsidRPr="00D63F92">
        <w:rPr>
          <w:rStyle w:val="StyleUnderline"/>
        </w:rPr>
        <w:t xml:space="preserve">this </w:t>
      </w:r>
      <w:r w:rsidRPr="00D63F92">
        <w:rPr>
          <w:rStyle w:val="StyleUnderline"/>
          <w:highlight w:val="cyan"/>
        </w:rPr>
        <w:t xml:space="preserve">development </w:t>
      </w:r>
      <w:r w:rsidRPr="00D63F92">
        <w:rPr>
          <w:rStyle w:val="StyleUnderline"/>
        </w:rPr>
        <w:t xml:space="preserve">solely </w:t>
      </w:r>
      <w:r w:rsidRPr="00D63F92">
        <w:rPr>
          <w:rStyle w:val="StyleUnderline"/>
          <w:highlight w:val="cyan"/>
        </w:rPr>
        <w:t xml:space="preserve">to the </w:t>
      </w:r>
      <w:r w:rsidRPr="00D63F92">
        <w:rPr>
          <w:rStyle w:val="Emphasis"/>
          <w:highlight w:val="cyan"/>
        </w:rPr>
        <w:t>judiciary</w:t>
      </w:r>
      <w:r w:rsidRPr="00D63F92">
        <w:rPr>
          <w:rStyle w:val="StyleUnderline"/>
          <w:highlight w:val="cyan"/>
        </w:rPr>
        <w:t>.</w:t>
      </w:r>
    </w:p>
    <w:p w14:paraId="6B5CA7CC" w14:textId="77777777" w:rsidR="00A24098" w:rsidRPr="00D63F92" w:rsidRDefault="00A24098" w:rsidP="00A24098">
      <w:r w:rsidRPr="00D63F92">
        <w:rPr>
          <w:sz w:val="16"/>
        </w:rPr>
        <w:t xml:space="preserve">The differences between the Clayton and FTC Acts reinforce that </w:t>
      </w:r>
      <w:r w:rsidRPr="00D63F92">
        <w:rPr>
          <w:rStyle w:val="StyleUnderline"/>
        </w:rPr>
        <w:t xml:space="preserve">Congress intended the interpretation of section 5 to be </w:t>
      </w:r>
      <w:r w:rsidRPr="00D63F92">
        <w:rPr>
          <w:rStyle w:val="Emphasis"/>
        </w:rPr>
        <w:t>independent of other antitrust terms</w:t>
      </w:r>
      <w:r w:rsidRPr="00D63F92">
        <w:rPr>
          <w:sz w:val="16"/>
        </w:rPr>
        <w:t xml:space="preserve">. Under the Clayton Act, Congress granted the FTC enforcement, but not norm-creating, powers. Congress granted standing to the FTC, DOJ, ICC, Federal Reserve Board, and private citizens to enforce various sections of the </w:t>
      </w:r>
      <w:r w:rsidRPr="00D63F92">
        <w:rPr>
          <w:rStyle w:val="StyleUnderline"/>
        </w:rPr>
        <w:t>Clayton Act</w:t>
      </w:r>
      <w:r w:rsidRPr="00D63F92">
        <w:rPr>
          <w:sz w:val="16"/>
        </w:rPr>
        <w:t xml:space="preserve"> involving mergers, 31 exclusive dealing, 32 and price discrimination. 33 Along with these multiple </w:t>
      </w:r>
      <w:r w:rsidRPr="00D63F92">
        <w:rPr>
          <w:rStyle w:val="StyleUnderline"/>
        </w:rPr>
        <w:t>enforcers came a collateral estoppel provision</w:t>
      </w:r>
      <w:r w:rsidRPr="00D63F92">
        <w:rPr>
          <w:sz w:val="16"/>
        </w:rPr>
        <w:t xml:space="preserve">. </w:t>
      </w:r>
      <w:r w:rsidRPr="00D63F92">
        <w:rPr>
          <w:rStyle w:val="StyleUnderline"/>
        </w:rPr>
        <w:t>This</w:t>
      </w:r>
      <w:r w:rsidRPr="00D63F92">
        <w:rPr>
          <w:sz w:val="16"/>
        </w:rPr>
        <w:t xml:space="preserve"> provision explicitly </w:t>
      </w:r>
      <w:r w:rsidRPr="00D63F92">
        <w:rPr>
          <w:rStyle w:val="StyleUnderline"/>
        </w:rPr>
        <w:t>gave</w:t>
      </w:r>
      <w:r w:rsidRPr="00D63F92">
        <w:rPr>
          <w:sz w:val="16"/>
        </w:rPr>
        <w:t xml:space="preserve"> private </w:t>
      </w:r>
      <w:r w:rsidRPr="00D63F92">
        <w:rPr>
          <w:rStyle w:val="StyleUnderline"/>
        </w:rPr>
        <w:t>plaintiffs the right to use government litigation as preclusive</w:t>
      </w:r>
      <w:r w:rsidRPr="00D63F92">
        <w:rPr>
          <w:sz w:val="16"/>
        </w:rPr>
        <w:t xml:space="preserve"> (</w:t>
      </w:r>
      <w:r w:rsidRPr="00D63F92">
        <w:rPr>
          <w:rStyle w:val="StyleUnderline"/>
        </w:rPr>
        <w:t>and gain treble damages</w:t>
      </w:r>
      <w:r w:rsidRPr="00D63F92">
        <w:rPr>
          <w:sz w:val="16"/>
        </w:rPr>
        <w:t xml:space="preserve">). 34 </w:t>
      </w:r>
      <w:r w:rsidRPr="00D63F92">
        <w:rPr>
          <w:rStyle w:val="Emphasis"/>
        </w:rPr>
        <w:t>In contrast</w:t>
      </w:r>
      <w:r w:rsidRPr="00D63F92">
        <w:rPr>
          <w:sz w:val="16"/>
        </w:rPr>
        <w:t xml:space="preserve">, </w:t>
      </w:r>
      <w:r w:rsidRPr="00D63F92">
        <w:rPr>
          <w:rStyle w:val="StyleUnderline"/>
          <w:highlight w:val="cyan"/>
        </w:rPr>
        <w:t xml:space="preserve">section 5 </w:t>
      </w:r>
      <w:r w:rsidRPr="00D63F92">
        <w:rPr>
          <w:rStyle w:val="StyleUnderline"/>
        </w:rPr>
        <w:t xml:space="preserve">enforcement </w:t>
      </w:r>
      <w:r w:rsidRPr="00D63F92">
        <w:rPr>
          <w:rStyle w:val="StyleUnderline"/>
          <w:highlight w:val="cyan"/>
        </w:rPr>
        <w:t xml:space="preserve">actions have no </w:t>
      </w:r>
      <w:r w:rsidRPr="00D63F92">
        <w:rPr>
          <w:rStyle w:val="StyleUnderline"/>
        </w:rPr>
        <w:t xml:space="preserve">collateral </w:t>
      </w:r>
      <w:r w:rsidRPr="00D63F92">
        <w:rPr>
          <w:rStyle w:val="StyleUnderline"/>
          <w:highlight w:val="cyan"/>
        </w:rPr>
        <w:t xml:space="preserve">effect on </w:t>
      </w:r>
      <w:r w:rsidRPr="00D63F92">
        <w:rPr>
          <w:rStyle w:val="Emphasis"/>
          <w:highlight w:val="cyan"/>
        </w:rPr>
        <w:t>other litigation</w:t>
      </w:r>
      <w:r w:rsidRPr="00D63F92">
        <w:rPr>
          <w:rStyle w:val="StyleUnderline"/>
        </w:rPr>
        <w:t xml:space="preserve">, and </w:t>
      </w:r>
      <w:r w:rsidRPr="00D63F92">
        <w:rPr>
          <w:rStyle w:val="Emphasis"/>
        </w:rPr>
        <w:t>no other actors have standing to enforce it</w:t>
      </w:r>
      <w:r w:rsidRPr="00D63F92">
        <w:rPr>
          <w:sz w:val="16"/>
        </w:rPr>
        <w:t xml:space="preserve">. 35 [*275] Thus, while the Clayton and Sherman Acts created liability provisions that allow for multiple enforcers, </w:t>
      </w:r>
      <w:r w:rsidRPr="00D63F92">
        <w:rPr>
          <w:rStyle w:val="StyleUnderline"/>
        </w:rPr>
        <w:t xml:space="preserve">section 5 created a unique area of antitrust liability </w:t>
      </w:r>
      <w:r w:rsidRPr="00D63F92">
        <w:rPr>
          <w:rStyle w:val="Emphasis"/>
        </w:rPr>
        <w:t>solely under the FTC's directive.</w:t>
      </w:r>
    </w:p>
    <w:p w14:paraId="5C9E2808" w14:textId="77777777" w:rsidR="00A24098" w:rsidRPr="00A83C05" w:rsidRDefault="00A24098" w:rsidP="00A24098"/>
    <w:p w14:paraId="3A729C8A" w14:textId="0D83FDC3" w:rsidR="00A24098" w:rsidRPr="00FE7B9E" w:rsidRDefault="002D1EF5" w:rsidP="00A24098">
      <w:pPr>
        <w:pStyle w:val="Heading4"/>
      </w:pPr>
      <w:r>
        <w:t>2---</w:t>
      </w:r>
      <w:r w:rsidR="00A24098" w:rsidRPr="00FE7B9E">
        <w:t xml:space="preserve">Alt causes to court clog – lack of prosecutors, lack of resources, more complicated law. </w:t>
      </w:r>
    </w:p>
    <w:p w14:paraId="59EC279B" w14:textId="77777777" w:rsidR="00A24098" w:rsidRPr="00FE7B9E" w:rsidRDefault="00A24098" w:rsidP="00A24098">
      <w:r w:rsidRPr="00FE7B9E">
        <w:t xml:space="preserve">Kyle </w:t>
      </w:r>
      <w:r w:rsidRPr="00FE7B9E">
        <w:rPr>
          <w:rStyle w:val="Style13ptBold"/>
        </w:rPr>
        <w:t>Perrotti ’18</w:t>
      </w:r>
      <w:r w:rsidRPr="00FE7B9E">
        <w:t xml:space="preserve">. Reporter at Mountaineer Publishing Company and a graduate of Columbia University. “Clogged courts”. The Mountaineer. 5/21/18. EK. </w:t>
      </w:r>
    </w:p>
    <w:p w14:paraId="53B85E77" w14:textId="77777777" w:rsidR="00A24098" w:rsidRPr="00FE7B9E" w:rsidRDefault="00A24098" w:rsidP="00A24098">
      <w:r w:rsidRPr="00FE7B9E">
        <w:t xml:space="preserve">https://proxy.lib.umich.edu/login?url=https://search-proquest-com.proxy.lib.umich.edu/docview/20418 88410?accountid=14667 </w:t>
      </w:r>
    </w:p>
    <w:p w14:paraId="1E324BE5" w14:textId="551AADD5" w:rsidR="00A24098" w:rsidRPr="00E352B6" w:rsidRDefault="00A24098" w:rsidP="00E352B6">
      <w:pPr>
        <w:widowControl w:val="0"/>
        <w:pBdr>
          <w:top w:val="nil"/>
          <w:left w:val="nil"/>
          <w:bottom w:val="nil"/>
          <w:right w:val="nil"/>
          <w:between w:val="nil"/>
        </w:pBdr>
        <w:spacing w:before="113" w:line="251" w:lineRule="auto"/>
        <w:ind w:left="4" w:right="44" w:firstLine="12"/>
        <w:rPr>
          <w:rFonts w:eastAsia="Calibri"/>
          <w:color w:val="000000"/>
          <w:u w:val="single"/>
        </w:rPr>
      </w:pPr>
      <w:r>
        <w:rPr>
          <w:rFonts w:eastAsia="Calibri"/>
          <w:color w:val="000000"/>
          <w:sz w:val="16"/>
          <w:szCs w:val="16"/>
        </w:rPr>
        <w:t xml:space="preserve">May 21--If the justice system were compared to a hose, courts would be the clog that backs everything up. Some who work in the system would argue there's been a major breach with leaked water spewing everywhere. </w:t>
      </w:r>
      <w:r>
        <w:rPr>
          <w:rFonts w:eastAsia="Calibri"/>
          <w:color w:val="000000"/>
          <w:u w:val="single"/>
        </w:rPr>
        <w:t>Haywood County Sheriff Greg Christopher said</w:t>
      </w:r>
      <w:r>
        <w:rPr>
          <w:rFonts w:eastAsia="Calibri"/>
          <w:color w:val="000000"/>
        </w:rPr>
        <w:t xml:space="preserve"> </w:t>
      </w:r>
      <w:r>
        <w:rPr>
          <w:rFonts w:eastAsia="Calibri"/>
          <w:color w:val="000000"/>
          <w:u w:val="single"/>
        </w:rPr>
        <w:t xml:space="preserve">that arrests are going up, </w:t>
      </w:r>
      <w:proofErr w:type="spellStart"/>
      <w:r>
        <w:rPr>
          <w:rFonts w:eastAsia="Calibri"/>
          <w:color w:val="000000"/>
          <w:u w:val="single"/>
        </w:rPr>
        <w:t>but</w:t>
      </w:r>
      <w:r>
        <w:rPr>
          <w:rFonts w:eastAsia="Calibri"/>
          <w:color w:val="000000"/>
          <w:highlight w:val="yellow"/>
          <w:u w:val="single"/>
        </w:rPr>
        <w:t>the</w:t>
      </w:r>
      <w:proofErr w:type="spellEnd"/>
      <w:r>
        <w:rPr>
          <w:rFonts w:eastAsia="Calibri"/>
          <w:color w:val="000000"/>
          <w:highlight w:val="yellow"/>
          <w:u w:val="single"/>
        </w:rPr>
        <w:t xml:space="preserve"> justice system can't increase its capacity</w:t>
      </w:r>
      <w:r>
        <w:rPr>
          <w:rFonts w:eastAsia="Calibri"/>
          <w:color w:val="000000"/>
          <w:u w:val="single"/>
        </w:rPr>
        <w:t xml:space="preserve"> to handle a greater case load,</w:t>
      </w:r>
      <w:r>
        <w:rPr>
          <w:rFonts w:eastAsia="Calibri"/>
          <w:color w:val="000000"/>
        </w:rPr>
        <w:t xml:space="preserve"> </w:t>
      </w:r>
      <w:r>
        <w:rPr>
          <w:rFonts w:eastAsia="Calibri"/>
          <w:color w:val="000000"/>
          <w:u w:val="single"/>
        </w:rPr>
        <w:t>so it can be easy for things to get backed up. "There are days where</w:t>
      </w:r>
      <w:r>
        <w:rPr>
          <w:rFonts w:eastAsia="Calibri"/>
          <w:color w:val="000000"/>
          <w:highlight w:val="yellow"/>
          <w:u w:val="single"/>
        </w:rPr>
        <w:t xml:space="preserve"> we have</w:t>
      </w:r>
      <w:r>
        <w:rPr>
          <w:rFonts w:eastAsia="Calibri"/>
          <w:color w:val="000000"/>
          <w:u w:val="single"/>
        </w:rPr>
        <w:t xml:space="preserve"> as many as </w:t>
      </w:r>
      <w:r>
        <w:rPr>
          <w:rFonts w:eastAsia="Calibri"/>
          <w:color w:val="000000"/>
          <w:highlight w:val="yellow"/>
          <w:u w:val="single"/>
        </w:rPr>
        <w:t>400 cases on a</w:t>
      </w:r>
      <w:r>
        <w:rPr>
          <w:rFonts w:eastAsia="Calibri"/>
          <w:color w:val="000000"/>
        </w:rPr>
        <w:t xml:space="preserve"> </w:t>
      </w:r>
      <w:r>
        <w:rPr>
          <w:rFonts w:eastAsia="Calibri"/>
          <w:color w:val="000000"/>
          <w:highlight w:val="yellow"/>
          <w:u w:val="single"/>
        </w:rPr>
        <w:t xml:space="preserve">court </w:t>
      </w:r>
      <w:proofErr w:type="spellStart"/>
      <w:r>
        <w:rPr>
          <w:rFonts w:eastAsia="Calibri"/>
          <w:color w:val="000000"/>
          <w:highlight w:val="yellow"/>
          <w:u w:val="single"/>
        </w:rPr>
        <w:t>docket</w:t>
      </w:r>
      <w:r>
        <w:rPr>
          <w:rFonts w:eastAsia="Calibri"/>
          <w:color w:val="000000"/>
          <w:u w:val="single"/>
        </w:rPr>
        <w:t>in</w:t>
      </w:r>
      <w:proofErr w:type="spellEnd"/>
      <w:r>
        <w:rPr>
          <w:rFonts w:eastAsia="Calibri"/>
          <w:color w:val="000000"/>
          <w:u w:val="single"/>
        </w:rPr>
        <w:t xml:space="preserve"> district court," he said. "There is no way you can get through even probably </w:t>
      </w:r>
      <w:r>
        <w:rPr>
          <w:rFonts w:eastAsia="Calibri"/>
          <w:color w:val="000000"/>
          <w:highlight w:val="yellow"/>
          <w:u w:val="single"/>
        </w:rPr>
        <w:t>10 percent of</w:t>
      </w:r>
      <w:r>
        <w:rPr>
          <w:rFonts w:eastAsia="Calibri"/>
          <w:color w:val="000000"/>
        </w:rPr>
        <w:t xml:space="preserve"> </w:t>
      </w:r>
      <w:r>
        <w:rPr>
          <w:rFonts w:eastAsia="Calibri"/>
          <w:color w:val="000000"/>
          <w:highlight w:val="yellow"/>
          <w:u w:val="single"/>
        </w:rPr>
        <w:t>those</w:t>
      </w:r>
      <w:r>
        <w:rPr>
          <w:rFonts w:eastAsia="Calibri"/>
          <w:color w:val="000000"/>
          <w:u w:val="single"/>
        </w:rPr>
        <w:t xml:space="preserve"> in a day's time." "Resources within the criminal justice system need to be expanded to take care of</w:t>
      </w:r>
      <w:r>
        <w:rPr>
          <w:rFonts w:eastAsia="Calibri"/>
          <w:color w:val="000000"/>
        </w:rPr>
        <w:t xml:space="preserve"> </w:t>
      </w:r>
      <w:r>
        <w:rPr>
          <w:rFonts w:eastAsia="Calibri"/>
          <w:color w:val="000000"/>
          <w:u w:val="single"/>
        </w:rPr>
        <w:t>the expanding number of cases,"</w:t>
      </w:r>
      <w:r>
        <w:rPr>
          <w:rFonts w:eastAsia="Calibri"/>
          <w:color w:val="000000"/>
        </w:rPr>
        <w:t xml:space="preserve"> </w:t>
      </w:r>
      <w:r>
        <w:rPr>
          <w:rFonts w:eastAsia="Calibri"/>
          <w:color w:val="000000"/>
          <w:sz w:val="16"/>
          <w:szCs w:val="16"/>
        </w:rPr>
        <w:t xml:space="preserve">Waynesville Police Chief Bill </w:t>
      </w:r>
      <w:proofErr w:type="spellStart"/>
      <w:r>
        <w:rPr>
          <w:rFonts w:eastAsia="Calibri"/>
          <w:color w:val="000000"/>
          <w:sz w:val="16"/>
          <w:szCs w:val="16"/>
        </w:rPr>
        <w:t>Hollingsed</w:t>
      </w:r>
      <w:proofErr w:type="spellEnd"/>
      <w:r>
        <w:rPr>
          <w:rFonts w:eastAsia="Calibri"/>
          <w:color w:val="000000"/>
          <w:sz w:val="16"/>
          <w:szCs w:val="16"/>
        </w:rPr>
        <w:t xml:space="preserve"> said. "The clerk told me they have the same number of superior court days that we had 25 years ago. Have the cases expanded? Are we seeing an increasing number of cases? Obviously so. But we've got to deal with that increasing number of cases in the same number of court days with the same number of ADAs we've had all along." A slow process ADAs are assistant district attorneys, the lawyers that prosecute cases on behalf of the state, and they all </w:t>
      </w:r>
      <w:r>
        <w:rPr>
          <w:rFonts w:eastAsia="Calibri"/>
          <w:color w:val="000000"/>
          <w:sz w:val="16"/>
          <w:szCs w:val="16"/>
        </w:rPr>
        <w:lastRenderedPageBreak/>
        <w:t xml:space="preserve">work under District Attorney Ashley Welch. Welch's jurisdiction is relatively large, spanning Haywood, Jackson, Macon, Graham, Clay, Cherokee and Swain counties. Just recently, two more ADAs were added in Haywood County, meaning that at five, the office now has more prosecutors than ever before. While this alleviated the office's burden somewhat, Welch said it still isn't enough. "That was a great start, but I need four more," she said, adding that she intends to lobby the General Assembly further for the resources she needs. Welch conceded that many she sees in the Haywood County Justice Center are familiar faces and that the same people are often in court every week. "Is it a revolving door? Yes, I'll be honest about that," she said. "It's the same people in the courtroom, but it's that way across the state." </w:t>
      </w:r>
      <w:r>
        <w:rPr>
          <w:rFonts w:eastAsia="Calibri"/>
          <w:color w:val="000000"/>
          <w:highlight w:val="yellow"/>
          <w:u w:val="single"/>
        </w:rPr>
        <w:t>The court system has become so backed up</w:t>
      </w:r>
      <w:r>
        <w:rPr>
          <w:rFonts w:eastAsia="Calibri"/>
          <w:color w:val="000000"/>
        </w:rPr>
        <w:t xml:space="preserve"> </w:t>
      </w:r>
      <w:r>
        <w:rPr>
          <w:rFonts w:eastAsia="Calibri"/>
          <w:color w:val="000000"/>
          <w:u w:val="single"/>
        </w:rPr>
        <w:t>that offenders commit and are arrested for other crimes while waiting for their earlier case to work</w:t>
      </w:r>
      <w:r>
        <w:rPr>
          <w:rFonts w:eastAsia="Calibri"/>
          <w:color w:val="000000"/>
        </w:rPr>
        <w:t xml:space="preserve"> </w:t>
      </w:r>
      <w:r>
        <w:rPr>
          <w:rFonts w:eastAsia="Calibri"/>
          <w:color w:val="000000"/>
          <w:u w:val="single"/>
        </w:rPr>
        <w:t xml:space="preserve">through the court system. Some cases are prioritized and sped up as much as possible, </w:t>
      </w:r>
      <w:r>
        <w:rPr>
          <w:rFonts w:eastAsia="Calibri"/>
          <w:color w:val="000000"/>
          <w:highlight w:val="yellow"/>
          <w:u w:val="single"/>
        </w:rPr>
        <w:t>as long as the</w:t>
      </w:r>
      <w:r>
        <w:rPr>
          <w:rFonts w:eastAsia="Calibri"/>
          <w:color w:val="000000"/>
        </w:rPr>
        <w:t xml:space="preserve"> </w:t>
      </w:r>
      <w:r>
        <w:rPr>
          <w:rFonts w:eastAsia="Calibri"/>
          <w:color w:val="000000"/>
          <w:highlight w:val="yellow"/>
          <w:u w:val="single"/>
        </w:rPr>
        <w:t>integrity of the investigation</w:t>
      </w:r>
      <w:r>
        <w:rPr>
          <w:rFonts w:eastAsia="Calibri"/>
          <w:color w:val="000000"/>
          <w:u w:val="single"/>
        </w:rPr>
        <w:t xml:space="preserve"> or the judicial </w:t>
      </w:r>
      <w:proofErr w:type="spellStart"/>
      <w:r>
        <w:rPr>
          <w:rFonts w:eastAsia="Calibri"/>
          <w:color w:val="000000"/>
          <w:u w:val="single"/>
        </w:rPr>
        <w:t>process</w:t>
      </w:r>
      <w:r>
        <w:rPr>
          <w:rFonts w:eastAsia="Calibri"/>
          <w:color w:val="000000"/>
          <w:highlight w:val="yellow"/>
          <w:u w:val="single"/>
        </w:rPr>
        <w:t>isn't</w:t>
      </w:r>
      <w:proofErr w:type="spellEnd"/>
      <w:r>
        <w:rPr>
          <w:rFonts w:eastAsia="Calibri"/>
          <w:color w:val="000000"/>
          <w:highlight w:val="yellow"/>
          <w:u w:val="single"/>
        </w:rPr>
        <w:t xml:space="preserve"> sacrificed</w:t>
      </w:r>
      <w:r>
        <w:rPr>
          <w:rFonts w:eastAsia="Calibri"/>
          <w:color w:val="000000"/>
          <w:u w:val="single"/>
        </w:rPr>
        <w:t>.</w:t>
      </w:r>
      <w:r>
        <w:rPr>
          <w:rFonts w:eastAsia="Calibri"/>
          <w:color w:val="000000"/>
        </w:rPr>
        <w:t xml:space="preserve"> </w:t>
      </w:r>
      <w:r>
        <w:rPr>
          <w:rFonts w:eastAsia="Calibri"/>
          <w:color w:val="000000"/>
          <w:sz w:val="16"/>
          <w:szCs w:val="16"/>
        </w:rPr>
        <w:t xml:space="preserve">"When we feel someone is a danger, we can get those cases fast-tracked," Welch said. </w:t>
      </w:r>
      <w:r>
        <w:rPr>
          <w:rFonts w:eastAsia="Calibri"/>
          <w:color w:val="000000"/>
          <w:u w:val="single"/>
        </w:rPr>
        <w:t>In addition to the lengthy process leading up to a trial or a guilty plea, both</w:t>
      </w:r>
      <w:r>
        <w:rPr>
          <w:rFonts w:eastAsia="Calibri"/>
          <w:color w:val="000000"/>
        </w:rPr>
        <w:t xml:space="preserve"> </w:t>
      </w:r>
      <w:r>
        <w:rPr>
          <w:rFonts w:eastAsia="Calibri"/>
          <w:color w:val="000000"/>
          <w:highlight w:val="yellow"/>
          <w:u w:val="single"/>
        </w:rPr>
        <w:t>procedures are becoming</w:t>
      </w:r>
      <w:r>
        <w:rPr>
          <w:rFonts w:eastAsia="Calibri"/>
          <w:color w:val="000000"/>
          <w:u w:val="single"/>
        </w:rPr>
        <w:t xml:space="preserve"> more</w:t>
      </w:r>
      <w:r>
        <w:rPr>
          <w:rFonts w:eastAsia="Calibri"/>
          <w:color w:val="000000"/>
          <w:highlight w:val="yellow"/>
          <w:u w:val="single"/>
        </w:rPr>
        <w:t xml:space="preserve"> time-consuming.</w:t>
      </w:r>
      <w:r>
        <w:rPr>
          <w:rFonts w:eastAsia="Calibri"/>
          <w:color w:val="000000"/>
          <w:u w:val="single"/>
        </w:rPr>
        <w:t xml:space="preserve"> </w:t>
      </w:r>
      <w:r>
        <w:rPr>
          <w:rFonts w:eastAsia="Calibri"/>
          <w:color w:val="000000"/>
          <w:sz w:val="16"/>
          <w:szCs w:val="16"/>
        </w:rPr>
        <w:t xml:space="preserve">Retired Canton Police Chief Bryan Whitner noted that he used to be able to go to a DWI hearing and be done within an hour. Now, it can take the better part of a day. Welch agreed. "He is exactly right," she said. "When I started in '03 as an ADA, I could probably get five DWI trials done in an afternoon. It was very simple and straightforward. </w:t>
      </w:r>
      <w:r>
        <w:rPr>
          <w:rFonts w:eastAsia="Calibri"/>
          <w:color w:val="000000"/>
          <w:u w:val="single"/>
        </w:rPr>
        <w:t>The law has</w:t>
      </w:r>
      <w:r>
        <w:rPr>
          <w:rFonts w:eastAsia="Calibri"/>
          <w:color w:val="000000"/>
        </w:rPr>
        <w:t xml:space="preserve"> </w:t>
      </w:r>
      <w:r>
        <w:rPr>
          <w:rFonts w:eastAsia="Calibri"/>
          <w:color w:val="000000"/>
          <w:u w:val="single"/>
        </w:rPr>
        <w:t>gotten more complicated, and it's heavily litigated because it's so expensive for a defendant."</w:t>
      </w:r>
      <w:r>
        <w:rPr>
          <w:rFonts w:eastAsia="Calibri"/>
          <w:color w:val="000000"/>
        </w:rPr>
        <w:t xml:space="preserve"> </w:t>
      </w:r>
      <w:r>
        <w:rPr>
          <w:rFonts w:eastAsia="Calibri"/>
          <w:color w:val="000000"/>
          <w:sz w:val="16"/>
          <w:szCs w:val="16"/>
        </w:rPr>
        <w:t xml:space="preserve">More help </w:t>
      </w:r>
      <w:r>
        <w:rPr>
          <w:rFonts w:eastAsia="Calibri"/>
          <w:color w:val="000000"/>
          <w:u w:val="single"/>
        </w:rPr>
        <w:t>The solution to breaking up the clog in the court system is more prosecutors, and that's something</w:t>
      </w:r>
      <w:r>
        <w:rPr>
          <w:rFonts w:eastAsia="Calibri"/>
          <w:color w:val="000000"/>
        </w:rPr>
        <w:t xml:space="preserve"> </w:t>
      </w:r>
      <w:r>
        <w:rPr>
          <w:rFonts w:eastAsia="Calibri"/>
          <w:color w:val="000000"/>
          <w:u w:val="single"/>
        </w:rPr>
        <w:t>Welch intends to pursue relentlessly.</w:t>
      </w:r>
    </w:p>
    <w:p w14:paraId="0A964BC3" w14:textId="2211D4A5" w:rsidR="00A24098" w:rsidRPr="00F164C0" w:rsidRDefault="0016084E" w:rsidP="00A24098">
      <w:pPr>
        <w:pStyle w:val="Heading4"/>
      </w:pPr>
      <w:r>
        <w:t>3</w:t>
      </w:r>
      <w:r w:rsidR="00A933C8">
        <w:t>---</w:t>
      </w:r>
      <w:r w:rsidR="0036535D">
        <w:t>N</w:t>
      </w:r>
      <w:r w:rsidR="00A24098" w:rsidRPr="00F164C0">
        <w:t>o impact- court clogs functionally don’t exist.</w:t>
      </w:r>
    </w:p>
    <w:p w14:paraId="42E53AD3" w14:textId="77777777" w:rsidR="00A24098" w:rsidRDefault="00A24098" w:rsidP="00A24098">
      <w:pPr>
        <w:widowControl w:val="0"/>
        <w:pBdr>
          <w:top w:val="nil"/>
          <w:left w:val="nil"/>
          <w:bottom w:val="nil"/>
          <w:right w:val="nil"/>
          <w:between w:val="nil"/>
        </w:pBdr>
        <w:spacing w:before="17" w:line="262" w:lineRule="auto"/>
        <w:ind w:left="14" w:right="488" w:firstLine="8"/>
        <w:rPr>
          <w:rFonts w:eastAsia="Calibri"/>
          <w:color w:val="000000"/>
        </w:rPr>
      </w:pPr>
      <w:r>
        <w:rPr>
          <w:rFonts w:eastAsia="Calibri"/>
          <w:color w:val="000000"/>
        </w:rPr>
        <w:t xml:space="preserve">Nate </w:t>
      </w:r>
      <w:r>
        <w:rPr>
          <w:rFonts w:eastAsia="Calibri"/>
          <w:b/>
          <w:bCs/>
          <w:color w:val="000000"/>
          <w:sz w:val="26"/>
          <w:szCs w:val="26"/>
        </w:rPr>
        <w:t>Raymond 22</w:t>
      </w:r>
      <w:r>
        <w:rPr>
          <w:rFonts w:eastAsia="Calibri"/>
          <w:color w:val="000000"/>
        </w:rPr>
        <w:t xml:space="preserve">, staff writer for Reuters, “Pandemic-fueled federal court case backlog less than expected: study,” Reuters, 12/2/22, </w:t>
      </w:r>
    </w:p>
    <w:p w14:paraId="6F0E9953" w14:textId="77777777" w:rsidR="00A24098" w:rsidRDefault="00A24098" w:rsidP="00A24098">
      <w:pPr>
        <w:widowControl w:val="0"/>
        <w:pBdr>
          <w:top w:val="nil"/>
          <w:left w:val="nil"/>
          <w:bottom w:val="nil"/>
          <w:right w:val="nil"/>
          <w:between w:val="nil"/>
        </w:pBdr>
        <w:spacing w:line="261" w:lineRule="auto"/>
        <w:ind w:left="14" w:firstLine="6"/>
        <w:rPr>
          <w:rFonts w:eastAsia="Calibri"/>
          <w:color w:val="000000"/>
        </w:rPr>
      </w:pPr>
      <w:r>
        <w:rPr>
          <w:rFonts w:eastAsia="Calibri"/>
          <w:color w:val="000000"/>
        </w:rPr>
        <w:t xml:space="preserve">https://www.reuters.com/legal/government/pandemic-fueled-federal-court-case-backlog-less-than-expe cted-study-2022-12-02/ </w:t>
      </w:r>
    </w:p>
    <w:p w14:paraId="1E1CFBD7" w14:textId="77777777" w:rsidR="00A24098" w:rsidRPr="00CD7791" w:rsidRDefault="00A24098" w:rsidP="00A24098">
      <w:pPr>
        <w:widowControl w:val="0"/>
        <w:pBdr>
          <w:top w:val="nil"/>
          <w:left w:val="nil"/>
          <w:bottom w:val="nil"/>
          <w:right w:val="nil"/>
          <w:between w:val="nil"/>
        </w:pBdr>
        <w:spacing w:before="131" w:line="252" w:lineRule="auto"/>
        <w:ind w:left="6" w:right="2" w:firstLine="15"/>
        <w:rPr>
          <w:rFonts w:eastAsia="Calibri"/>
          <w:color w:val="000000"/>
          <w:sz w:val="14"/>
          <w:szCs w:val="16"/>
        </w:rPr>
      </w:pPr>
      <w:r>
        <w:rPr>
          <w:rFonts w:eastAsia="Calibri"/>
          <w:color w:val="000000"/>
          <w:u w:val="single"/>
        </w:rPr>
        <w:t xml:space="preserve">Expectations of a </w:t>
      </w:r>
      <w:r>
        <w:rPr>
          <w:rFonts w:eastAsia="Calibri"/>
          <w:b/>
          <w:bCs/>
          <w:color w:val="000000"/>
          <w:u w:val="single"/>
        </w:rPr>
        <w:t>massive federal court case</w:t>
      </w:r>
      <w:r>
        <w:rPr>
          <w:rFonts w:eastAsia="Calibri"/>
          <w:b/>
          <w:bCs/>
          <w:color w:val="000000"/>
          <w:highlight w:val="yellow"/>
          <w:u w:val="single"/>
        </w:rPr>
        <w:t xml:space="preserve"> backlog</w:t>
      </w:r>
      <w:r>
        <w:rPr>
          <w:rFonts w:eastAsia="Calibri"/>
          <w:b/>
          <w:bCs/>
          <w:color w:val="000000"/>
          <w:u w:val="single"/>
        </w:rPr>
        <w:t xml:space="preserve"> </w:t>
      </w:r>
      <w:r>
        <w:rPr>
          <w:rFonts w:eastAsia="Calibri"/>
          <w:color w:val="000000"/>
          <w:u w:val="single"/>
        </w:rPr>
        <w:t xml:space="preserve">brought on by courthouse </w:t>
      </w:r>
      <w:r>
        <w:rPr>
          <w:rFonts w:eastAsia="Calibri"/>
          <w:b/>
          <w:bCs/>
          <w:color w:val="000000"/>
          <w:u w:val="single"/>
        </w:rPr>
        <w:t>closures</w:t>
      </w:r>
      <w:r w:rsidRPr="00CD7791">
        <w:rPr>
          <w:rFonts w:eastAsia="Calibri"/>
          <w:b/>
          <w:bCs/>
          <w:color w:val="000000"/>
          <w:sz w:val="14"/>
        </w:rPr>
        <w:t xml:space="preserve"> </w:t>
      </w:r>
      <w:r w:rsidRPr="00CD7791">
        <w:rPr>
          <w:rFonts w:eastAsia="Calibri"/>
          <w:color w:val="000000"/>
          <w:sz w:val="14"/>
          <w:szCs w:val="16"/>
        </w:rPr>
        <w:t xml:space="preserve">and other COVID-19 pandemic-related disruptions </w:t>
      </w:r>
      <w:r>
        <w:rPr>
          <w:rFonts w:eastAsia="Calibri"/>
          <w:color w:val="000000"/>
          <w:highlight w:val="yellow"/>
          <w:u w:val="single"/>
        </w:rPr>
        <w:t xml:space="preserve">did </w:t>
      </w:r>
      <w:r>
        <w:rPr>
          <w:rFonts w:eastAsia="Calibri"/>
          <w:b/>
          <w:bCs/>
          <w:color w:val="000000"/>
          <w:highlight w:val="yellow"/>
          <w:u w:val="single"/>
        </w:rPr>
        <w:t>not come to fruition</w:t>
      </w:r>
      <w:r>
        <w:rPr>
          <w:rFonts w:eastAsia="Calibri"/>
          <w:b/>
          <w:bCs/>
          <w:color w:val="000000"/>
          <w:u w:val="single"/>
        </w:rPr>
        <w:t xml:space="preserve"> </w:t>
      </w:r>
      <w:r>
        <w:rPr>
          <w:rFonts w:eastAsia="Calibri"/>
          <w:color w:val="000000"/>
          <w:u w:val="single"/>
        </w:rPr>
        <w:t xml:space="preserve">thanks to a </w:t>
      </w:r>
      <w:r>
        <w:rPr>
          <w:rFonts w:eastAsia="Calibri"/>
          <w:b/>
          <w:bCs/>
          <w:color w:val="000000"/>
          <w:u w:val="single"/>
        </w:rPr>
        <w:t>decline in</w:t>
      </w:r>
      <w:r w:rsidRPr="00CD7791">
        <w:rPr>
          <w:rFonts w:eastAsia="Calibri"/>
          <w:b/>
          <w:bCs/>
          <w:color w:val="000000"/>
          <w:sz w:val="14"/>
        </w:rPr>
        <w:t xml:space="preserve"> </w:t>
      </w:r>
      <w:r w:rsidRPr="00CD7791">
        <w:rPr>
          <w:rFonts w:eastAsia="Calibri"/>
          <w:color w:val="000000"/>
          <w:sz w:val="14"/>
          <w:szCs w:val="16"/>
        </w:rPr>
        <w:t xml:space="preserve">arrests and </w:t>
      </w:r>
      <w:r>
        <w:rPr>
          <w:rFonts w:eastAsia="Calibri"/>
          <w:b/>
          <w:bCs/>
          <w:color w:val="000000"/>
          <w:u w:val="single"/>
        </w:rPr>
        <w:t>newly-filed lawsuits</w:t>
      </w:r>
      <w:r w:rsidRPr="00CD7791">
        <w:rPr>
          <w:rFonts w:eastAsia="Calibri"/>
          <w:color w:val="000000"/>
          <w:sz w:val="14"/>
          <w:szCs w:val="16"/>
        </w:rPr>
        <w:t xml:space="preserve">, according to a new study. </w:t>
      </w:r>
    </w:p>
    <w:p w14:paraId="58F63627" w14:textId="77777777" w:rsidR="00A24098" w:rsidRPr="00CD7791" w:rsidRDefault="00A24098" w:rsidP="00A24098">
      <w:pPr>
        <w:widowControl w:val="0"/>
        <w:pBdr>
          <w:top w:val="nil"/>
          <w:left w:val="nil"/>
          <w:bottom w:val="nil"/>
          <w:right w:val="nil"/>
          <w:between w:val="nil"/>
        </w:pBdr>
        <w:spacing w:before="140" w:line="232" w:lineRule="auto"/>
        <w:ind w:left="6" w:right="73" w:hanging="1"/>
        <w:rPr>
          <w:rFonts w:eastAsia="Calibri"/>
          <w:color w:val="000000"/>
          <w:sz w:val="14"/>
          <w:szCs w:val="16"/>
        </w:rPr>
      </w:pPr>
      <w:r w:rsidRPr="00CD7791">
        <w:rPr>
          <w:rFonts w:eastAsia="Calibri"/>
          <w:color w:val="000000"/>
          <w:sz w:val="14"/>
          <w:szCs w:val="16"/>
        </w:rPr>
        <w:t xml:space="preserve">The Federal Judicial Center, the federal judiciary's research arm, in a report, opens new tab released this week confirmed that the pandemic led to a nationwide slowdown in criminal and civil cases as public health concerns delayed trials. </w:t>
      </w:r>
    </w:p>
    <w:p w14:paraId="78886835" w14:textId="77777777" w:rsidR="00A24098" w:rsidRPr="00CD7791" w:rsidRDefault="00A24098" w:rsidP="00A24098">
      <w:pPr>
        <w:widowControl w:val="0"/>
        <w:pBdr>
          <w:top w:val="nil"/>
          <w:left w:val="nil"/>
          <w:bottom w:val="nil"/>
          <w:right w:val="nil"/>
          <w:between w:val="nil"/>
        </w:pBdr>
        <w:spacing w:before="183" w:line="261" w:lineRule="auto"/>
        <w:ind w:left="8" w:right="252" w:firstLine="9"/>
        <w:rPr>
          <w:rFonts w:eastAsia="Calibri"/>
          <w:color w:val="000000"/>
          <w:sz w:val="14"/>
          <w:szCs w:val="16"/>
        </w:rPr>
      </w:pPr>
      <w:r w:rsidRPr="00CD7791">
        <w:rPr>
          <w:rFonts w:eastAsia="Calibri"/>
          <w:color w:val="000000"/>
          <w:sz w:val="14"/>
          <w:szCs w:val="16"/>
        </w:rPr>
        <w:t xml:space="preserve">But, the report found those </w:t>
      </w:r>
      <w:r>
        <w:rPr>
          <w:rFonts w:eastAsia="Calibri"/>
          <w:color w:val="000000"/>
          <w:u w:val="single"/>
        </w:rPr>
        <w:t>backlogs on a national level were</w:t>
      </w:r>
      <w:r>
        <w:rPr>
          <w:rFonts w:eastAsia="Calibri"/>
          <w:color w:val="000000"/>
          <w:highlight w:val="yellow"/>
          <w:u w:val="single"/>
        </w:rPr>
        <w:t xml:space="preserve"> </w:t>
      </w:r>
      <w:r>
        <w:rPr>
          <w:rFonts w:eastAsia="Calibri"/>
          <w:b/>
          <w:bCs/>
          <w:color w:val="000000"/>
          <w:highlight w:val="yellow"/>
          <w:u w:val="single"/>
        </w:rPr>
        <w:t>offset</w:t>
      </w:r>
      <w:r>
        <w:rPr>
          <w:rFonts w:eastAsia="Calibri"/>
          <w:b/>
          <w:bCs/>
          <w:color w:val="000000"/>
          <w:u w:val="single"/>
        </w:rPr>
        <w:t xml:space="preserve"> </w:t>
      </w:r>
      <w:r>
        <w:rPr>
          <w:rFonts w:eastAsia="Calibri"/>
          <w:color w:val="000000"/>
          <w:highlight w:val="yellow"/>
          <w:u w:val="single"/>
        </w:rPr>
        <w:t>by</w:t>
      </w:r>
      <w:r>
        <w:rPr>
          <w:rFonts w:eastAsia="Calibri"/>
          <w:color w:val="000000"/>
          <w:u w:val="single"/>
        </w:rPr>
        <w:t xml:space="preserve"> a </w:t>
      </w:r>
      <w:r>
        <w:rPr>
          <w:rFonts w:eastAsia="Calibri"/>
          <w:b/>
          <w:bCs/>
          <w:color w:val="000000"/>
          <w:u w:val="single"/>
        </w:rPr>
        <w:t>comparable</w:t>
      </w:r>
      <w:r w:rsidRPr="00CD7791">
        <w:rPr>
          <w:rFonts w:eastAsia="Calibri"/>
          <w:b/>
          <w:bCs/>
          <w:color w:val="000000"/>
          <w:sz w:val="14"/>
        </w:rPr>
        <w:t xml:space="preserve"> </w:t>
      </w:r>
      <w:r w:rsidRPr="00CD7791">
        <w:rPr>
          <w:rFonts w:eastAsia="Calibri"/>
          <w:color w:val="000000"/>
          <w:sz w:val="14"/>
          <w:szCs w:val="16"/>
        </w:rPr>
        <w:t>29%</w:t>
      </w:r>
      <w:r w:rsidRPr="00CD7791">
        <w:rPr>
          <w:rFonts w:eastAsia="Calibri"/>
          <w:color w:val="000000"/>
          <w:sz w:val="14"/>
          <w:szCs w:val="16"/>
          <w:highlight w:val="yellow"/>
        </w:rPr>
        <w:t xml:space="preserve"> </w:t>
      </w:r>
      <w:r>
        <w:rPr>
          <w:rFonts w:eastAsia="Calibri"/>
          <w:b/>
          <w:bCs/>
          <w:color w:val="000000"/>
          <w:highlight w:val="yellow"/>
          <w:u w:val="single"/>
        </w:rPr>
        <w:t xml:space="preserve">decline </w:t>
      </w:r>
      <w:r>
        <w:rPr>
          <w:rFonts w:eastAsia="Calibri"/>
          <w:color w:val="000000"/>
          <w:highlight w:val="yellow"/>
          <w:u w:val="single"/>
        </w:rPr>
        <w:t>in</w:t>
      </w:r>
      <w:r w:rsidRPr="00CD7791">
        <w:rPr>
          <w:rFonts w:eastAsia="Calibri"/>
          <w:color w:val="000000"/>
          <w:sz w:val="14"/>
        </w:rPr>
        <w:t xml:space="preserve"> </w:t>
      </w:r>
      <w:r w:rsidRPr="00CD7791">
        <w:rPr>
          <w:rFonts w:eastAsia="Calibri"/>
          <w:color w:val="000000"/>
          <w:sz w:val="14"/>
          <w:szCs w:val="16"/>
        </w:rPr>
        <w:t xml:space="preserve">federal </w:t>
      </w:r>
      <w:r>
        <w:rPr>
          <w:rFonts w:eastAsia="Calibri"/>
          <w:b/>
          <w:bCs/>
          <w:color w:val="000000"/>
          <w:u w:val="single"/>
        </w:rPr>
        <w:t xml:space="preserve">prosecutors </w:t>
      </w:r>
      <w:r>
        <w:rPr>
          <w:rFonts w:eastAsia="Calibri"/>
          <w:b/>
          <w:bCs/>
          <w:color w:val="000000"/>
          <w:highlight w:val="yellow"/>
          <w:u w:val="single"/>
        </w:rPr>
        <w:t>charging</w:t>
      </w:r>
      <w:r>
        <w:rPr>
          <w:rFonts w:eastAsia="Calibri"/>
          <w:b/>
          <w:bCs/>
          <w:color w:val="000000"/>
          <w:u w:val="single"/>
        </w:rPr>
        <w:t xml:space="preserve"> new</w:t>
      </w:r>
      <w:r>
        <w:rPr>
          <w:rFonts w:eastAsia="Calibri"/>
          <w:b/>
          <w:bCs/>
          <w:color w:val="000000"/>
          <w:highlight w:val="yellow"/>
          <w:u w:val="single"/>
        </w:rPr>
        <w:t xml:space="preserve"> defendants</w:t>
      </w:r>
      <w:r>
        <w:rPr>
          <w:rFonts w:eastAsia="Calibri"/>
          <w:b/>
          <w:bCs/>
          <w:color w:val="000000"/>
          <w:u w:val="single"/>
        </w:rPr>
        <w:t xml:space="preserve"> </w:t>
      </w:r>
      <w:r>
        <w:rPr>
          <w:rFonts w:eastAsia="Calibri"/>
          <w:color w:val="000000"/>
          <w:highlight w:val="yellow"/>
          <w:u w:val="single"/>
        </w:rPr>
        <w:t>during</w:t>
      </w:r>
      <w:r>
        <w:rPr>
          <w:rFonts w:eastAsia="Calibri"/>
          <w:color w:val="000000"/>
          <w:u w:val="single"/>
        </w:rPr>
        <w:t xml:space="preserve"> the first two years of the</w:t>
      </w:r>
      <w:r>
        <w:rPr>
          <w:rFonts w:eastAsia="Calibri"/>
          <w:color w:val="000000"/>
          <w:highlight w:val="yellow"/>
          <w:u w:val="single"/>
        </w:rPr>
        <w:t xml:space="preserve"> pandemic and litigants filing 6%</w:t>
      </w:r>
      <w:r w:rsidRPr="00CD7791">
        <w:rPr>
          <w:rFonts w:eastAsia="Calibri"/>
          <w:color w:val="000000"/>
          <w:sz w:val="14"/>
        </w:rPr>
        <w:t xml:space="preserve"> </w:t>
      </w:r>
      <w:r>
        <w:rPr>
          <w:rFonts w:eastAsia="Calibri"/>
          <w:color w:val="000000"/>
          <w:highlight w:val="yellow"/>
          <w:u w:val="single"/>
        </w:rPr>
        <w:t>fewer</w:t>
      </w:r>
      <w:r>
        <w:rPr>
          <w:rFonts w:eastAsia="Calibri"/>
          <w:color w:val="000000"/>
          <w:u w:val="single"/>
        </w:rPr>
        <w:t xml:space="preserve"> civil </w:t>
      </w:r>
      <w:r>
        <w:rPr>
          <w:rFonts w:eastAsia="Calibri"/>
          <w:color w:val="000000"/>
          <w:highlight w:val="yellow"/>
          <w:u w:val="single"/>
        </w:rPr>
        <w:t>cases</w:t>
      </w:r>
      <w:r>
        <w:rPr>
          <w:rFonts w:eastAsia="Calibri"/>
          <w:color w:val="000000"/>
          <w:u w:val="single"/>
        </w:rPr>
        <w:t xml:space="preserve"> during that period</w:t>
      </w:r>
      <w:r w:rsidRPr="00CD7791">
        <w:rPr>
          <w:rFonts w:eastAsia="Calibri"/>
          <w:color w:val="000000"/>
          <w:sz w:val="14"/>
          <w:szCs w:val="16"/>
        </w:rPr>
        <w:t xml:space="preserve">. </w:t>
      </w:r>
    </w:p>
    <w:p w14:paraId="2412A4A1" w14:textId="77777777" w:rsidR="00A24098" w:rsidRPr="00CD7791" w:rsidRDefault="00A24098" w:rsidP="00A24098">
      <w:pPr>
        <w:widowControl w:val="0"/>
        <w:pBdr>
          <w:top w:val="nil"/>
          <w:left w:val="nil"/>
          <w:bottom w:val="nil"/>
          <w:right w:val="nil"/>
          <w:between w:val="nil"/>
        </w:pBdr>
        <w:spacing w:before="171" w:line="244" w:lineRule="auto"/>
        <w:ind w:left="7" w:right="278" w:firstLine="12"/>
        <w:rPr>
          <w:rFonts w:eastAsia="Calibri"/>
          <w:color w:val="000000"/>
          <w:sz w:val="14"/>
          <w:szCs w:val="16"/>
        </w:rPr>
      </w:pPr>
      <w:r>
        <w:rPr>
          <w:rFonts w:eastAsia="Calibri"/>
          <w:color w:val="000000"/>
          <w:u w:val="single"/>
        </w:rPr>
        <w:t>"Courts were</w:t>
      </w:r>
      <w:r>
        <w:rPr>
          <w:rFonts w:eastAsia="Calibri"/>
          <w:color w:val="000000"/>
          <w:highlight w:val="yellow"/>
          <w:u w:val="single"/>
        </w:rPr>
        <w:t xml:space="preserve"> </w:t>
      </w:r>
      <w:r>
        <w:rPr>
          <w:rFonts w:eastAsia="Calibri"/>
          <w:b/>
          <w:bCs/>
          <w:color w:val="000000"/>
          <w:highlight w:val="yellow"/>
          <w:u w:val="single"/>
        </w:rPr>
        <w:t>able to effectively clear their dockets</w:t>
      </w:r>
      <w:r>
        <w:rPr>
          <w:rFonts w:eastAsia="Calibri"/>
          <w:b/>
          <w:bCs/>
          <w:color w:val="000000"/>
          <w:u w:val="single"/>
        </w:rPr>
        <w:t xml:space="preserve"> </w:t>
      </w:r>
      <w:r>
        <w:rPr>
          <w:rFonts w:eastAsia="Calibri"/>
          <w:color w:val="000000"/>
          <w:highlight w:val="yellow"/>
          <w:u w:val="single"/>
        </w:rPr>
        <w:t xml:space="preserve">despite </w:t>
      </w:r>
      <w:r>
        <w:rPr>
          <w:rFonts w:eastAsia="Calibri"/>
          <w:b/>
          <w:bCs/>
          <w:color w:val="000000"/>
          <w:highlight w:val="yellow"/>
          <w:u w:val="single"/>
        </w:rPr>
        <w:t>pandemic</w:t>
      </w:r>
      <w:r>
        <w:rPr>
          <w:rFonts w:eastAsia="Calibri"/>
          <w:b/>
          <w:bCs/>
          <w:color w:val="000000"/>
          <w:u w:val="single"/>
        </w:rPr>
        <w:t>-related delays</w:t>
      </w:r>
      <w:r w:rsidRPr="00CD7791">
        <w:rPr>
          <w:rFonts w:eastAsia="Calibri"/>
          <w:b/>
          <w:bCs/>
          <w:color w:val="000000"/>
          <w:sz w:val="14"/>
        </w:rPr>
        <w:t xml:space="preserve"> </w:t>
      </w:r>
      <w:r w:rsidRPr="00CD7791">
        <w:rPr>
          <w:rFonts w:eastAsia="Calibri"/>
          <w:color w:val="000000"/>
          <w:sz w:val="14"/>
          <w:szCs w:val="16"/>
        </w:rPr>
        <w:t>at least in part because fewer new criminal defendants and civil cases came on to their dockets during the pandemic," the report said.</w:t>
      </w:r>
    </w:p>
    <w:p w14:paraId="7A427333" w14:textId="77777777" w:rsidR="00A24098" w:rsidRPr="00CD7791" w:rsidRDefault="00A24098" w:rsidP="00A24098">
      <w:pPr>
        <w:widowControl w:val="0"/>
        <w:pBdr>
          <w:top w:val="nil"/>
          <w:left w:val="nil"/>
          <w:bottom w:val="nil"/>
          <w:right w:val="nil"/>
          <w:between w:val="nil"/>
        </w:pBdr>
        <w:spacing w:line="232" w:lineRule="auto"/>
        <w:ind w:left="11" w:right="489" w:firstLine="6"/>
        <w:rPr>
          <w:rFonts w:eastAsia="Calibri"/>
          <w:color w:val="000000"/>
          <w:sz w:val="14"/>
          <w:szCs w:val="16"/>
        </w:rPr>
      </w:pPr>
      <w:r w:rsidRPr="00CD7791">
        <w:rPr>
          <w:rFonts w:eastAsia="Calibri"/>
          <w:color w:val="000000"/>
          <w:sz w:val="14"/>
          <w:szCs w:val="16"/>
        </w:rPr>
        <w:t xml:space="preserve">Researchers found that while about two-fifths of district courts emerged from the pandemic's second year with more pending cases than expected, on a national basis case backlogs had returned to pre-pandemic levels by March 2022. </w:t>
      </w:r>
    </w:p>
    <w:p w14:paraId="624A6D00" w14:textId="77777777" w:rsidR="00A24098" w:rsidRPr="00CD7791" w:rsidRDefault="00A24098" w:rsidP="00A24098">
      <w:pPr>
        <w:widowControl w:val="0"/>
        <w:pBdr>
          <w:top w:val="nil"/>
          <w:left w:val="nil"/>
          <w:bottom w:val="nil"/>
          <w:right w:val="nil"/>
          <w:between w:val="nil"/>
        </w:pBdr>
        <w:spacing w:before="164" w:line="232" w:lineRule="auto"/>
        <w:ind w:left="11" w:right="5" w:hanging="5"/>
        <w:rPr>
          <w:rFonts w:eastAsia="Calibri"/>
          <w:color w:val="000000"/>
          <w:sz w:val="14"/>
          <w:szCs w:val="16"/>
        </w:rPr>
      </w:pPr>
      <w:r w:rsidRPr="00CD7791">
        <w:rPr>
          <w:rFonts w:eastAsia="Calibri"/>
          <w:color w:val="000000"/>
          <w:sz w:val="14"/>
          <w:szCs w:val="16"/>
        </w:rPr>
        <w:t xml:space="preserve">The study's authors noted their numbers for civil cases were ultimately just estimates as they excluded the thousands of lawsuits consolidated in multidistrict litigation proceedings due to a lack an established convention for counting them. MDLs comprised over 70% of the federal civil caseload in 2021. </w:t>
      </w:r>
    </w:p>
    <w:p w14:paraId="5C449468" w14:textId="77777777" w:rsidR="00A24098" w:rsidRPr="00CD7791" w:rsidRDefault="00A24098" w:rsidP="00A24098">
      <w:pPr>
        <w:widowControl w:val="0"/>
        <w:pBdr>
          <w:top w:val="nil"/>
          <w:left w:val="nil"/>
          <w:bottom w:val="nil"/>
          <w:right w:val="nil"/>
          <w:between w:val="nil"/>
        </w:pBdr>
        <w:spacing w:before="183" w:line="261" w:lineRule="auto"/>
        <w:ind w:left="12" w:right="228" w:hanging="6"/>
        <w:rPr>
          <w:rFonts w:eastAsia="Calibri"/>
          <w:color w:val="000000"/>
          <w:sz w:val="14"/>
          <w:szCs w:val="16"/>
        </w:rPr>
      </w:pPr>
      <w:r>
        <w:rPr>
          <w:rFonts w:eastAsia="Calibri"/>
          <w:color w:val="000000"/>
          <w:u w:val="single"/>
        </w:rPr>
        <w:t xml:space="preserve">The lack of a severe backlog came </w:t>
      </w:r>
      <w:r>
        <w:rPr>
          <w:rFonts w:eastAsia="Calibri"/>
          <w:b/>
          <w:bCs/>
          <w:color w:val="000000"/>
          <w:u w:val="single"/>
        </w:rPr>
        <w:t xml:space="preserve">despite </w:t>
      </w:r>
      <w:proofErr w:type="spellStart"/>
      <w:r>
        <w:rPr>
          <w:rFonts w:eastAsia="Calibri"/>
          <w:b/>
          <w:bCs/>
          <w:color w:val="000000"/>
          <w:u w:val="single"/>
        </w:rPr>
        <w:t>expectations</w:t>
      </w:r>
      <w:r>
        <w:rPr>
          <w:rFonts w:eastAsia="Calibri"/>
          <w:color w:val="000000"/>
          <w:u w:val="single"/>
        </w:rPr>
        <w:t>in</w:t>
      </w:r>
      <w:proofErr w:type="spellEnd"/>
      <w:r>
        <w:rPr>
          <w:rFonts w:eastAsia="Calibri"/>
          <w:color w:val="000000"/>
          <w:u w:val="single"/>
        </w:rPr>
        <w:t xml:space="preserve"> the </w:t>
      </w:r>
      <w:r>
        <w:rPr>
          <w:rFonts w:eastAsia="Calibri"/>
          <w:b/>
          <w:bCs/>
          <w:color w:val="000000"/>
          <w:u w:val="single"/>
        </w:rPr>
        <w:t xml:space="preserve">early </w:t>
      </w:r>
      <w:r>
        <w:rPr>
          <w:rFonts w:eastAsia="Calibri"/>
          <w:color w:val="000000"/>
          <w:u w:val="single"/>
        </w:rPr>
        <w:t xml:space="preserve">days of the pandemic that </w:t>
      </w:r>
      <w:r>
        <w:rPr>
          <w:rFonts w:eastAsia="Calibri"/>
          <w:b/>
          <w:bCs/>
          <w:color w:val="000000"/>
          <w:u w:val="single"/>
        </w:rPr>
        <w:t>pending</w:t>
      </w:r>
      <w:r w:rsidRPr="00CD7791">
        <w:rPr>
          <w:rFonts w:eastAsia="Calibri"/>
          <w:b/>
          <w:bCs/>
          <w:color w:val="000000"/>
          <w:sz w:val="14"/>
        </w:rPr>
        <w:t xml:space="preserve"> </w:t>
      </w:r>
      <w:r>
        <w:rPr>
          <w:rFonts w:eastAsia="Calibri"/>
          <w:b/>
          <w:bCs/>
          <w:color w:val="000000"/>
          <w:u w:val="single"/>
        </w:rPr>
        <w:t xml:space="preserve">cases </w:t>
      </w:r>
      <w:r>
        <w:rPr>
          <w:rFonts w:eastAsia="Calibri"/>
          <w:color w:val="000000"/>
          <w:u w:val="single"/>
        </w:rPr>
        <w:t xml:space="preserve">would </w:t>
      </w:r>
      <w:r>
        <w:rPr>
          <w:rFonts w:eastAsia="Calibri"/>
          <w:b/>
          <w:bCs/>
          <w:color w:val="000000"/>
          <w:u w:val="single"/>
        </w:rPr>
        <w:t xml:space="preserve">quickly accumulate </w:t>
      </w:r>
      <w:r>
        <w:rPr>
          <w:rFonts w:eastAsia="Calibri"/>
          <w:color w:val="000000"/>
          <w:u w:val="single"/>
        </w:rPr>
        <w:t xml:space="preserve">and </w:t>
      </w:r>
      <w:r>
        <w:rPr>
          <w:rFonts w:eastAsia="Calibri"/>
          <w:b/>
          <w:bCs/>
          <w:color w:val="000000"/>
          <w:u w:val="single"/>
        </w:rPr>
        <w:t>exacerbate</w:t>
      </w:r>
      <w:r w:rsidRPr="00CD7791">
        <w:rPr>
          <w:rFonts w:eastAsia="Calibri"/>
          <w:b/>
          <w:bCs/>
          <w:color w:val="000000"/>
          <w:sz w:val="14"/>
        </w:rPr>
        <w:t xml:space="preserve"> </w:t>
      </w:r>
      <w:r w:rsidRPr="00CD7791">
        <w:rPr>
          <w:rFonts w:eastAsia="Calibri"/>
          <w:color w:val="000000"/>
          <w:sz w:val="14"/>
          <w:szCs w:val="16"/>
        </w:rPr>
        <w:t xml:space="preserve">federal case </w:t>
      </w:r>
      <w:r>
        <w:rPr>
          <w:rFonts w:eastAsia="Calibri"/>
          <w:b/>
          <w:bCs/>
          <w:color w:val="000000"/>
          <w:u w:val="single"/>
        </w:rPr>
        <w:t xml:space="preserve">backlogs </w:t>
      </w:r>
      <w:r>
        <w:rPr>
          <w:rFonts w:eastAsia="Calibri"/>
          <w:color w:val="000000"/>
          <w:u w:val="single"/>
        </w:rPr>
        <w:t>as courts closed their doors and</w:t>
      </w:r>
      <w:r w:rsidRPr="00CD7791">
        <w:rPr>
          <w:rFonts w:eastAsia="Calibri"/>
          <w:color w:val="000000"/>
          <w:sz w:val="14"/>
        </w:rPr>
        <w:t xml:space="preserve"> </w:t>
      </w:r>
      <w:r>
        <w:rPr>
          <w:rFonts w:eastAsia="Calibri"/>
          <w:color w:val="000000"/>
          <w:u w:val="single"/>
        </w:rPr>
        <w:t xml:space="preserve">suspended jury </w:t>
      </w:r>
      <w:proofErr w:type="spellStart"/>
      <w:r>
        <w:rPr>
          <w:rFonts w:eastAsia="Calibri"/>
          <w:color w:val="000000"/>
          <w:u w:val="single"/>
        </w:rPr>
        <w:t>trials</w:t>
      </w:r>
      <w:r w:rsidRPr="00CD7791">
        <w:rPr>
          <w:rFonts w:eastAsia="Calibri"/>
          <w:color w:val="000000"/>
          <w:sz w:val="14"/>
          <w:szCs w:val="16"/>
        </w:rPr>
        <w:t>to</w:t>
      </w:r>
      <w:proofErr w:type="spellEnd"/>
      <w:r w:rsidRPr="00CD7791">
        <w:rPr>
          <w:rFonts w:eastAsia="Calibri"/>
          <w:color w:val="000000"/>
          <w:sz w:val="14"/>
          <w:szCs w:val="16"/>
        </w:rPr>
        <w:t xml:space="preserve"> slow the virus's spread. </w:t>
      </w:r>
    </w:p>
    <w:p w14:paraId="4DFE39D7" w14:textId="77777777" w:rsidR="00A24098" w:rsidRPr="00CD7791" w:rsidRDefault="00A24098" w:rsidP="00A24098">
      <w:pPr>
        <w:widowControl w:val="0"/>
        <w:pBdr>
          <w:top w:val="nil"/>
          <w:left w:val="nil"/>
          <w:bottom w:val="nil"/>
          <w:right w:val="nil"/>
          <w:between w:val="nil"/>
        </w:pBdr>
        <w:spacing w:before="153" w:line="232" w:lineRule="auto"/>
        <w:ind w:left="6" w:right="337" w:hanging="1"/>
        <w:rPr>
          <w:rFonts w:eastAsia="Calibri"/>
          <w:color w:val="000000"/>
          <w:sz w:val="14"/>
          <w:szCs w:val="16"/>
        </w:rPr>
      </w:pPr>
      <w:r w:rsidRPr="00CD7791">
        <w:rPr>
          <w:rFonts w:eastAsia="Calibri"/>
          <w:color w:val="000000"/>
          <w:sz w:val="14"/>
          <w:szCs w:val="16"/>
        </w:rPr>
        <w:t xml:space="preserve">Two years after the U.S. government in March 2020 declared COVID-19 a national emergency, the median criminal and the civil case moved through the federal courts 44% and 7% slower, respectively, than compared to recent pre-pandemic years. </w:t>
      </w:r>
    </w:p>
    <w:p w14:paraId="2CFDC1B3" w14:textId="77777777" w:rsidR="00A24098" w:rsidRPr="00CD7791" w:rsidRDefault="00A24098" w:rsidP="00A24098">
      <w:pPr>
        <w:widowControl w:val="0"/>
        <w:pBdr>
          <w:top w:val="nil"/>
          <w:left w:val="nil"/>
          <w:bottom w:val="nil"/>
          <w:right w:val="nil"/>
          <w:between w:val="nil"/>
        </w:pBdr>
        <w:spacing w:before="164" w:line="240" w:lineRule="auto"/>
        <w:ind w:left="5"/>
        <w:rPr>
          <w:rFonts w:eastAsia="Calibri"/>
          <w:color w:val="000000"/>
          <w:sz w:val="14"/>
          <w:szCs w:val="16"/>
        </w:rPr>
      </w:pPr>
      <w:r w:rsidRPr="00CD7791">
        <w:rPr>
          <w:rFonts w:eastAsia="Calibri"/>
          <w:color w:val="000000"/>
          <w:sz w:val="14"/>
          <w:szCs w:val="16"/>
        </w:rPr>
        <w:t xml:space="preserve">The study said that trend was driven by a decline in cases being resolved. </w:t>
      </w:r>
    </w:p>
    <w:p w14:paraId="1DFCCCA4" w14:textId="77777777" w:rsidR="00A24098" w:rsidRPr="00CD7791" w:rsidRDefault="00A24098" w:rsidP="00A24098">
      <w:pPr>
        <w:widowControl w:val="0"/>
        <w:pBdr>
          <w:top w:val="nil"/>
          <w:left w:val="nil"/>
          <w:bottom w:val="nil"/>
          <w:right w:val="nil"/>
          <w:between w:val="nil"/>
        </w:pBdr>
        <w:spacing w:before="158" w:line="232" w:lineRule="auto"/>
        <w:ind w:left="16" w:right="328" w:hanging="7"/>
        <w:rPr>
          <w:rFonts w:eastAsia="Calibri"/>
          <w:color w:val="000000"/>
          <w:sz w:val="14"/>
          <w:szCs w:val="16"/>
        </w:rPr>
      </w:pPr>
      <w:r w:rsidRPr="00CD7791">
        <w:rPr>
          <w:rFonts w:eastAsia="Calibri"/>
          <w:color w:val="000000"/>
          <w:sz w:val="14"/>
          <w:szCs w:val="16"/>
        </w:rPr>
        <w:t xml:space="preserve">While courts allowed for virtual hearings, jury trials could not be easily moved online, resulting in their suspension at the pandemic's outset prior to the widespread use of vaccines, which eliminated an incentive for parties to plead guilty or settle, the report said. </w:t>
      </w:r>
    </w:p>
    <w:p w14:paraId="570230EF" w14:textId="3EFA100B" w:rsidR="002764DE" w:rsidRPr="002764DE" w:rsidRDefault="00B86ABB" w:rsidP="00F66893">
      <w:pPr>
        <w:pStyle w:val="Heading4"/>
      </w:pPr>
      <w:r>
        <w:lastRenderedPageBreak/>
        <w:t>4</w:t>
      </w:r>
      <w:r w:rsidR="002764DE" w:rsidRPr="002764DE">
        <w:t>---</w:t>
      </w:r>
      <w:r w:rsidR="008C5151">
        <w:t xml:space="preserve">1NC </w:t>
      </w:r>
      <w:r w:rsidR="002764DE" w:rsidRPr="002764DE">
        <w:t xml:space="preserve">Masnick contains zero rulings. It's predictive speculation from a tech blogger, not legal precedent. </w:t>
      </w:r>
      <w:r w:rsidR="00AA349C">
        <w:t>Cross app their own</w:t>
      </w:r>
      <w:r w:rsidR="002764DE" w:rsidRPr="002764DE">
        <w:t xml:space="preserve"> Sonsini '26 shows the FTC thriving with no mention of any authority-trimming rulings. </w:t>
      </w:r>
    </w:p>
    <w:p w14:paraId="4733D31F" w14:textId="17D046A4" w:rsidR="001A5A87" w:rsidRDefault="00B86ABB" w:rsidP="001A5A87">
      <w:pPr>
        <w:pStyle w:val="Heading4"/>
      </w:pPr>
      <w:r>
        <w:t>5</w:t>
      </w:r>
      <w:r w:rsidR="001A5A87">
        <w:t>---</w:t>
      </w:r>
      <w:r w:rsidR="007B155B">
        <w:t xml:space="preserve">1NC </w:t>
      </w:r>
      <w:r w:rsidR="001A5A87" w:rsidRPr="001A5A87">
        <w:t xml:space="preserve">Masnick analyzes FTC authority over labor which fall under </w:t>
      </w:r>
      <w:r w:rsidR="00CB012B">
        <w:t>competition</w:t>
      </w:r>
      <w:r w:rsidR="001A5A87" w:rsidRPr="001A5A87">
        <w:t xml:space="preserve"> authority. Sports betting regulation uses consumer protection authority under Section 5's "unfair or deceptive acts</w:t>
      </w:r>
      <w:r w:rsidR="00CB012B">
        <w:t>---c/</w:t>
      </w:r>
      <w:proofErr w:type="gramStart"/>
      <w:r w:rsidR="00CB012B">
        <w:t>a their</w:t>
      </w:r>
      <w:proofErr w:type="gramEnd"/>
      <w:r w:rsidR="00CB012B">
        <w:t xml:space="preserve"> own</w:t>
      </w:r>
      <w:r w:rsidR="001A5A87" w:rsidRPr="001A5A87">
        <w:t xml:space="preserve"> Heather '21 confirms is valid under Magnuson-Moss.</w:t>
      </w:r>
    </w:p>
    <w:p w14:paraId="7A797A16" w14:textId="2FAC3385" w:rsidR="004964D4" w:rsidRDefault="00B86ABB" w:rsidP="001C34CA">
      <w:pPr>
        <w:pStyle w:val="Heading4"/>
      </w:pPr>
      <w:r>
        <w:t>6</w:t>
      </w:r>
      <w:r w:rsidR="004964D4" w:rsidRPr="001C34CA">
        <w:t>---</w:t>
      </w:r>
      <w:r w:rsidR="001C34CA" w:rsidRPr="001C34CA">
        <w:t>1NC Masnick is about a tax company targeting</w:t>
      </w:r>
      <w:r w:rsidR="004964D4" w:rsidRPr="001C34CA">
        <w:t xml:space="preserve"> FTC's use of </w:t>
      </w:r>
      <w:r w:rsidR="009E6132">
        <w:t>46g</w:t>
      </w:r>
      <w:r w:rsidR="008D1908">
        <w:t xml:space="preserve"> which is never used</w:t>
      </w:r>
      <w:r w:rsidR="004964D4" w:rsidRPr="001C34CA">
        <w:t xml:space="preserve">. FTC's primary enforcement power under Section 5 is untouched. </w:t>
      </w:r>
    </w:p>
    <w:p w14:paraId="7C23B8C1" w14:textId="71B3BD95" w:rsidR="00182502" w:rsidRPr="00182502" w:rsidRDefault="00182502" w:rsidP="00182502">
      <w:r>
        <w:t xml:space="preserve">&lt;&lt;&lt;inserted for </w:t>
      </w:r>
      <w:r w:rsidRPr="00182502">
        <w:rPr>
          <w:highlight w:val="magenta"/>
        </w:rPr>
        <w:t>reference</w:t>
      </w:r>
      <w:r>
        <w:t>&gt;&gt;&gt;</w:t>
      </w:r>
    </w:p>
    <w:p w14:paraId="509EEC8A" w14:textId="77777777" w:rsidR="00182502" w:rsidRDefault="00182502" w:rsidP="00182502">
      <w:pPr>
        <w:rPr>
          <w:rFonts w:eastAsia="Calibri"/>
        </w:rPr>
      </w:pPr>
      <w:r>
        <w:rPr>
          <w:rFonts w:eastAsia="Calibri"/>
          <w:b/>
          <w:bCs/>
          <w:sz w:val="26"/>
          <w:szCs w:val="26"/>
        </w:rPr>
        <w:t>Masnick ’24</w:t>
      </w:r>
      <w:r>
        <w:rPr>
          <w:rFonts w:eastAsia="Calibri"/>
        </w:rPr>
        <w:t xml:space="preserve"> [Mike Masnick, 4-26-2024, Mike Masnick is the founder and CEO of Floor64 and editor of the </w:t>
      </w:r>
      <w:proofErr w:type="spellStart"/>
      <w:r>
        <w:rPr>
          <w:rFonts w:eastAsia="Calibri"/>
        </w:rPr>
        <w:t>Techdirt</w:t>
      </w:r>
      <w:proofErr w:type="spellEnd"/>
      <w:r>
        <w:rPr>
          <w:rFonts w:eastAsia="Calibri"/>
        </w:rPr>
        <w:t xml:space="preserve"> blog, “</w:t>
      </w:r>
      <w:r w:rsidRPr="0079100D">
        <w:rPr>
          <w:rFonts w:eastAsia="Calibri"/>
          <w:highlight w:val="magenta"/>
          <w:u w:val="single"/>
        </w:rPr>
        <w:t>FTC Bans Non-Competes</w:t>
      </w:r>
      <w:r>
        <w:rPr>
          <w:rFonts w:eastAsia="Calibri"/>
        </w:rPr>
        <w:t xml:space="preserve">, Sparks Instant Lawsuit: The War </w:t>
      </w:r>
      <w:proofErr w:type="gramStart"/>
      <w:r>
        <w:rPr>
          <w:rFonts w:eastAsia="Calibri"/>
        </w:rPr>
        <w:t>For</w:t>
      </w:r>
      <w:proofErr w:type="gramEnd"/>
      <w:r>
        <w:rPr>
          <w:rFonts w:eastAsia="Calibri"/>
        </w:rPr>
        <w:t xml:space="preserve"> Worker Freedom,” </w:t>
      </w:r>
      <w:proofErr w:type="spellStart"/>
      <w:r>
        <w:rPr>
          <w:rFonts w:eastAsia="Calibri"/>
        </w:rPr>
        <w:t>Techdirt</w:t>
      </w:r>
      <w:proofErr w:type="spellEnd"/>
      <w:r>
        <w:rPr>
          <w:rFonts w:eastAsia="Calibri"/>
        </w:rPr>
        <w:t xml:space="preserve">, https://www.techdirt.com/2024/04/24/ftc-bans-non-competes-sparks-instant-lawsuit-the-war-for-worker-freedom/, accessed 1-30-2026] // </w:t>
      </w:r>
      <w:proofErr w:type="spellStart"/>
      <w:r>
        <w:rPr>
          <w:rFonts w:eastAsia="Calibri"/>
        </w:rPr>
        <w:t>kd</w:t>
      </w:r>
      <w:proofErr w:type="spellEnd"/>
    </w:p>
    <w:p w14:paraId="7BE54D2F" w14:textId="77777777" w:rsidR="00182502" w:rsidRDefault="00182502" w:rsidP="00182502">
      <w:pPr>
        <w:rPr>
          <w:rFonts w:eastAsia="Calibri"/>
          <w:sz w:val="16"/>
          <w:szCs w:val="16"/>
        </w:rPr>
      </w:pPr>
      <w:r>
        <w:rPr>
          <w:rFonts w:eastAsia="Calibri"/>
          <w:sz w:val="16"/>
          <w:szCs w:val="16"/>
        </w:rPr>
        <w:t xml:space="preserve">This is a frustrating article to write. The </w:t>
      </w:r>
      <w:r>
        <w:rPr>
          <w:rFonts w:eastAsia="Calibri"/>
          <w:highlight w:val="cyan"/>
          <w:u w:val="single"/>
        </w:rPr>
        <w:t>FTC</w:t>
      </w:r>
      <w:r>
        <w:rPr>
          <w:rFonts w:eastAsia="Calibri"/>
          <w:u w:val="single"/>
        </w:rPr>
        <w:t xml:space="preserve"> has come out with </w:t>
      </w:r>
      <w:r>
        <w:rPr>
          <w:rFonts w:eastAsia="Calibri"/>
          <w:b/>
          <w:bCs/>
          <w:u w:val="single"/>
        </w:rPr>
        <w:t xml:space="preserve">a very </w:t>
      </w:r>
      <w:r>
        <w:rPr>
          <w:rFonts w:eastAsia="Calibri"/>
          <w:b/>
          <w:bCs/>
          <w:highlight w:val="cyan"/>
          <w:u w:val="single"/>
        </w:rPr>
        <w:t>good</w:t>
      </w:r>
      <w:r>
        <w:rPr>
          <w:rFonts w:eastAsia="Calibri"/>
          <w:u w:val="single"/>
        </w:rPr>
        <w:t xml:space="preserve"> and </w:t>
      </w:r>
      <w:r>
        <w:rPr>
          <w:rFonts w:eastAsia="Calibri"/>
          <w:b/>
          <w:bCs/>
          <w:u w:val="single"/>
        </w:rPr>
        <w:t>important</w:t>
      </w:r>
      <w:r>
        <w:rPr>
          <w:rFonts w:eastAsia="Calibri"/>
          <w:u w:val="single"/>
        </w:rPr>
        <w:t xml:space="preserve"> </w:t>
      </w:r>
      <w:r>
        <w:rPr>
          <w:rFonts w:eastAsia="Calibri"/>
          <w:highlight w:val="cyan"/>
          <w:u w:val="single"/>
        </w:rPr>
        <w:t xml:space="preserve">policy </w:t>
      </w:r>
      <w:r>
        <w:rPr>
          <w:rFonts w:eastAsia="Calibri"/>
          <w:u w:val="single"/>
        </w:rPr>
        <w:t xml:space="preserve">ruling, but I’m not sure it has the authority to do so. The </w:t>
      </w:r>
      <w:r>
        <w:rPr>
          <w:rFonts w:eastAsia="Calibri"/>
          <w:b/>
          <w:bCs/>
          <w:highlight w:val="cyan"/>
          <w:u w:val="single"/>
        </w:rPr>
        <w:t>legal challenge</w:t>
      </w:r>
      <w:r>
        <w:rPr>
          <w:rFonts w:eastAsia="Calibri"/>
          <w:u w:val="single"/>
        </w:rPr>
        <w:t xml:space="preserve"> (that was </w:t>
      </w:r>
      <w:r>
        <w:rPr>
          <w:rFonts w:eastAsia="Calibri"/>
          <w:b/>
          <w:bCs/>
          <w:highlight w:val="cyan"/>
          <w:u w:val="single"/>
        </w:rPr>
        <w:t>filed</w:t>
      </w:r>
      <w:r>
        <w:rPr>
          <w:rFonts w:eastAsia="Calibri"/>
          <w:b/>
          <w:bCs/>
          <w:u w:val="single"/>
        </w:rPr>
        <w:t xml:space="preserve"> basically </w:t>
      </w:r>
      <w:r>
        <w:rPr>
          <w:rFonts w:eastAsia="Calibri"/>
          <w:b/>
          <w:bCs/>
          <w:highlight w:val="cyan"/>
          <w:u w:val="single"/>
        </w:rPr>
        <w:t>seconds after</w:t>
      </w:r>
      <w:r>
        <w:rPr>
          <w:rFonts w:eastAsia="Calibri"/>
          <w:b/>
          <w:bCs/>
          <w:u w:val="single"/>
        </w:rPr>
        <w:t xml:space="preserve"> the rule came out</w:t>
      </w:r>
      <w:r>
        <w:rPr>
          <w:rFonts w:eastAsia="Calibri"/>
          <w:u w:val="single"/>
        </w:rPr>
        <w:t>) could do</w:t>
      </w:r>
      <w:r>
        <w:rPr>
          <w:rFonts w:eastAsia="Calibri"/>
          <w:highlight w:val="cyan"/>
          <w:u w:val="single"/>
        </w:rPr>
        <w:t xml:space="preserve"> </w:t>
      </w:r>
      <w:r>
        <w:rPr>
          <w:rFonts w:eastAsia="Calibri"/>
          <w:b/>
          <w:bCs/>
          <w:highlight w:val="cyan"/>
          <w:u w:val="single"/>
        </w:rPr>
        <w:t>way more damage</w:t>
      </w:r>
      <w:r>
        <w:rPr>
          <w:rFonts w:eastAsia="Calibri"/>
          <w:u w:val="single"/>
        </w:rPr>
        <w:t xml:space="preserve"> not just </w:t>
      </w:r>
      <w:r>
        <w:rPr>
          <w:rFonts w:eastAsia="Calibri"/>
          <w:b/>
          <w:bCs/>
          <w:u w:val="single"/>
        </w:rPr>
        <w:t>to</w:t>
      </w:r>
      <w:r>
        <w:rPr>
          <w:rFonts w:eastAsia="Calibri"/>
          <w:u w:val="single"/>
        </w:rPr>
        <w:t xml:space="preserve"> some </w:t>
      </w:r>
      <w:r>
        <w:rPr>
          <w:rFonts w:eastAsia="Calibri"/>
          <w:b/>
          <w:bCs/>
          <w:u w:val="single"/>
        </w:rPr>
        <w:t>fundamental</w:t>
      </w:r>
      <w:r>
        <w:rPr>
          <w:rFonts w:eastAsia="Calibri"/>
          <w:u w:val="single"/>
        </w:rPr>
        <w:t xml:space="preserve"> parts of the </w:t>
      </w:r>
      <w:r>
        <w:rPr>
          <w:rFonts w:eastAsia="Calibri"/>
          <w:b/>
          <w:bCs/>
          <w:u w:val="single"/>
        </w:rPr>
        <w:t>administrative state</w:t>
      </w:r>
      <w:r>
        <w:rPr>
          <w:rFonts w:eastAsia="Calibri"/>
          <w:u w:val="single"/>
        </w:rPr>
        <w:t xml:space="preserve">, but </w:t>
      </w:r>
      <w:r>
        <w:rPr>
          <w:rFonts w:eastAsia="Calibri"/>
          <w:highlight w:val="cyan"/>
          <w:u w:val="single"/>
        </w:rPr>
        <w:t xml:space="preserve">to </w:t>
      </w:r>
      <w:r>
        <w:rPr>
          <w:rFonts w:eastAsia="Calibri"/>
          <w:b/>
          <w:bCs/>
          <w:u w:val="single"/>
        </w:rPr>
        <w:t>the very</w:t>
      </w:r>
      <w:r>
        <w:rPr>
          <w:rFonts w:eastAsia="Calibri"/>
          <w:b/>
          <w:bCs/>
          <w:highlight w:val="cyan"/>
          <w:u w:val="single"/>
        </w:rPr>
        <w:t xml:space="preserve"> underlying policy</w:t>
      </w:r>
      <w:r>
        <w:rPr>
          <w:rFonts w:eastAsia="Calibri"/>
          <w:highlight w:val="cyan"/>
          <w:u w:val="single"/>
        </w:rPr>
        <w:t xml:space="preserve"> </w:t>
      </w:r>
      <w:r>
        <w:rPr>
          <w:rFonts w:eastAsia="Calibri"/>
          <w:u w:val="single"/>
        </w:rPr>
        <w:t>that the FTC is trying to enact</w:t>
      </w:r>
      <w:r>
        <w:rPr>
          <w:rFonts w:eastAsia="Calibri"/>
          <w:sz w:val="16"/>
          <w:szCs w:val="16"/>
        </w:rPr>
        <w:t>: protecting the rights of workers to switch jobs and not be effectively tied to an employer in modern-day indentured servitude with no realistic ability to leave.</w:t>
      </w:r>
    </w:p>
    <w:p w14:paraId="26CF0939" w14:textId="77777777" w:rsidR="00182502" w:rsidRDefault="00182502" w:rsidP="00182502">
      <w:pPr>
        <w:rPr>
          <w:rFonts w:eastAsia="Calibri"/>
        </w:rPr>
      </w:pPr>
      <w:r>
        <w:rPr>
          <w:rFonts w:eastAsia="Calibri"/>
        </w:rPr>
        <w:t>&lt;&lt;text condensed, none omitted&gt;&gt;</w:t>
      </w:r>
    </w:p>
    <w:p w14:paraId="6FA1A100" w14:textId="77777777" w:rsidR="00182502" w:rsidRDefault="00182502" w:rsidP="00182502">
      <w:pPr>
        <w:rPr>
          <w:rFonts w:eastAsia="Calibri"/>
          <w:sz w:val="12"/>
          <w:szCs w:val="12"/>
        </w:rPr>
      </w:pPr>
      <w:r>
        <w:rPr>
          <w:rFonts w:eastAsia="Calibri"/>
          <w:sz w:val="12"/>
          <w:szCs w:val="12"/>
        </w:rPr>
        <w:t xml:space="preserve">All the way back in 2007, I wrote about how non-competes were the DRM of human capital. They were an artificial manner of restricting a basic freedom, and one that served no real purpose other than to make everything worse. As I discussed in that post, multiple studies done over the previous couple of decades had more or less shown that non-competes are a tremendous drag on innovation, to the point that some argue (strongly, with data) that Silicon Valley would not be Silicon Valley if not for the fact that California has deemed non-competes unenforceable. The evidence of non-competes being harmful to the market, to consumers, and to innovation is overwhelming. It’s not difficult to understand why. Studies have shown that locking up information tends to be harmful to innovation. The big, important, innovative breakthroughs happen when information flows freely throughout an industry, allowing different perspectives to be brought into the process. </w:t>
      </w:r>
      <w:proofErr w:type="gramStart"/>
      <w:r>
        <w:rPr>
          <w:rFonts w:eastAsia="Calibri"/>
          <w:sz w:val="12"/>
          <w:szCs w:val="12"/>
        </w:rPr>
        <w:t>Over and over again</w:t>
      </w:r>
      <w:proofErr w:type="gramEnd"/>
      <w:r>
        <w:rPr>
          <w:rFonts w:eastAsia="Calibri"/>
          <w:sz w:val="12"/>
          <w:szCs w:val="12"/>
        </w:rPr>
        <w:t xml:space="preserve">, it’s been shown that those big breakthroughs come when information is shared and multiple companies are trying to tackle the underlying problem. But you don’t want companies colluding. Instead, it’s much better to simply ban non-competes, as it allows workers to switch jobs. This allows for more of a free flow of information between companies, which contributes to important innovations, rather than stagnant groupthink. The non-competes act as a barrier to the free flow of information, which holds back innovation. They’re </w:t>
      </w:r>
      <w:proofErr w:type="gramStart"/>
      <w:r>
        <w:rPr>
          <w:rFonts w:eastAsia="Calibri"/>
          <w:sz w:val="12"/>
          <w:szCs w:val="12"/>
        </w:rPr>
        <w:t>really bad</w:t>
      </w:r>
      <w:proofErr w:type="gramEnd"/>
      <w:r>
        <w:rPr>
          <w:rFonts w:eastAsia="Calibri"/>
          <w:sz w:val="12"/>
          <w:szCs w:val="12"/>
        </w:rPr>
        <w:t>. It’s why I’ve long supported states following California’s lead in making them unenforceable. And, of course, once more companies realized the DRM-</w:t>
      </w:r>
      <w:proofErr w:type="spellStart"/>
      <w:r>
        <w:rPr>
          <w:rFonts w:eastAsia="Calibri"/>
          <w:sz w:val="12"/>
          <w:szCs w:val="12"/>
        </w:rPr>
        <w:t>ish</w:t>
      </w:r>
      <w:proofErr w:type="spellEnd"/>
      <w:r>
        <w:rPr>
          <w:rFonts w:eastAsia="Calibri"/>
          <w:sz w:val="12"/>
          <w:szCs w:val="12"/>
        </w:rPr>
        <w:t xml:space="preserve"> nature of non-competes, they started using them for </w:t>
      </w:r>
      <w:proofErr w:type="gramStart"/>
      <w:r>
        <w:rPr>
          <w:rFonts w:eastAsia="Calibri"/>
          <w:sz w:val="12"/>
          <w:szCs w:val="12"/>
        </w:rPr>
        <w:t>more and more</w:t>
      </w:r>
      <w:proofErr w:type="gramEnd"/>
      <w:r>
        <w:rPr>
          <w:rFonts w:eastAsia="Calibri"/>
          <w:sz w:val="12"/>
          <w:szCs w:val="12"/>
        </w:rPr>
        <w:t xml:space="preserve"> evil purposes. This included, somewhat infamously, fast food workers being forced to sign non-competes. Whatever (weak) justification there might be for higher-end knowledge workers to sign non-competes, the idea of using them for low-end jobs is pure nonsense. Non-competes should be banned.</w:t>
      </w:r>
    </w:p>
    <w:p w14:paraId="26AA8047" w14:textId="77777777" w:rsidR="00182502" w:rsidRDefault="00182502" w:rsidP="00182502">
      <w:pPr>
        <w:rPr>
          <w:rFonts w:eastAsia="Calibri"/>
        </w:rPr>
      </w:pPr>
      <w:r>
        <w:rPr>
          <w:rFonts w:eastAsia="Calibri"/>
        </w:rPr>
        <w:t>&lt;&lt;resume line breaks&gt;&gt;</w:t>
      </w:r>
    </w:p>
    <w:p w14:paraId="7607E042" w14:textId="77777777" w:rsidR="00182502" w:rsidRDefault="00182502" w:rsidP="00182502">
      <w:pPr>
        <w:rPr>
          <w:rFonts w:eastAsia="Calibri"/>
          <w:u w:val="single"/>
        </w:rPr>
      </w:pPr>
      <w:r>
        <w:rPr>
          <w:rFonts w:eastAsia="Calibri"/>
          <w:sz w:val="16"/>
          <w:szCs w:val="16"/>
        </w:rPr>
        <w:t xml:space="preserve">But, when the FTC proposed banning non-competes last year, I saw it as a mixed bag. I 100% support the policy goal. Non-competes are actively harmful and should not be allowed. But (1) I’m not convinced the FTC </w:t>
      </w:r>
      <w:proofErr w:type="gramStart"/>
      <w:r>
        <w:rPr>
          <w:rFonts w:eastAsia="Calibri"/>
          <w:sz w:val="16"/>
          <w:szCs w:val="16"/>
        </w:rPr>
        <w:t>actually has</w:t>
      </w:r>
      <w:proofErr w:type="gramEnd"/>
      <w:r>
        <w:rPr>
          <w:rFonts w:eastAsia="Calibri"/>
          <w:sz w:val="16"/>
          <w:szCs w:val="16"/>
        </w:rPr>
        <w:t xml:space="preserve"> the authority to ban them across the board. That should be Congress’ job. </w:t>
      </w:r>
      <w:proofErr w:type="gramStart"/>
      <w:r>
        <w:rPr>
          <w:rFonts w:eastAsia="Calibri"/>
          <w:sz w:val="16"/>
          <w:szCs w:val="16"/>
        </w:rPr>
        <w:t>And,</w:t>
      </w:r>
      <w:proofErr w:type="gramEnd"/>
      <w:r>
        <w:rPr>
          <w:rFonts w:eastAsia="Calibri"/>
          <w:sz w:val="16"/>
          <w:szCs w:val="16"/>
        </w:rPr>
        <w:t xml:space="preserve"> (2) </w:t>
      </w:r>
      <w:r>
        <w:rPr>
          <w:rFonts w:eastAsia="Calibri"/>
          <w:u w:val="single"/>
        </w:rPr>
        <w:t xml:space="preserve">with the </w:t>
      </w:r>
      <w:r>
        <w:rPr>
          <w:rFonts w:eastAsia="Calibri"/>
          <w:highlight w:val="cyan"/>
          <w:u w:val="single"/>
        </w:rPr>
        <w:t>courts</w:t>
      </w:r>
      <w:r>
        <w:rPr>
          <w:rFonts w:eastAsia="Calibri"/>
          <w:u w:val="single"/>
        </w:rPr>
        <w:t xml:space="preserve"> the way they are </w:t>
      </w:r>
      <w:r>
        <w:rPr>
          <w:rFonts w:eastAsia="Calibri"/>
          <w:highlight w:val="cyan"/>
          <w:u w:val="single"/>
        </w:rPr>
        <w:t>today</w:t>
      </w:r>
      <w:r>
        <w:rPr>
          <w:rFonts w:eastAsia="Calibri"/>
          <w:u w:val="single"/>
        </w:rPr>
        <w:t xml:space="preserve">, there’s a </w:t>
      </w:r>
      <w:r>
        <w:rPr>
          <w:rFonts w:eastAsia="Calibri"/>
          <w:b/>
          <w:bCs/>
          <w:u w:val="single"/>
        </w:rPr>
        <w:t>very high likelihood</w:t>
      </w:r>
      <w:r>
        <w:rPr>
          <w:rFonts w:eastAsia="Calibri"/>
          <w:u w:val="single"/>
        </w:rPr>
        <w:t xml:space="preserve"> that </w:t>
      </w:r>
      <w:r>
        <w:rPr>
          <w:rFonts w:eastAsia="Calibri"/>
          <w:highlight w:val="cyan"/>
          <w:u w:val="single"/>
        </w:rPr>
        <w:t>any case challenging</w:t>
      </w:r>
      <w:r>
        <w:rPr>
          <w:rFonts w:eastAsia="Calibri"/>
          <w:u w:val="single"/>
        </w:rPr>
        <w:t xml:space="preserve"> </w:t>
      </w:r>
      <w:r w:rsidRPr="0079100D">
        <w:rPr>
          <w:rFonts w:eastAsia="Calibri"/>
          <w:highlight w:val="magenta"/>
          <w:u w:val="single"/>
        </w:rPr>
        <w:t>such</w:t>
      </w:r>
      <w:r>
        <w:rPr>
          <w:rFonts w:eastAsia="Calibri"/>
          <w:u w:val="single"/>
        </w:rPr>
        <w:t xml:space="preserve"> an </w:t>
      </w:r>
      <w:r>
        <w:rPr>
          <w:rFonts w:eastAsia="Calibri"/>
          <w:highlight w:val="cyan"/>
          <w:u w:val="single"/>
        </w:rPr>
        <w:t>FTC</w:t>
      </w:r>
      <w:r>
        <w:rPr>
          <w:rFonts w:eastAsia="Calibri"/>
          <w:u w:val="single"/>
        </w:rPr>
        <w:t xml:space="preserve"> </w:t>
      </w:r>
      <w:r>
        <w:rPr>
          <w:rFonts w:eastAsia="Calibri"/>
          <w:b/>
          <w:bCs/>
          <w:u w:val="single"/>
        </w:rPr>
        <w:t>rule would not just get tossed</w:t>
      </w:r>
      <w:r>
        <w:rPr>
          <w:rFonts w:eastAsia="Calibri"/>
          <w:u w:val="single"/>
        </w:rPr>
        <w:t xml:space="preserve">, but that the </w:t>
      </w:r>
      <w:r>
        <w:rPr>
          <w:rFonts w:eastAsia="Calibri"/>
          <w:b/>
          <w:bCs/>
          <w:u w:val="single"/>
        </w:rPr>
        <w:t xml:space="preserve">FTC may </w:t>
      </w:r>
      <w:r>
        <w:rPr>
          <w:rFonts w:eastAsia="Calibri"/>
          <w:b/>
          <w:bCs/>
          <w:highlight w:val="cyan"/>
          <w:u w:val="single"/>
        </w:rPr>
        <w:t xml:space="preserve">have </w:t>
      </w:r>
      <w:r>
        <w:rPr>
          <w:rFonts w:eastAsia="Calibri"/>
          <w:b/>
          <w:bCs/>
          <w:u w:val="single"/>
        </w:rPr>
        <w:t xml:space="preserve">its </w:t>
      </w:r>
      <w:r>
        <w:rPr>
          <w:rFonts w:eastAsia="Calibri"/>
          <w:b/>
          <w:bCs/>
          <w:highlight w:val="cyan"/>
          <w:u w:val="single"/>
        </w:rPr>
        <w:t>existing authority trimmed back</w:t>
      </w:r>
      <w:r>
        <w:rPr>
          <w:rFonts w:eastAsia="Calibri"/>
          <w:b/>
          <w:bCs/>
          <w:u w:val="single"/>
        </w:rPr>
        <w:t xml:space="preserve"> even </w:t>
      </w:r>
      <w:r>
        <w:rPr>
          <w:rFonts w:eastAsia="Calibri"/>
          <w:b/>
          <w:bCs/>
          <w:highlight w:val="cyan"/>
          <w:u w:val="single"/>
        </w:rPr>
        <w:t>further</w:t>
      </w:r>
      <w:r>
        <w:rPr>
          <w:rFonts w:eastAsia="Calibri"/>
          <w:u w:val="single"/>
        </w:rPr>
        <w:t>.</w:t>
      </w:r>
    </w:p>
    <w:p w14:paraId="27333439" w14:textId="77777777" w:rsidR="00182502" w:rsidRDefault="00182502" w:rsidP="00182502">
      <w:pPr>
        <w:rPr>
          <w:rFonts w:eastAsia="Calibri"/>
          <w:sz w:val="16"/>
          <w:szCs w:val="16"/>
        </w:rPr>
      </w:pPr>
      <w:r>
        <w:rPr>
          <w:rFonts w:eastAsia="Calibri"/>
          <w:sz w:val="16"/>
          <w:szCs w:val="16"/>
        </w:rPr>
        <w:t>Yesterday, the FTC issued its final rule on non-competes. The rule bans all new non-competes and voids most existing non-competes, with the one exception being existing non-competes for senior executives (those making over $151,164 and who are in “policy-making positions”).</w:t>
      </w:r>
    </w:p>
    <w:p w14:paraId="726725ED" w14:textId="77777777" w:rsidR="00182502" w:rsidRDefault="00182502" w:rsidP="00182502">
      <w:pPr>
        <w:rPr>
          <w:rFonts w:eastAsia="Calibri"/>
          <w:u w:val="single"/>
        </w:rPr>
      </w:pPr>
      <w:r>
        <w:rPr>
          <w:rFonts w:eastAsia="Calibri"/>
          <w:sz w:val="16"/>
          <w:szCs w:val="16"/>
        </w:rPr>
        <w:t>The rule is 570 pages long, with</w:t>
      </w:r>
      <w:r>
        <w:rPr>
          <w:rFonts w:eastAsia="Calibri"/>
        </w:rPr>
        <w:t xml:space="preserve"> </w:t>
      </w:r>
      <w:r>
        <w:rPr>
          <w:rFonts w:eastAsia="Calibri"/>
          <w:u w:val="single"/>
        </w:rPr>
        <w:t xml:space="preserve">much of it trying to make the argument for why the FTC </w:t>
      </w:r>
      <w:proofErr w:type="gramStart"/>
      <w:r>
        <w:rPr>
          <w:rFonts w:eastAsia="Calibri"/>
          <w:u w:val="single"/>
        </w:rPr>
        <w:t>actually has</w:t>
      </w:r>
      <w:proofErr w:type="gramEnd"/>
      <w:r>
        <w:rPr>
          <w:rFonts w:eastAsia="Calibri"/>
          <w:u w:val="single"/>
        </w:rPr>
        <w:t xml:space="preserve"> this authority</w:t>
      </w:r>
      <w:r>
        <w:rPr>
          <w:rFonts w:eastAsia="Calibri"/>
        </w:rPr>
        <w:t xml:space="preserve">. </w:t>
      </w:r>
      <w:r>
        <w:rPr>
          <w:rFonts w:eastAsia="Calibri"/>
          <w:sz w:val="16"/>
          <w:szCs w:val="16"/>
        </w:rPr>
        <w:t>And all those arguments are going to be put to the test.</w:t>
      </w:r>
      <w:r>
        <w:rPr>
          <w:rFonts w:eastAsia="Calibri"/>
        </w:rPr>
        <w:t xml:space="preserve"> </w:t>
      </w:r>
      <w:r>
        <w:rPr>
          <w:rFonts w:eastAsia="Calibri"/>
          <w:u w:val="single"/>
        </w:rPr>
        <w:t xml:space="preserve">Very shortly after the new rule dropped (long before anyone could have possibly read the 570 pages), a Texas-based tax services company, </w:t>
      </w:r>
      <w:r w:rsidRPr="00995235">
        <w:rPr>
          <w:rFonts w:eastAsia="Calibri"/>
          <w:highlight w:val="magenta"/>
          <w:u w:val="single"/>
        </w:rPr>
        <w:t>Ryan LLC</w:t>
      </w:r>
      <w:r>
        <w:rPr>
          <w:rFonts w:eastAsia="Calibri"/>
          <w:u w:val="single"/>
        </w:rPr>
        <w:t xml:space="preserve">, </w:t>
      </w:r>
      <w:r w:rsidRPr="00995235">
        <w:rPr>
          <w:rFonts w:eastAsia="Calibri"/>
          <w:highlight w:val="magenta"/>
          <w:u w:val="single"/>
        </w:rPr>
        <w:t>filed a lawsuit</w:t>
      </w:r>
      <w:r>
        <w:rPr>
          <w:rFonts w:eastAsia="Calibri"/>
          <w:u w:val="single"/>
        </w:rPr>
        <w:t>.</w:t>
      </w:r>
    </w:p>
    <w:p w14:paraId="7A26F047" w14:textId="77777777" w:rsidR="00182502" w:rsidRDefault="00182502" w:rsidP="00182502">
      <w:pPr>
        <w:rPr>
          <w:rFonts w:eastAsia="Calibri"/>
          <w:sz w:val="16"/>
          <w:szCs w:val="16"/>
        </w:rPr>
      </w:pPr>
      <w:r>
        <w:rPr>
          <w:rFonts w:eastAsia="Calibri"/>
          <w:u w:val="single"/>
        </w:rPr>
        <w:lastRenderedPageBreak/>
        <w:t>The timing, the location, and the lawyers all suggest this was clearly planned out.</w:t>
      </w:r>
      <w:r>
        <w:rPr>
          <w:rFonts w:eastAsia="Calibri"/>
        </w:rPr>
        <w:t xml:space="preserve"> </w:t>
      </w:r>
      <w:r>
        <w:rPr>
          <w:rFonts w:eastAsia="Calibri"/>
          <w:sz w:val="16"/>
          <w:szCs w:val="16"/>
        </w:rPr>
        <w:t xml:space="preserve">The case was filed in Northern Texas. It was not, as many people assumed, assigned to judicial shopping national injunction favorite Matthew Kacsmaryk. Instead, it went to Judge Ada Brown. The </w:t>
      </w:r>
      <w:r>
        <w:rPr>
          <w:rFonts w:eastAsia="Calibri"/>
          <w:u w:val="single"/>
        </w:rPr>
        <w:t>law firm filing the case</w:t>
      </w:r>
      <w:r>
        <w:rPr>
          <w:rFonts w:eastAsia="Calibri"/>
          <w:sz w:val="16"/>
          <w:szCs w:val="16"/>
        </w:rPr>
        <w:t xml:space="preserve"> is Gibson Dunn, </w:t>
      </w:r>
      <w:r>
        <w:rPr>
          <w:rFonts w:eastAsia="Calibri"/>
          <w:u w:val="single"/>
        </w:rPr>
        <w:t>which is one of the law firms you choose when you’re planning to go to the Supreme Court</w:t>
      </w:r>
      <w:r>
        <w:rPr>
          <w:rFonts w:eastAsia="Calibri"/>
          <w:sz w:val="16"/>
          <w:szCs w:val="16"/>
        </w:rPr>
        <w:t>. One of the lawyers is Gene Scalia, son of late Supreme Court Justice Antonin Scalia.</w:t>
      </w:r>
    </w:p>
    <w:p w14:paraId="42DCC54F" w14:textId="77777777" w:rsidR="00182502" w:rsidRDefault="00182502" w:rsidP="00182502">
      <w:pPr>
        <w:rPr>
          <w:rFonts w:eastAsia="Calibri"/>
          <w:sz w:val="16"/>
          <w:szCs w:val="16"/>
        </w:rPr>
      </w:pPr>
      <w:r>
        <w:rPr>
          <w:rFonts w:eastAsia="Calibri"/>
          <w:sz w:val="16"/>
          <w:szCs w:val="16"/>
        </w:rPr>
        <w:t>Also notable, as pointed out by a lawyer on Bluesky, is that the General Counsel of Ryan LLC clerked for Samuel Alito (before Alito went to the Supreme Court) and is married to someone who clerked for both Justices Alito and Thomas. She also testified before the Senate in support of Justice Gorsuch during his nomination.</w:t>
      </w:r>
    </w:p>
    <w:p w14:paraId="2A8A48BC" w14:textId="77777777" w:rsidR="00182502" w:rsidRDefault="00182502" w:rsidP="00182502">
      <w:pPr>
        <w:rPr>
          <w:rFonts w:eastAsia="Calibri"/>
          <w:u w:val="single"/>
        </w:rPr>
      </w:pPr>
      <w:r>
        <w:rPr>
          <w:rFonts w:eastAsia="Calibri"/>
          <w:u w:val="single"/>
        </w:rPr>
        <w:t xml:space="preserve">The actual </w:t>
      </w:r>
      <w:r>
        <w:rPr>
          <w:rFonts w:eastAsia="Calibri"/>
          <w:highlight w:val="cyan"/>
          <w:u w:val="single"/>
        </w:rPr>
        <w:t>lawsuit</w:t>
      </w:r>
      <w:r>
        <w:rPr>
          <w:rFonts w:eastAsia="Calibri"/>
          <w:u w:val="single"/>
        </w:rPr>
        <w:t xml:space="preserve"> doesn’t just seek to block the rule. It is basically looking to</w:t>
      </w:r>
      <w:r>
        <w:rPr>
          <w:rFonts w:eastAsia="Calibri"/>
          <w:highlight w:val="cyan"/>
          <w:u w:val="single"/>
        </w:rPr>
        <w:t xml:space="preserve"> destroy</w:t>
      </w:r>
      <w:r>
        <w:rPr>
          <w:rFonts w:eastAsia="Calibri"/>
          <w:u w:val="single"/>
        </w:rPr>
        <w:t xml:space="preserve"> what limited </w:t>
      </w:r>
      <w:r>
        <w:rPr>
          <w:rFonts w:eastAsia="Calibri"/>
          <w:highlight w:val="cyan"/>
          <w:u w:val="single"/>
        </w:rPr>
        <w:t>authority</w:t>
      </w:r>
      <w:r>
        <w:rPr>
          <w:rFonts w:eastAsia="Calibri"/>
          <w:u w:val="single"/>
        </w:rPr>
        <w:t xml:space="preserve"> the </w:t>
      </w:r>
      <w:r>
        <w:rPr>
          <w:rFonts w:eastAsia="Calibri"/>
          <w:highlight w:val="cyan"/>
          <w:u w:val="single"/>
        </w:rPr>
        <w:t>FTC has</w:t>
      </w:r>
      <w:r>
        <w:rPr>
          <w:rFonts w:eastAsia="Calibri"/>
          <w:u w:val="single"/>
        </w:rPr>
        <w:t>. The main crux of the argument</w:t>
      </w:r>
      <w:r>
        <w:rPr>
          <w:rFonts w:eastAsia="Calibri"/>
          <w:sz w:val="16"/>
          <w:szCs w:val="16"/>
        </w:rPr>
        <w:t xml:space="preserve"> is on more firm legal footing, </w:t>
      </w:r>
      <w:r>
        <w:rPr>
          <w:rFonts w:eastAsia="Calibri"/>
          <w:u w:val="single"/>
        </w:rPr>
        <w:t>claiming that this rule goes beyond the FTC’s rulemaking authority:</w:t>
      </w:r>
    </w:p>
    <w:p w14:paraId="16151064" w14:textId="77777777" w:rsidR="00182502" w:rsidRPr="00484409" w:rsidRDefault="00182502" w:rsidP="00182502">
      <w:pPr>
        <w:rPr>
          <w:rFonts w:eastAsia="Calibri"/>
          <w:b/>
          <w:bCs/>
          <w:sz w:val="16"/>
          <w:szCs w:val="16"/>
          <w:u w:val="single"/>
        </w:rPr>
      </w:pPr>
      <w:r>
        <w:rPr>
          <w:rFonts w:eastAsia="Calibri"/>
          <w:sz w:val="16"/>
          <w:szCs w:val="16"/>
        </w:rPr>
        <w:t xml:space="preserve">The Non-Compete Rule far exceeds the Commission’s authority under the FTC Act. The </w:t>
      </w:r>
      <w:r w:rsidRPr="005D779F">
        <w:rPr>
          <w:rFonts w:eastAsia="Calibri"/>
          <w:b/>
          <w:bCs/>
          <w:i/>
          <w:iCs/>
          <w:highlight w:val="magenta"/>
          <w:u w:val="single"/>
        </w:rPr>
        <w:t>Commission’s claimed statutory authority—a provision allowing it “[f]</w:t>
      </w:r>
      <w:proofErr w:type="spellStart"/>
      <w:r w:rsidRPr="005D779F">
        <w:rPr>
          <w:rFonts w:eastAsia="Calibri"/>
          <w:b/>
          <w:bCs/>
          <w:i/>
          <w:iCs/>
          <w:highlight w:val="magenta"/>
          <w:u w:val="single"/>
        </w:rPr>
        <w:t>rom</w:t>
      </w:r>
      <w:proofErr w:type="spellEnd"/>
      <w:r w:rsidRPr="005D779F">
        <w:rPr>
          <w:rFonts w:eastAsia="Calibri"/>
          <w:b/>
          <w:bCs/>
          <w:i/>
          <w:iCs/>
          <w:highlight w:val="magenta"/>
          <w:u w:val="single"/>
        </w:rPr>
        <w:t xml:space="preserve"> time to time” to “classify corporations and . . . make rules and regulations</w:t>
      </w:r>
      <w:r>
        <w:rPr>
          <w:rFonts w:eastAsia="Calibri"/>
          <w:sz w:val="16"/>
          <w:szCs w:val="16"/>
        </w:rPr>
        <w:t xml:space="preserve">,” 15 U.S.C. § 46(g)—authorizes only procedural rules, as the Commission itself recognized for decades. This is confirmed by, among other statutory features, </w:t>
      </w:r>
      <w:r w:rsidRPr="005D779F">
        <w:rPr>
          <w:rFonts w:eastAsia="Calibri"/>
          <w:b/>
          <w:bCs/>
          <w:highlight w:val="magenta"/>
          <w:u w:val="single"/>
        </w:rPr>
        <w:t>Congress’s decision to adopt special procedures for the substantive rulemaking authority it did grant the Commission, for rules on “unfair or deceptive acts or practices.”</w:t>
      </w:r>
    </w:p>
    <w:p w14:paraId="412299BB" w14:textId="77777777" w:rsidR="00182502" w:rsidRDefault="00182502" w:rsidP="00182502">
      <w:pPr>
        <w:rPr>
          <w:rFonts w:eastAsia="Calibri"/>
          <w:sz w:val="16"/>
          <w:szCs w:val="16"/>
        </w:rPr>
      </w:pPr>
      <w:r>
        <w:rPr>
          <w:rFonts w:eastAsia="Calibri"/>
          <w:sz w:val="16"/>
          <w:szCs w:val="16"/>
        </w:rPr>
        <w:t>I wish this weren’t the case, because I do think non-competes should be banned, but this argument may be correct. Congress should make this decision, not the FTC.</w:t>
      </w:r>
    </w:p>
    <w:p w14:paraId="00F06E00" w14:textId="2BF45D3F" w:rsidR="006D469F" w:rsidRPr="00112290" w:rsidRDefault="006D469F" w:rsidP="006D469F">
      <w:pPr>
        <w:pStyle w:val="Heading4"/>
        <w:rPr>
          <w:rFonts w:asciiTheme="minorHAnsi" w:hAnsiTheme="minorHAnsi" w:cstheme="minorHAnsi"/>
        </w:rPr>
      </w:pPr>
      <w:r>
        <w:t>7---</w:t>
      </w:r>
      <w:r w:rsidRPr="006D469F">
        <w:rPr>
          <w:rFonts w:asciiTheme="minorHAnsi" w:hAnsiTheme="minorHAnsi" w:cstheme="minorHAnsi"/>
        </w:rPr>
        <w:t xml:space="preserve"> </w:t>
      </w:r>
      <w:r w:rsidRPr="00112290">
        <w:rPr>
          <w:rFonts w:asciiTheme="minorHAnsi" w:hAnsiTheme="minorHAnsi" w:cstheme="minorHAnsi"/>
        </w:rPr>
        <w:t xml:space="preserve">Grid collapse </w:t>
      </w:r>
      <w:r w:rsidRPr="00112290">
        <w:rPr>
          <w:rFonts w:asciiTheme="minorHAnsi" w:hAnsiTheme="minorHAnsi" w:cstheme="minorHAnsi"/>
          <w:u w:val="single"/>
        </w:rPr>
        <w:t>won’t happen</w:t>
      </w:r>
      <w:r w:rsidRPr="00112290">
        <w:rPr>
          <w:rFonts w:asciiTheme="minorHAnsi" w:hAnsiTheme="minorHAnsi" w:cstheme="minorHAnsi"/>
        </w:rPr>
        <w:t xml:space="preserve"> and no </w:t>
      </w:r>
      <w:r w:rsidRPr="00112290">
        <w:rPr>
          <w:rFonts w:asciiTheme="minorHAnsi" w:hAnsiTheme="minorHAnsi" w:cstheme="minorHAnsi"/>
          <w:u w:val="single"/>
        </w:rPr>
        <w:t>widespread blackouts</w:t>
      </w:r>
      <w:r w:rsidR="00D43801" w:rsidRPr="00BD1A2E">
        <w:rPr>
          <w:rFonts w:asciiTheme="minorHAnsi" w:hAnsiTheme="minorHAnsi" w:cstheme="minorHAnsi"/>
        </w:rPr>
        <w:t>.</w:t>
      </w:r>
    </w:p>
    <w:p w14:paraId="22B8A249" w14:textId="77777777" w:rsidR="006D469F" w:rsidRPr="00112290" w:rsidRDefault="006D469F" w:rsidP="006D469F">
      <w:pPr>
        <w:rPr>
          <w:rFonts w:asciiTheme="minorHAnsi" w:hAnsiTheme="minorHAnsi" w:cstheme="minorHAnsi"/>
        </w:rPr>
      </w:pPr>
      <w:proofErr w:type="spellStart"/>
      <w:r w:rsidRPr="00112290">
        <w:rPr>
          <w:rStyle w:val="Style13ptBold"/>
          <w:rFonts w:asciiTheme="minorHAnsi" w:hAnsiTheme="minorHAnsi" w:cstheme="minorHAnsi"/>
        </w:rPr>
        <w:t>Uchill</w:t>
      </w:r>
      <w:proofErr w:type="spellEnd"/>
      <w:r w:rsidRPr="00112290">
        <w:rPr>
          <w:rStyle w:val="Style13ptBold"/>
          <w:rFonts w:asciiTheme="minorHAnsi" w:hAnsiTheme="minorHAnsi" w:cstheme="minorHAnsi"/>
        </w:rPr>
        <w:t xml:space="preserve"> 18</w:t>
      </w:r>
      <w:r w:rsidRPr="00112290">
        <w:rPr>
          <w:rFonts w:asciiTheme="minorHAnsi" w:hAnsiTheme="minorHAnsi" w:cstheme="minorHAnsi"/>
        </w:rPr>
        <w:t xml:space="preserve"> [Joe Uchill, Reporter @ The Hill and writes at Axios, Cyber Expert, “Why "crashing the grid" doesn't keep cyber experts awake at night”, 8/23/18, https://www.axios.com/why-crashing-the-grid-doesnt-keep-cyber-experts-awake-at-night-a40563a5-f266-493d-856a-5c9a5c1383dd.html]</w:t>
      </w:r>
    </w:p>
    <w:p w14:paraId="20368B69" w14:textId="77777777" w:rsidR="006D469F" w:rsidRPr="00112290" w:rsidRDefault="006D469F" w:rsidP="006D469F">
      <w:pPr>
        <w:rPr>
          <w:rFonts w:asciiTheme="minorHAnsi" w:hAnsiTheme="minorHAnsi" w:cstheme="minorHAnsi"/>
          <w:u w:val="single"/>
        </w:rPr>
      </w:pPr>
      <w:r w:rsidRPr="00112290">
        <w:rPr>
          <w:rFonts w:asciiTheme="minorHAnsi" w:hAnsiTheme="minorHAnsi" w:cstheme="minorHAnsi"/>
          <w:sz w:val="16"/>
        </w:rPr>
        <w:t xml:space="preserve">Reality check: </w:t>
      </w:r>
      <w:r w:rsidRPr="00112290">
        <w:rPr>
          <w:rFonts w:asciiTheme="minorHAnsi" w:hAnsiTheme="minorHAnsi" w:cstheme="minorHAnsi"/>
          <w:u w:val="single"/>
        </w:rPr>
        <w:t xml:space="preserve">The </w:t>
      </w:r>
      <w:r w:rsidRPr="00B85257">
        <w:rPr>
          <w:rFonts w:asciiTheme="minorHAnsi" w:hAnsiTheme="minorHAnsi" w:cstheme="minorHAnsi"/>
          <w:highlight w:val="green"/>
          <w:u w:val="single"/>
        </w:rPr>
        <w:t>people tasked with protecting U.S.</w:t>
      </w:r>
      <w:r w:rsidRPr="00112290">
        <w:rPr>
          <w:rFonts w:asciiTheme="minorHAnsi" w:hAnsiTheme="minorHAnsi" w:cstheme="minorHAnsi"/>
          <w:u w:val="single"/>
        </w:rPr>
        <w:t xml:space="preserve"> electrical </w:t>
      </w:r>
      <w:r w:rsidRPr="00B85257">
        <w:rPr>
          <w:rFonts w:asciiTheme="minorHAnsi" w:hAnsiTheme="minorHAnsi" w:cstheme="minorHAnsi"/>
          <w:highlight w:val="green"/>
          <w:u w:val="single"/>
        </w:rPr>
        <w:t>infra</w:t>
      </w:r>
      <w:r w:rsidRPr="00112290">
        <w:rPr>
          <w:rFonts w:asciiTheme="minorHAnsi" w:hAnsiTheme="minorHAnsi" w:cstheme="minorHAnsi"/>
          <w:u w:val="single"/>
        </w:rPr>
        <w:t xml:space="preserve">structure </w:t>
      </w:r>
      <w:r w:rsidRPr="00B85257">
        <w:rPr>
          <w:rFonts w:asciiTheme="minorHAnsi" w:hAnsiTheme="minorHAnsi" w:cstheme="minorHAnsi"/>
          <w:highlight w:val="green"/>
          <w:u w:val="single"/>
        </w:rPr>
        <w:t>say the scenario</w:t>
      </w:r>
      <w:r w:rsidRPr="00112290">
        <w:rPr>
          <w:rFonts w:asciiTheme="minorHAnsi" w:hAnsiTheme="minorHAnsi" w:cstheme="minorHAnsi"/>
          <w:u w:val="single"/>
        </w:rPr>
        <w:t xml:space="preserve"> where hackers </w:t>
      </w:r>
      <w:r w:rsidRPr="00B85257">
        <w:rPr>
          <w:rStyle w:val="Emphasis"/>
          <w:rFonts w:asciiTheme="minorHAnsi" w:hAnsiTheme="minorHAnsi" w:cstheme="minorHAnsi"/>
          <w:highlight w:val="green"/>
        </w:rPr>
        <w:t xml:space="preserve">take down </w:t>
      </w:r>
      <w:r w:rsidRPr="00112290">
        <w:rPr>
          <w:rStyle w:val="Emphasis"/>
          <w:rFonts w:asciiTheme="minorHAnsi" w:hAnsiTheme="minorHAnsi" w:cstheme="minorHAnsi"/>
        </w:rPr>
        <w:t xml:space="preserve">the </w:t>
      </w:r>
      <w:r w:rsidRPr="00B85257">
        <w:rPr>
          <w:rStyle w:val="Emphasis"/>
          <w:rFonts w:asciiTheme="minorHAnsi" w:hAnsiTheme="minorHAnsi" w:cstheme="minorHAnsi"/>
          <w:highlight w:val="green"/>
        </w:rPr>
        <w:t>entire grid</w:t>
      </w:r>
      <w:r w:rsidRPr="00112290">
        <w:rPr>
          <w:rFonts w:asciiTheme="minorHAnsi" w:hAnsiTheme="minorHAnsi" w:cstheme="minorHAnsi"/>
          <w:u w:val="single"/>
        </w:rPr>
        <w:t xml:space="preserve"> </w:t>
      </w:r>
      <w:r w:rsidRPr="00112290">
        <w:rPr>
          <w:rFonts w:asciiTheme="minorHAnsi" w:hAnsiTheme="minorHAnsi" w:cstheme="minorHAnsi"/>
          <w:sz w:val="16"/>
        </w:rPr>
        <w:t xml:space="preserve">— the one that's also the plot of the "Die Hard" movie where Bruce Willis blows up a helicopter by launching a car at it — </w:t>
      </w:r>
      <w:r w:rsidRPr="00B85257">
        <w:rPr>
          <w:rStyle w:val="Emphasis"/>
          <w:rFonts w:asciiTheme="minorHAnsi" w:hAnsiTheme="minorHAnsi" w:cstheme="minorHAnsi"/>
          <w:highlight w:val="green"/>
        </w:rPr>
        <w:t>is not</w:t>
      </w:r>
      <w:r w:rsidRPr="00112290">
        <w:rPr>
          <w:rStyle w:val="Emphasis"/>
          <w:rFonts w:asciiTheme="minorHAnsi" w:hAnsiTheme="minorHAnsi" w:cstheme="minorHAnsi"/>
        </w:rPr>
        <w:t xml:space="preserve"> a </w:t>
      </w:r>
      <w:r w:rsidRPr="00B85257">
        <w:rPr>
          <w:rStyle w:val="Emphasis"/>
          <w:rFonts w:asciiTheme="minorHAnsi" w:hAnsiTheme="minorHAnsi" w:cstheme="minorHAnsi"/>
          <w:highlight w:val="green"/>
        </w:rPr>
        <w:t>realistic</w:t>
      </w:r>
      <w:r w:rsidRPr="00112290">
        <w:rPr>
          <w:rStyle w:val="Emphasis"/>
          <w:rFonts w:asciiTheme="minorHAnsi" w:hAnsiTheme="minorHAnsi" w:cstheme="minorHAnsi"/>
        </w:rPr>
        <w:t xml:space="preserve"> threat</w:t>
      </w:r>
      <w:r w:rsidRPr="00112290">
        <w:rPr>
          <w:rFonts w:asciiTheme="minorHAnsi" w:hAnsiTheme="minorHAnsi" w:cstheme="minorHAnsi"/>
          <w:sz w:val="16"/>
        </w:rPr>
        <w:t xml:space="preserve">. And </w:t>
      </w:r>
      <w:r w:rsidRPr="00112290">
        <w:rPr>
          <w:rFonts w:asciiTheme="minorHAnsi" w:hAnsiTheme="minorHAnsi" w:cstheme="minorHAnsi"/>
          <w:u w:val="single"/>
        </w:rPr>
        <w:t>focusing on the wrong problem means we’re not focusing on the right ones.</w:t>
      </w:r>
    </w:p>
    <w:p w14:paraId="678F05A9" w14:textId="77777777" w:rsidR="006D469F" w:rsidRPr="00112290" w:rsidRDefault="006D469F" w:rsidP="006D469F">
      <w:pPr>
        <w:rPr>
          <w:rFonts w:asciiTheme="minorHAnsi" w:hAnsiTheme="minorHAnsi" w:cstheme="minorHAnsi"/>
          <w:sz w:val="16"/>
        </w:rPr>
      </w:pPr>
      <w:r w:rsidRPr="00112290">
        <w:rPr>
          <w:rFonts w:asciiTheme="minorHAnsi" w:hAnsiTheme="minorHAnsi" w:cstheme="minorHAnsi"/>
          <w:sz w:val="16"/>
        </w:rPr>
        <w:t>Show less</w:t>
      </w:r>
    </w:p>
    <w:p w14:paraId="74D903AA" w14:textId="77777777" w:rsidR="006D469F" w:rsidRPr="00112290" w:rsidRDefault="006D469F" w:rsidP="006D469F">
      <w:pPr>
        <w:rPr>
          <w:rFonts w:asciiTheme="minorHAnsi" w:hAnsiTheme="minorHAnsi" w:cstheme="minorHAnsi"/>
          <w:u w:val="single"/>
        </w:rPr>
      </w:pPr>
      <w:r w:rsidRPr="00112290">
        <w:rPr>
          <w:rFonts w:asciiTheme="minorHAnsi" w:hAnsiTheme="minorHAnsi" w:cstheme="minorHAnsi"/>
          <w:sz w:val="16"/>
        </w:rPr>
        <w:t xml:space="preserve">So, </w:t>
      </w:r>
      <w:r w:rsidRPr="00112290">
        <w:rPr>
          <w:rStyle w:val="Emphasis"/>
          <w:rFonts w:asciiTheme="minorHAnsi" w:hAnsiTheme="minorHAnsi" w:cstheme="minorHAnsi"/>
        </w:rPr>
        <w:t>why can't you hack the grid?</w:t>
      </w:r>
      <w:r w:rsidRPr="00112290">
        <w:rPr>
          <w:rFonts w:asciiTheme="minorHAnsi" w:hAnsiTheme="minorHAnsi" w:cstheme="minorHAnsi"/>
          <w:sz w:val="16"/>
        </w:rPr>
        <w:t xml:space="preserve"> Here's one big reason: "</w:t>
      </w:r>
      <w:r w:rsidRPr="00112290">
        <w:rPr>
          <w:rFonts w:asciiTheme="minorHAnsi" w:hAnsiTheme="minorHAnsi" w:cstheme="minorHAnsi"/>
          <w:u w:val="single"/>
        </w:rPr>
        <w:t xml:space="preserve">The thing called </w:t>
      </w:r>
      <w:r w:rsidRPr="00B85257">
        <w:rPr>
          <w:rFonts w:asciiTheme="minorHAnsi" w:hAnsiTheme="minorHAnsi" w:cstheme="minorHAnsi"/>
          <w:highlight w:val="green"/>
          <w:u w:val="single"/>
        </w:rPr>
        <w:t>the grid does not exist</w:t>
      </w:r>
      <w:r w:rsidRPr="00112290">
        <w:rPr>
          <w:rFonts w:asciiTheme="minorHAnsi" w:hAnsiTheme="minorHAnsi" w:cstheme="minorHAnsi"/>
          <w:sz w:val="16"/>
        </w:rPr>
        <w:t xml:space="preserve">," </w:t>
      </w:r>
      <w:r w:rsidRPr="00EF60E3">
        <w:rPr>
          <w:rFonts w:asciiTheme="minorHAnsi" w:hAnsiTheme="minorHAnsi" w:cstheme="minorHAnsi"/>
          <w:u w:val="single"/>
        </w:rPr>
        <w:t>said</w:t>
      </w:r>
      <w:r w:rsidRPr="00112290">
        <w:rPr>
          <w:rFonts w:asciiTheme="minorHAnsi" w:hAnsiTheme="minorHAnsi" w:cstheme="minorHAnsi"/>
          <w:u w:val="single"/>
        </w:rPr>
        <w:t xml:space="preserve"> a </w:t>
      </w:r>
      <w:r w:rsidRPr="00EF60E3">
        <w:rPr>
          <w:rStyle w:val="Emphasis"/>
          <w:rFonts w:asciiTheme="minorHAnsi" w:hAnsiTheme="minorHAnsi" w:cstheme="minorHAnsi"/>
        </w:rPr>
        <w:t>D</w:t>
      </w:r>
      <w:r w:rsidRPr="00112290">
        <w:rPr>
          <w:rFonts w:asciiTheme="minorHAnsi" w:hAnsiTheme="minorHAnsi" w:cstheme="minorHAnsi"/>
          <w:u w:val="single"/>
        </w:rPr>
        <w:t xml:space="preserve">epartment of </w:t>
      </w:r>
      <w:r w:rsidRPr="00EF60E3">
        <w:rPr>
          <w:rFonts w:asciiTheme="minorHAnsi" w:hAnsiTheme="minorHAnsi" w:cstheme="minorHAnsi"/>
          <w:u w:val="single"/>
        </w:rPr>
        <w:t>Homeland Security official involved in securing the U.S. power structure</w:t>
      </w:r>
      <w:r w:rsidRPr="00112290">
        <w:rPr>
          <w:rFonts w:asciiTheme="minorHAnsi" w:hAnsiTheme="minorHAnsi" w:cstheme="minorHAnsi"/>
          <w:u w:val="single"/>
        </w:rPr>
        <w:t>.</w:t>
      </w:r>
    </w:p>
    <w:p w14:paraId="446E7C21" w14:textId="77777777" w:rsidR="006D469F" w:rsidRPr="00112290" w:rsidRDefault="006D469F" w:rsidP="006D469F">
      <w:pPr>
        <w:rPr>
          <w:rFonts w:asciiTheme="minorHAnsi" w:hAnsiTheme="minorHAnsi" w:cstheme="minorHAnsi"/>
          <w:u w:val="single"/>
        </w:rPr>
      </w:pPr>
      <w:r w:rsidRPr="00112290">
        <w:rPr>
          <w:rFonts w:asciiTheme="minorHAnsi" w:hAnsiTheme="minorHAnsi" w:cstheme="minorHAnsi"/>
          <w:u w:val="single"/>
        </w:rPr>
        <w:t>Think of the grid like the internet.</w:t>
      </w:r>
      <w:r w:rsidRPr="00112290">
        <w:rPr>
          <w:rFonts w:asciiTheme="minorHAnsi" w:hAnsiTheme="minorHAnsi" w:cstheme="minorHAnsi"/>
          <w:sz w:val="16"/>
        </w:rPr>
        <w:t xml:space="preserve"> We </w:t>
      </w:r>
      <w:r w:rsidRPr="00112290">
        <w:rPr>
          <w:rFonts w:asciiTheme="minorHAnsi" w:hAnsiTheme="minorHAnsi" w:cstheme="minorHAnsi"/>
          <w:u w:val="single"/>
        </w:rPr>
        <w:t>refer to the collective mess of servers, software, users and equipment that routes internet traffic as "the internet." The internet is a singular noun, but it’s not a singular thing.</w:t>
      </w:r>
    </w:p>
    <w:p w14:paraId="5D9CE311" w14:textId="77777777" w:rsidR="006D469F" w:rsidRPr="00112290" w:rsidRDefault="006D469F" w:rsidP="006D469F">
      <w:pPr>
        <w:rPr>
          <w:rFonts w:asciiTheme="minorHAnsi" w:hAnsiTheme="minorHAnsi" w:cstheme="minorHAnsi"/>
          <w:sz w:val="16"/>
        </w:rPr>
      </w:pPr>
      <w:r w:rsidRPr="00112290">
        <w:rPr>
          <w:rFonts w:asciiTheme="minorHAnsi" w:hAnsiTheme="minorHAnsi" w:cstheme="minorHAnsi"/>
          <w:sz w:val="16"/>
        </w:rPr>
        <w:t xml:space="preserve">You </w:t>
      </w:r>
      <w:r w:rsidRPr="00112290">
        <w:rPr>
          <w:rStyle w:val="Emphasis"/>
          <w:rFonts w:asciiTheme="minorHAnsi" w:hAnsiTheme="minorHAnsi" w:cstheme="minorHAnsi"/>
        </w:rPr>
        <w:t>can’t hack the entire internet</w:t>
      </w:r>
      <w:r w:rsidRPr="00112290">
        <w:rPr>
          <w:rFonts w:asciiTheme="minorHAnsi" w:hAnsiTheme="minorHAnsi" w:cstheme="minorHAnsi"/>
          <w:sz w:val="16"/>
        </w:rPr>
        <w:t xml:space="preserve">. There’s </w:t>
      </w:r>
      <w:r w:rsidRPr="00112290">
        <w:rPr>
          <w:rFonts w:asciiTheme="minorHAnsi" w:hAnsiTheme="minorHAnsi" w:cstheme="minorHAnsi"/>
          <w:u w:val="single"/>
        </w:rPr>
        <w:t xml:space="preserve">so much stuff running independently that </w:t>
      </w:r>
      <w:r w:rsidRPr="00112290">
        <w:rPr>
          <w:rStyle w:val="Emphasis"/>
          <w:rFonts w:asciiTheme="minorHAnsi" w:hAnsiTheme="minorHAnsi" w:cstheme="minorHAnsi"/>
        </w:rPr>
        <w:t>all you can hack is individual pieces</w:t>
      </w:r>
      <w:r w:rsidRPr="00112290">
        <w:rPr>
          <w:rFonts w:asciiTheme="minorHAnsi" w:hAnsiTheme="minorHAnsi" w:cstheme="minorHAnsi"/>
          <w:u w:val="single"/>
        </w:rPr>
        <w:t xml:space="preserve"> of the internet</w:t>
      </w:r>
      <w:r w:rsidRPr="00112290">
        <w:rPr>
          <w:rFonts w:asciiTheme="minorHAnsi" w:hAnsiTheme="minorHAnsi" w:cstheme="minorHAnsi"/>
          <w:sz w:val="16"/>
        </w:rPr>
        <w:t>.</w:t>
      </w:r>
    </w:p>
    <w:p w14:paraId="66BFDE49" w14:textId="77777777" w:rsidR="006D469F" w:rsidRPr="00112290" w:rsidRDefault="006D469F" w:rsidP="006D469F">
      <w:pPr>
        <w:rPr>
          <w:rFonts w:asciiTheme="minorHAnsi" w:hAnsiTheme="minorHAnsi" w:cstheme="minorHAnsi"/>
          <w:u w:val="single"/>
        </w:rPr>
      </w:pPr>
      <w:r w:rsidRPr="00112290">
        <w:rPr>
          <w:rFonts w:asciiTheme="minorHAnsi" w:hAnsiTheme="minorHAnsi" w:cstheme="minorHAnsi"/>
          <w:sz w:val="16"/>
        </w:rPr>
        <w:t xml:space="preserve">Similarly, the </w:t>
      </w:r>
      <w:r w:rsidRPr="00B85257">
        <w:rPr>
          <w:rFonts w:asciiTheme="minorHAnsi" w:hAnsiTheme="minorHAnsi" w:cstheme="minorHAnsi"/>
          <w:highlight w:val="green"/>
          <w:u w:val="single"/>
        </w:rPr>
        <w:t>North American</w:t>
      </w:r>
      <w:r w:rsidRPr="00112290">
        <w:rPr>
          <w:rFonts w:asciiTheme="minorHAnsi" w:hAnsiTheme="minorHAnsi" w:cstheme="minorHAnsi"/>
          <w:u w:val="single"/>
        </w:rPr>
        <w:t xml:space="preserve"> electric </w:t>
      </w:r>
      <w:r w:rsidRPr="00B85257">
        <w:rPr>
          <w:rFonts w:asciiTheme="minorHAnsi" w:hAnsiTheme="minorHAnsi" w:cstheme="minorHAnsi"/>
          <w:highlight w:val="green"/>
          <w:u w:val="single"/>
        </w:rPr>
        <w:t>grid is</w:t>
      </w:r>
      <w:r w:rsidRPr="00112290">
        <w:rPr>
          <w:rFonts w:asciiTheme="minorHAnsi" w:hAnsiTheme="minorHAnsi" w:cstheme="minorHAnsi"/>
          <w:u w:val="single"/>
        </w:rPr>
        <w:t xml:space="preserve"> </w:t>
      </w:r>
      <w:proofErr w:type="gramStart"/>
      <w:r w:rsidRPr="00112290">
        <w:rPr>
          <w:rFonts w:asciiTheme="minorHAnsi" w:hAnsiTheme="minorHAnsi" w:cstheme="minorHAnsi"/>
          <w:u w:val="single"/>
        </w:rPr>
        <w:t xml:space="preserve">actually </w:t>
      </w:r>
      <w:r w:rsidRPr="00B85257">
        <w:rPr>
          <w:rStyle w:val="Emphasis"/>
          <w:rFonts w:asciiTheme="minorHAnsi" w:hAnsiTheme="minorHAnsi" w:cstheme="minorHAnsi"/>
          <w:highlight w:val="green"/>
        </w:rPr>
        <w:t>five</w:t>
      </w:r>
      <w:proofErr w:type="gramEnd"/>
      <w:r w:rsidRPr="00112290">
        <w:rPr>
          <w:rFonts w:asciiTheme="minorHAnsi" w:hAnsiTheme="minorHAnsi" w:cstheme="minorHAnsi"/>
          <w:u w:val="single"/>
        </w:rPr>
        <w:t xml:space="preserve"> interconnected </w:t>
      </w:r>
      <w:r w:rsidRPr="00B85257">
        <w:rPr>
          <w:rStyle w:val="Emphasis"/>
          <w:rFonts w:asciiTheme="minorHAnsi" w:hAnsiTheme="minorHAnsi" w:cstheme="minorHAnsi"/>
          <w:highlight w:val="green"/>
        </w:rPr>
        <w:t>grids that</w:t>
      </w:r>
      <w:r w:rsidRPr="00112290">
        <w:rPr>
          <w:rStyle w:val="Emphasis"/>
          <w:rFonts w:asciiTheme="minorHAnsi" w:hAnsiTheme="minorHAnsi" w:cstheme="minorHAnsi"/>
        </w:rPr>
        <w:t xml:space="preserve"> can </w:t>
      </w:r>
      <w:r w:rsidRPr="00B85257">
        <w:rPr>
          <w:rStyle w:val="Emphasis"/>
          <w:rFonts w:asciiTheme="minorHAnsi" w:hAnsiTheme="minorHAnsi" w:cstheme="minorHAnsi"/>
          <w:highlight w:val="green"/>
        </w:rPr>
        <w:t>borrow</w:t>
      </w:r>
      <w:r w:rsidRPr="00B85257">
        <w:rPr>
          <w:rFonts w:asciiTheme="minorHAnsi" w:hAnsiTheme="minorHAnsi" w:cstheme="minorHAnsi"/>
          <w:highlight w:val="green"/>
          <w:u w:val="single"/>
        </w:rPr>
        <w:t xml:space="preserve"> electricity from each other</w:t>
      </w:r>
      <w:r w:rsidRPr="00112290">
        <w:rPr>
          <w:rFonts w:asciiTheme="minorHAnsi" w:hAnsiTheme="minorHAnsi" w:cstheme="minorHAnsi"/>
          <w:sz w:val="16"/>
        </w:rPr>
        <w:t xml:space="preserve">. And the </w:t>
      </w:r>
      <w:proofErr w:type="gramStart"/>
      <w:r w:rsidRPr="009C7BF8">
        <w:rPr>
          <w:rFonts w:asciiTheme="minorHAnsi" w:hAnsiTheme="minorHAnsi" w:cstheme="minorHAnsi"/>
          <w:u w:val="single"/>
        </w:rPr>
        <w:t>mini-grids</w:t>
      </w:r>
      <w:proofErr w:type="gramEnd"/>
      <w:r w:rsidRPr="009C7BF8">
        <w:rPr>
          <w:rFonts w:asciiTheme="minorHAnsi" w:hAnsiTheme="minorHAnsi" w:cstheme="minorHAnsi"/>
          <w:u w:val="single"/>
        </w:rPr>
        <w:t xml:space="preserve"> aren't singular</w:t>
      </w:r>
      <w:r w:rsidRPr="00112290">
        <w:rPr>
          <w:rFonts w:asciiTheme="minorHAnsi" w:hAnsiTheme="minorHAnsi" w:cstheme="minorHAnsi"/>
          <w:u w:val="single"/>
        </w:rPr>
        <w:t xml:space="preserve"> things either. </w:t>
      </w:r>
      <w:r w:rsidRPr="00B85257">
        <w:rPr>
          <w:rStyle w:val="Emphasis"/>
          <w:rFonts w:asciiTheme="minorHAnsi" w:hAnsiTheme="minorHAnsi" w:cstheme="minorHAnsi"/>
          <w:highlight w:val="green"/>
        </w:rPr>
        <w:t xml:space="preserve">Taking down "the grid" </w:t>
      </w:r>
      <w:r w:rsidRPr="00B85257">
        <w:rPr>
          <w:rFonts w:asciiTheme="minorHAnsi" w:hAnsiTheme="minorHAnsi" w:cstheme="minorHAnsi"/>
          <w:highlight w:val="green"/>
          <w:u w:val="single"/>
        </w:rPr>
        <w:t>would be</w:t>
      </w:r>
      <w:r w:rsidRPr="00112290">
        <w:rPr>
          <w:rFonts w:asciiTheme="minorHAnsi" w:hAnsiTheme="minorHAnsi" w:cstheme="minorHAnsi"/>
          <w:u w:val="single"/>
        </w:rPr>
        <w:t xml:space="preserve"> more like </w:t>
      </w:r>
      <w:r w:rsidRPr="00B85257">
        <w:rPr>
          <w:rFonts w:asciiTheme="minorHAnsi" w:hAnsiTheme="minorHAnsi" w:cstheme="minorHAnsi"/>
          <w:highlight w:val="green"/>
          <w:u w:val="single"/>
        </w:rPr>
        <w:t>collapsing</w:t>
      </w:r>
      <w:r w:rsidRPr="00112290">
        <w:rPr>
          <w:rFonts w:asciiTheme="minorHAnsi" w:hAnsiTheme="minorHAnsi" w:cstheme="minorHAnsi"/>
          <w:u w:val="single"/>
        </w:rPr>
        <w:t xml:space="preserve"> the </w:t>
      </w:r>
      <w:r w:rsidRPr="00B85257">
        <w:rPr>
          <w:rFonts w:asciiTheme="minorHAnsi" w:hAnsiTheme="minorHAnsi" w:cstheme="minorHAnsi"/>
          <w:b/>
          <w:bCs/>
          <w:highlight w:val="green"/>
          <w:u w:val="single"/>
        </w:rPr>
        <w:t>thousands of companies</w:t>
      </w:r>
      <w:r w:rsidRPr="00B85257">
        <w:rPr>
          <w:rFonts w:asciiTheme="minorHAnsi" w:hAnsiTheme="minorHAnsi" w:cstheme="minorHAnsi"/>
          <w:highlight w:val="green"/>
          <w:u w:val="single"/>
        </w:rPr>
        <w:t xml:space="preserve"> that provide</w:t>
      </w:r>
      <w:r w:rsidRPr="00112290">
        <w:rPr>
          <w:rFonts w:asciiTheme="minorHAnsi" w:hAnsiTheme="minorHAnsi" w:cstheme="minorHAnsi"/>
          <w:u w:val="single"/>
        </w:rPr>
        <w:t xml:space="preserve"> and distribute </w:t>
      </w:r>
      <w:r w:rsidRPr="00B85257">
        <w:rPr>
          <w:rFonts w:asciiTheme="minorHAnsi" w:hAnsiTheme="minorHAnsi" w:cstheme="minorHAnsi"/>
          <w:highlight w:val="green"/>
          <w:u w:val="single"/>
        </w:rPr>
        <w:t>power</w:t>
      </w:r>
      <w:r w:rsidRPr="00112290">
        <w:rPr>
          <w:rFonts w:asciiTheme="minorHAnsi" w:hAnsiTheme="minorHAnsi" w:cstheme="minorHAnsi"/>
          <w:u w:val="single"/>
        </w:rPr>
        <w:t xml:space="preserve"> </w:t>
      </w:r>
      <w:proofErr w:type="spellStart"/>
      <w:r w:rsidRPr="00112290">
        <w:rPr>
          <w:rFonts w:asciiTheme="minorHAnsi" w:hAnsiTheme="minorHAnsi" w:cstheme="minorHAnsi"/>
          <w:u w:val="single"/>
        </w:rPr>
        <w:t>accross</w:t>
      </w:r>
      <w:proofErr w:type="spellEnd"/>
      <w:r w:rsidRPr="00112290">
        <w:rPr>
          <w:rFonts w:asciiTheme="minorHAnsi" w:hAnsiTheme="minorHAnsi" w:cstheme="minorHAnsi"/>
          <w:u w:val="single"/>
        </w:rPr>
        <w:t xml:space="preserve"> the country.</w:t>
      </w:r>
    </w:p>
    <w:p w14:paraId="69BF91ED" w14:textId="77777777" w:rsidR="006D469F" w:rsidRPr="00112290" w:rsidRDefault="006D469F" w:rsidP="006D469F">
      <w:pPr>
        <w:rPr>
          <w:rFonts w:asciiTheme="minorHAnsi" w:hAnsiTheme="minorHAnsi" w:cstheme="minorHAnsi"/>
          <w:sz w:val="16"/>
        </w:rPr>
      </w:pPr>
      <w:r w:rsidRPr="00112290">
        <w:rPr>
          <w:rFonts w:asciiTheme="minorHAnsi" w:hAnsiTheme="minorHAnsi" w:cstheme="minorHAnsi"/>
          <w:u w:val="single"/>
        </w:rPr>
        <w:lastRenderedPageBreak/>
        <w:t>"</w:t>
      </w:r>
      <w:r w:rsidRPr="00B85257">
        <w:rPr>
          <w:rFonts w:asciiTheme="minorHAnsi" w:hAnsiTheme="minorHAnsi" w:cstheme="minorHAnsi"/>
          <w:highlight w:val="green"/>
          <w:u w:val="single"/>
        </w:rPr>
        <w:t>When someone talks about 'the grid,</w:t>
      </w:r>
      <w:r w:rsidRPr="00112290">
        <w:rPr>
          <w:rFonts w:asciiTheme="minorHAnsi" w:hAnsiTheme="minorHAnsi" w:cstheme="minorHAnsi"/>
          <w:u w:val="single"/>
        </w:rPr>
        <w:t>' it's usually a</w:t>
      </w:r>
      <w:r w:rsidRPr="00112290">
        <w:rPr>
          <w:rStyle w:val="Emphasis"/>
          <w:rFonts w:asciiTheme="minorHAnsi" w:hAnsiTheme="minorHAnsi" w:cstheme="minorHAnsi"/>
        </w:rPr>
        <w:t xml:space="preserve"> </w:t>
      </w:r>
      <w:r w:rsidRPr="00B85257">
        <w:rPr>
          <w:rStyle w:val="Emphasis"/>
          <w:rFonts w:asciiTheme="minorHAnsi" w:hAnsiTheme="minorHAnsi" w:cstheme="minorHAnsi"/>
          <w:highlight w:val="green"/>
        </w:rPr>
        <w:t>red flag</w:t>
      </w:r>
      <w:r w:rsidRPr="00B85257">
        <w:rPr>
          <w:rFonts w:asciiTheme="minorHAnsi" w:hAnsiTheme="minorHAnsi" w:cstheme="minorHAnsi"/>
          <w:highlight w:val="green"/>
          <w:u w:val="single"/>
        </w:rPr>
        <w:t xml:space="preserve"> they aren't going to know what they are talking about</w:t>
      </w:r>
      <w:r w:rsidRPr="00112290">
        <w:rPr>
          <w:rFonts w:asciiTheme="minorHAnsi" w:hAnsiTheme="minorHAnsi" w:cstheme="minorHAnsi"/>
          <w:sz w:val="16"/>
        </w:rPr>
        <w:t xml:space="preserve">," says Sergio </w:t>
      </w:r>
      <w:r w:rsidRPr="00112290">
        <w:rPr>
          <w:rFonts w:asciiTheme="minorHAnsi" w:hAnsiTheme="minorHAnsi" w:cstheme="minorHAnsi"/>
          <w:u w:val="single"/>
        </w:rPr>
        <w:t>Caltagirone, director of threat intelligence at Dragos</w:t>
      </w:r>
      <w:r w:rsidRPr="00112290">
        <w:rPr>
          <w:rFonts w:asciiTheme="minorHAnsi" w:hAnsiTheme="minorHAnsi" w:cstheme="minorHAnsi"/>
          <w:sz w:val="16"/>
        </w:rPr>
        <w:t>, a firm that specializes in industrial cybersecurity including the energy sector.</w:t>
      </w:r>
    </w:p>
    <w:p w14:paraId="754E1127" w14:textId="77777777" w:rsidR="006D469F" w:rsidRPr="00112290" w:rsidRDefault="006D469F" w:rsidP="006D469F">
      <w:pPr>
        <w:rPr>
          <w:rFonts w:asciiTheme="minorHAnsi" w:hAnsiTheme="minorHAnsi" w:cstheme="minorHAnsi"/>
          <w:sz w:val="16"/>
        </w:rPr>
      </w:pPr>
      <w:r w:rsidRPr="00112290">
        <w:rPr>
          <w:rFonts w:asciiTheme="minorHAnsi" w:hAnsiTheme="minorHAnsi" w:cstheme="minorHAnsi"/>
          <w:u w:val="single"/>
        </w:rPr>
        <w:t>Redundancy and resilience: Every aspect of the electric system</w:t>
      </w:r>
      <w:r w:rsidRPr="00112290">
        <w:rPr>
          <w:rFonts w:asciiTheme="minorHAnsi" w:hAnsiTheme="minorHAnsi" w:cstheme="minorHAnsi"/>
          <w:sz w:val="16"/>
        </w:rPr>
        <w:t xml:space="preserve">, from the machines in power plants to the </w:t>
      </w:r>
      <w:proofErr w:type="gramStart"/>
      <w:r w:rsidRPr="00112290">
        <w:rPr>
          <w:rFonts w:asciiTheme="minorHAnsi" w:hAnsiTheme="minorHAnsi" w:cstheme="minorHAnsi"/>
          <w:sz w:val="16"/>
        </w:rPr>
        <w:t>grid as a whole</w:t>
      </w:r>
      <w:r w:rsidRPr="00112290">
        <w:rPr>
          <w:rFonts w:asciiTheme="minorHAnsi" w:hAnsiTheme="minorHAnsi" w:cstheme="minorHAnsi"/>
          <w:u w:val="single"/>
        </w:rPr>
        <w:t>, is</w:t>
      </w:r>
      <w:proofErr w:type="gramEnd"/>
      <w:r w:rsidRPr="00112290">
        <w:rPr>
          <w:rFonts w:asciiTheme="minorHAnsi" w:hAnsiTheme="minorHAnsi" w:cstheme="minorHAnsi"/>
          <w:u w:val="single"/>
        </w:rPr>
        <w:t xml:space="preserve"> designed with redundancy in mind</w:t>
      </w:r>
      <w:r w:rsidRPr="00112290">
        <w:rPr>
          <w:rFonts w:asciiTheme="minorHAnsi" w:hAnsiTheme="minorHAnsi" w:cstheme="minorHAnsi"/>
          <w:sz w:val="16"/>
        </w:rPr>
        <w:t xml:space="preserve">. You </w:t>
      </w:r>
      <w:r w:rsidRPr="00B85257">
        <w:rPr>
          <w:rStyle w:val="Emphasis"/>
          <w:rFonts w:asciiTheme="minorHAnsi" w:hAnsiTheme="minorHAnsi" w:cstheme="minorHAnsi"/>
          <w:highlight w:val="green"/>
        </w:rPr>
        <w:t>can’t just break a thing or 10</w:t>
      </w:r>
      <w:r w:rsidRPr="00B85257">
        <w:rPr>
          <w:rFonts w:asciiTheme="minorHAnsi" w:hAnsiTheme="minorHAnsi" w:cstheme="minorHAnsi"/>
          <w:highlight w:val="green"/>
          <w:u w:val="single"/>
        </w:rPr>
        <w:t xml:space="preserve"> and expect a prolonged blackout</w:t>
      </w:r>
      <w:r w:rsidRPr="00112290">
        <w:rPr>
          <w:rFonts w:asciiTheme="minorHAnsi" w:hAnsiTheme="minorHAnsi" w:cstheme="minorHAnsi"/>
          <w:sz w:val="16"/>
        </w:rPr>
        <w:t>.</w:t>
      </w:r>
    </w:p>
    <w:p w14:paraId="4EF50020" w14:textId="77777777" w:rsidR="006D469F" w:rsidRPr="00112290" w:rsidRDefault="006D469F" w:rsidP="006D469F">
      <w:pPr>
        <w:rPr>
          <w:rFonts w:asciiTheme="minorHAnsi" w:hAnsiTheme="minorHAnsi" w:cstheme="minorHAnsi"/>
          <w:sz w:val="16"/>
        </w:rPr>
      </w:pPr>
      <w:r w:rsidRPr="00112290">
        <w:rPr>
          <w:rFonts w:asciiTheme="minorHAnsi" w:hAnsiTheme="minorHAnsi" w:cstheme="minorHAnsi"/>
          <w:sz w:val="16"/>
        </w:rPr>
        <w:t xml:space="preserve">On some level, </w:t>
      </w:r>
      <w:r w:rsidRPr="00112290">
        <w:rPr>
          <w:rFonts w:asciiTheme="minorHAnsi" w:hAnsiTheme="minorHAnsi" w:cstheme="minorHAnsi"/>
          <w:u w:val="single"/>
        </w:rPr>
        <w:t>most people already know this. Everyone has lived through blackouts</w:t>
      </w:r>
      <w:r w:rsidRPr="00112290">
        <w:rPr>
          <w:rFonts w:asciiTheme="minorHAnsi" w:hAnsiTheme="minorHAnsi" w:cstheme="minorHAnsi"/>
          <w:sz w:val="16"/>
        </w:rPr>
        <w:t xml:space="preserve">, but </w:t>
      </w:r>
      <w:r w:rsidRPr="00112290">
        <w:rPr>
          <w:rFonts w:asciiTheme="minorHAnsi" w:hAnsiTheme="minorHAnsi" w:cstheme="minorHAnsi"/>
          <w:u w:val="single"/>
        </w:rPr>
        <w:t>no one has lived through a blackout so big it caused the Purge</w:t>
      </w:r>
      <w:r w:rsidRPr="00112290">
        <w:rPr>
          <w:rFonts w:asciiTheme="minorHAnsi" w:hAnsiTheme="minorHAnsi" w:cstheme="minorHAnsi"/>
          <w:sz w:val="16"/>
        </w:rPr>
        <w:t>.</w:t>
      </w:r>
    </w:p>
    <w:p w14:paraId="2812A850" w14:textId="77777777" w:rsidR="006D469F" w:rsidRPr="00112290" w:rsidRDefault="006D469F" w:rsidP="006D469F">
      <w:pPr>
        <w:rPr>
          <w:rFonts w:asciiTheme="minorHAnsi" w:hAnsiTheme="minorHAnsi" w:cstheme="minorHAnsi"/>
          <w:u w:val="single"/>
        </w:rPr>
      </w:pPr>
      <w:r w:rsidRPr="00112290">
        <w:rPr>
          <w:rFonts w:asciiTheme="minorHAnsi" w:hAnsiTheme="minorHAnsi" w:cstheme="minorHAnsi"/>
          <w:u w:val="single"/>
        </w:rPr>
        <w:t xml:space="preserve">'The </w:t>
      </w:r>
      <w:r w:rsidRPr="00B85257">
        <w:rPr>
          <w:rFonts w:asciiTheme="minorHAnsi" w:hAnsiTheme="minorHAnsi" w:cstheme="minorHAnsi"/>
          <w:highlight w:val="green"/>
          <w:u w:val="single"/>
        </w:rPr>
        <w:t xml:space="preserve">power system is the </w:t>
      </w:r>
      <w:r w:rsidRPr="00B85257">
        <w:rPr>
          <w:rStyle w:val="Emphasis"/>
          <w:rFonts w:asciiTheme="minorHAnsi" w:hAnsiTheme="minorHAnsi" w:cstheme="minorHAnsi"/>
          <w:highlight w:val="green"/>
        </w:rPr>
        <w:t>most complex machine ever made</w:t>
      </w:r>
      <w:r w:rsidRPr="00112290">
        <w:rPr>
          <w:rFonts w:asciiTheme="minorHAnsi" w:hAnsiTheme="minorHAnsi" w:cstheme="minorHAnsi"/>
          <w:u w:val="single"/>
        </w:rPr>
        <w:t xml:space="preserve"> by humans</w:t>
      </w:r>
      <w:r w:rsidRPr="00112290">
        <w:rPr>
          <w:rFonts w:asciiTheme="minorHAnsi" w:hAnsiTheme="minorHAnsi" w:cstheme="minorHAnsi"/>
          <w:sz w:val="16"/>
        </w:rPr>
        <w:t xml:space="preserve">," said Chris Sistrunk, </w:t>
      </w:r>
      <w:proofErr w:type="gramStart"/>
      <w:r w:rsidRPr="00112290">
        <w:rPr>
          <w:rFonts w:asciiTheme="minorHAnsi" w:hAnsiTheme="minorHAnsi" w:cstheme="minorHAnsi"/>
          <w:sz w:val="16"/>
        </w:rPr>
        <w:t>principle</w:t>
      </w:r>
      <w:proofErr w:type="gramEnd"/>
      <w:r w:rsidRPr="00112290">
        <w:rPr>
          <w:rFonts w:asciiTheme="minorHAnsi" w:hAnsiTheme="minorHAnsi" w:cstheme="minorHAnsi"/>
          <w:sz w:val="16"/>
        </w:rPr>
        <w:t xml:space="preserve"> consultant at FireEye in energy cybersecurity. "</w:t>
      </w:r>
      <w:r w:rsidRPr="00112290">
        <w:rPr>
          <w:rFonts w:asciiTheme="minorHAnsi" w:hAnsiTheme="minorHAnsi" w:cstheme="minorHAnsi"/>
          <w:u w:val="single"/>
        </w:rPr>
        <w:t>Setting it up, or hacking it, is more complicated than putting a man on the moon."</w:t>
      </w:r>
    </w:p>
    <w:p w14:paraId="6ECFD2FC" w14:textId="77777777" w:rsidR="006D469F" w:rsidRPr="00112290" w:rsidRDefault="006D469F" w:rsidP="006D469F">
      <w:pPr>
        <w:rPr>
          <w:rFonts w:asciiTheme="minorHAnsi" w:hAnsiTheme="minorHAnsi" w:cstheme="minorHAnsi"/>
          <w:u w:val="single"/>
        </w:rPr>
      </w:pPr>
      <w:r w:rsidRPr="00112290">
        <w:rPr>
          <w:rFonts w:asciiTheme="minorHAnsi" w:hAnsiTheme="minorHAnsi" w:cstheme="minorHAnsi"/>
          <w:u w:val="single"/>
        </w:rPr>
        <w:t xml:space="preserve">An </w:t>
      </w:r>
      <w:r w:rsidRPr="00B85257">
        <w:rPr>
          <w:rFonts w:asciiTheme="minorHAnsi" w:hAnsiTheme="minorHAnsi" w:cstheme="minorHAnsi"/>
          <w:highlight w:val="green"/>
          <w:u w:val="single"/>
        </w:rPr>
        <w:t xml:space="preserve">attack that took out power to </w:t>
      </w:r>
      <w:r w:rsidRPr="00B85257">
        <w:rPr>
          <w:rFonts w:asciiTheme="minorHAnsi" w:hAnsiTheme="minorHAnsi" w:cstheme="minorHAnsi"/>
          <w:b/>
          <w:bCs/>
          <w:highlight w:val="green"/>
          <w:u w:val="single"/>
        </w:rPr>
        <w:t>New York</w:t>
      </w:r>
      <w:r w:rsidRPr="00112290">
        <w:rPr>
          <w:rFonts w:asciiTheme="minorHAnsi" w:hAnsiTheme="minorHAnsi" w:cstheme="minorHAnsi"/>
          <w:u w:val="single"/>
        </w:rPr>
        <w:t xml:space="preserve"> using cyber means </w:t>
      </w:r>
      <w:r w:rsidRPr="00B85257">
        <w:rPr>
          <w:rFonts w:asciiTheme="minorHAnsi" w:hAnsiTheme="minorHAnsi" w:cstheme="minorHAnsi"/>
          <w:highlight w:val="green"/>
          <w:u w:val="single"/>
        </w:rPr>
        <w:t xml:space="preserve">would </w:t>
      </w:r>
      <w:r w:rsidRPr="00B85257">
        <w:rPr>
          <w:rFonts w:asciiTheme="minorHAnsi" w:hAnsiTheme="minorHAnsi" w:cstheme="minorHAnsi"/>
          <w:b/>
          <w:bCs/>
          <w:highlight w:val="green"/>
          <w:u w:val="single"/>
        </w:rPr>
        <w:t>require a nearly prohibitive amount of effort</w:t>
      </w:r>
      <w:r w:rsidRPr="00112290">
        <w:rPr>
          <w:rFonts w:asciiTheme="minorHAnsi" w:hAnsiTheme="minorHAnsi" w:cstheme="minorHAnsi"/>
          <w:u w:val="single"/>
        </w:rPr>
        <w:t xml:space="preserve"> to coordinate</w:t>
      </w:r>
      <w:r w:rsidRPr="00112290">
        <w:rPr>
          <w:rFonts w:asciiTheme="minorHAnsi" w:hAnsiTheme="minorHAnsi" w:cstheme="minorHAnsi"/>
          <w:sz w:val="16"/>
        </w:rPr>
        <w:t xml:space="preserve">, said Lesley Carhart of Dragos. </w:t>
      </w:r>
      <w:r w:rsidRPr="00112290">
        <w:rPr>
          <w:rFonts w:asciiTheme="minorHAnsi" w:hAnsiTheme="minorHAnsi" w:cstheme="minorHAnsi"/>
          <w:u w:val="single"/>
        </w:rPr>
        <w:t xml:space="preserve">Such a failure </w:t>
      </w:r>
      <w:r w:rsidRPr="00B85257">
        <w:rPr>
          <w:rFonts w:asciiTheme="minorHAnsi" w:hAnsiTheme="minorHAnsi" w:cstheme="minorHAnsi"/>
          <w:highlight w:val="green"/>
          <w:u w:val="single"/>
        </w:rPr>
        <w:t xml:space="preserve">would also </w:t>
      </w:r>
      <w:r w:rsidRPr="00B85257">
        <w:rPr>
          <w:rFonts w:asciiTheme="minorHAnsi" w:hAnsiTheme="minorHAnsi" w:cstheme="minorHAnsi"/>
          <w:b/>
          <w:bCs/>
          <w:highlight w:val="green"/>
          <w:u w:val="single"/>
        </w:rPr>
        <w:t>tip off other regions</w:t>
      </w:r>
      <w:r w:rsidRPr="00112290">
        <w:rPr>
          <w:rFonts w:asciiTheme="minorHAnsi" w:hAnsiTheme="minorHAnsi" w:cstheme="minorHAnsi"/>
          <w:u w:val="single"/>
        </w:rPr>
        <w:t xml:space="preserve"> that there was an attack afoot. Causing a power outage in New York would likely </w:t>
      </w:r>
      <w:r w:rsidRPr="00B85257">
        <w:rPr>
          <w:rFonts w:asciiTheme="minorHAnsi" w:hAnsiTheme="minorHAnsi" w:cstheme="minorHAnsi"/>
          <w:b/>
          <w:bCs/>
          <w:highlight w:val="green"/>
          <w:u w:val="single"/>
        </w:rPr>
        <w:t>prevent a power outage</w:t>
      </w:r>
      <w:r w:rsidRPr="00112290">
        <w:rPr>
          <w:rFonts w:asciiTheme="minorHAnsi" w:hAnsiTheme="minorHAnsi" w:cstheme="minorHAnsi"/>
          <w:u w:val="single"/>
        </w:rPr>
        <w:t xml:space="preserve"> in Chicago.</w:t>
      </w:r>
    </w:p>
    <w:p w14:paraId="3A522FEF" w14:textId="31788D3F" w:rsidR="00E75987" w:rsidRDefault="00E75987" w:rsidP="00E75987">
      <w:pPr>
        <w:pStyle w:val="Heading3"/>
      </w:pPr>
      <w:r>
        <w:lastRenderedPageBreak/>
        <w:t>AT: Implementation---2AC</w:t>
      </w:r>
    </w:p>
    <w:p w14:paraId="18CFEAE1" w14:textId="71386E9B" w:rsidR="00DD5F32" w:rsidRDefault="00F52F45" w:rsidP="00D14716">
      <w:pPr>
        <w:pStyle w:val="Heading4"/>
      </w:pPr>
      <w:r>
        <w:t>1---</w:t>
      </w:r>
      <w:r w:rsidR="004331B1">
        <w:t xml:space="preserve">1NC </w:t>
      </w:r>
      <w:r w:rsidR="00DD5F32" w:rsidRPr="00DD5F32">
        <w:t>Dafny is specifically about horizontal merger challenges</w:t>
      </w:r>
      <w:r w:rsidR="001215F3">
        <w:t>, not publishing a list of rules.</w:t>
      </w:r>
    </w:p>
    <w:p w14:paraId="02638850" w14:textId="2B701892" w:rsidR="00064584" w:rsidRDefault="00064584" w:rsidP="00DD5F32">
      <w:r>
        <w:t xml:space="preserve">&lt;&lt;&lt;Inserted for </w:t>
      </w:r>
      <w:r w:rsidRPr="00827623">
        <w:rPr>
          <w:highlight w:val="magenta"/>
        </w:rPr>
        <w:t>reference</w:t>
      </w:r>
      <w:r>
        <w:t>&gt;&gt;&gt;</w:t>
      </w:r>
    </w:p>
    <w:p w14:paraId="6479C2A8" w14:textId="77777777" w:rsidR="00064584" w:rsidRDefault="00064584" w:rsidP="00064584">
      <w:pPr>
        <w:rPr>
          <w:rFonts w:eastAsia="Calibri"/>
        </w:rPr>
      </w:pPr>
      <w:r>
        <w:rPr>
          <w:rFonts w:eastAsia="Calibri"/>
          <w:b/>
          <w:bCs/>
          <w:sz w:val="26"/>
          <w:szCs w:val="26"/>
        </w:rPr>
        <w:t>Dafny 21</w:t>
      </w:r>
      <w:r>
        <w:rPr>
          <w:rFonts w:eastAsia="Calibri"/>
        </w:rPr>
        <w:t>, Professor of Business Administration at the Harvard Business School and the John F. Kennedy School of Government, and former Deputy Director for Healthcare and Antitrust in the Bureau of Economics at the Federal Trade Commission. Professor Dafny’s research focuses on competition in health care markets, and the intersection of industry and public policy. (</w:t>
      </w:r>
      <w:proofErr w:type="spellStart"/>
      <w:r>
        <w:rPr>
          <w:rFonts w:eastAsia="Calibri"/>
        </w:rPr>
        <w:t>Leemore</w:t>
      </w:r>
      <w:proofErr w:type="spellEnd"/>
      <w:r>
        <w:rPr>
          <w:rFonts w:eastAsia="Calibri"/>
        </w:rPr>
        <w:t xml:space="preserve">, “The Covid-19 Pandemic Should Not Delay Actions to Prevent Anticompetitive Consolidation in US Health Care Markets,” </w:t>
      </w:r>
      <w:r>
        <w:rPr>
          <w:rFonts w:eastAsia="Calibri"/>
          <w:i/>
          <w:iCs/>
        </w:rPr>
        <w:t>Pro Market</w:t>
      </w:r>
      <w:r>
        <w:rPr>
          <w:rFonts w:eastAsia="Calibri"/>
        </w:rPr>
        <w:t xml:space="preserve">, https://promarket.org/2021/06/10/covid-pandemic-consolidation-pandemic-monopoly/) </w:t>
      </w:r>
    </w:p>
    <w:p w14:paraId="1A19A273" w14:textId="40CF1735" w:rsidR="00064584" w:rsidRPr="00BE6FA4" w:rsidRDefault="00064584" w:rsidP="00DD5F32">
      <w:pPr>
        <w:rPr>
          <w:rFonts w:eastAsia="Calibri"/>
          <w:b/>
          <w:bCs/>
        </w:rPr>
      </w:pPr>
      <w:r>
        <w:rPr>
          <w:rFonts w:eastAsia="Calibri"/>
          <w:sz w:val="16"/>
          <w:szCs w:val="16"/>
        </w:rPr>
        <w:t xml:space="preserve">However, as Commissioner Rebecca Slaughter, the current acting </w:t>
      </w:r>
      <w:r>
        <w:rPr>
          <w:rFonts w:eastAsia="Calibri"/>
          <w:highlight w:val="green"/>
          <w:u w:val="single"/>
        </w:rPr>
        <w:t>FTC</w:t>
      </w:r>
      <w:r>
        <w:rPr>
          <w:rFonts w:eastAsia="Calibri"/>
          <w:sz w:val="16"/>
          <w:szCs w:val="16"/>
        </w:rPr>
        <w:t xml:space="preserve"> chair has noted, these </w:t>
      </w:r>
      <w:r>
        <w:rPr>
          <w:rFonts w:eastAsia="Calibri"/>
          <w:highlight w:val="green"/>
          <w:u w:val="single"/>
        </w:rPr>
        <w:t>efforts</w:t>
      </w:r>
      <w:r>
        <w:rPr>
          <w:rFonts w:eastAsia="Calibri"/>
          <w:sz w:val="16"/>
          <w:szCs w:val="16"/>
        </w:rPr>
        <w:t xml:space="preserve"> have “</w:t>
      </w:r>
      <w:r>
        <w:rPr>
          <w:rFonts w:eastAsia="Calibri"/>
          <w:b/>
          <w:bCs/>
          <w:highlight w:val="green"/>
          <w:u w:val="single"/>
        </w:rPr>
        <w:t>face</w:t>
      </w:r>
      <w:r>
        <w:rPr>
          <w:rFonts w:eastAsia="Calibri"/>
          <w:sz w:val="16"/>
          <w:szCs w:val="16"/>
        </w:rPr>
        <w:t xml:space="preserve">d </w:t>
      </w:r>
      <w:r>
        <w:rPr>
          <w:rFonts w:eastAsia="Calibri"/>
          <w:highlight w:val="green"/>
          <w:u w:val="single"/>
        </w:rPr>
        <w:t>resistance</w:t>
      </w:r>
      <w:r>
        <w:rPr>
          <w:rFonts w:eastAsia="Calibri"/>
          <w:sz w:val="16"/>
          <w:szCs w:val="16"/>
        </w:rPr>
        <w:t xml:space="preserve">, </w:t>
      </w:r>
      <w:r>
        <w:rPr>
          <w:rFonts w:eastAsia="Calibri"/>
          <w:u w:val="single"/>
        </w:rPr>
        <w:t>with</w:t>
      </w:r>
      <w:r>
        <w:rPr>
          <w:rFonts w:eastAsia="Calibri"/>
          <w:sz w:val="16"/>
          <w:szCs w:val="16"/>
        </w:rPr>
        <w:t xml:space="preserve"> two of these recent </w:t>
      </w:r>
      <w:r>
        <w:rPr>
          <w:rFonts w:eastAsia="Calibri"/>
          <w:highlight w:val="green"/>
          <w:u w:val="single"/>
        </w:rPr>
        <w:t>victories</w:t>
      </w:r>
      <w:r>
        <w:rPr>
          <w:rFonts w:eastAsia="Calibri"/>
          <w:u w:val="single"/>
        </w:rPr>
        <w:t xml:space="preserve"> only coming after district court setbacks.”</w:t>
      </w:r>
      <w:r>
        <w:rPr>
          <w:rFonts w:eastAsia="Calibri"/>
          <w:sz w:val="16"/>
          <w:szCs w:val="16"/>
        </w:rPr>
        <w:t xml:space="preserve"> Blocking a horizontal merger, </w:t>
      </w:r>
      <w:r>
        <w:rPr>
          <w:rFonts w:eastAsia="Calibri"/>
          <w:highlight w:val="green"/>
          <w:u w:val="single"/>
        </w:rPr>
        <w:t>even when it appears</w:t>
      </w:r>
      <w:r>
        <w:rPr>
          <w:rFonts w:eastAsia="Calibri"/>
          <w:u w:val="single"/>
        </w:rPr>
        <w:t xml:space="preserve"> to be an “</w:t>
      </w:r>
      <w:r>
        <w:rPr>
          <w:rFonts w:eastAsia="Calibri"/>
          <w:highlight w:val="green"/>
          <w:u w:val="single"/>
        </w:rPr>
        <w:t>open and shut</w:t>
      </w:r>
      <w:r>
        <w:rPr>
          <w:rFonts w:eastAsia="Calibri"/>
          <w:u w:val="single"/>
        </w:rPr>
        <w:t>”</w:t>
      </w:r>
      <w:r>
        <w:rPr>
          <w:rFonts w:eastAsia="Calibri"/>
          <w:sz w:val="16"/>
          <w:szCs w:val="16"/>
        </w:rPr>
        <w:t xml:space="preserve"> case to a layperson, </w:t>
      </w:r>
      <w:r>
        <w:rPr>
          <w:rFonts w:eastAsia="Calibri"/>
          <w:b/>
          <w:bCs/>
          <w:highlight w:val="green"/>
          <w:u w:val="single"/>
        </w:rPr>
        <w:t>requires extraordinary resources</w:t>
      </w:r>
      <w:r>
        <w:rPr>
          <w:rFonts w:eastAsia="Calibri"/>
          <w:sz w:val="16"/>
          <w:szCs w:val="16"/>
        </w:rPr>
        <w:t xml:space="preserve">, </w:t>
      </w:r>
      <w:r>
        <w:rPr>
          <w:rFonts w:eastAsia="Calibri"/>
          <w:u w:val="single"/>
        </w:rPr>
        <w:t xml:space="preserve">including </w:t>
      </w:r>
      <w:r>
        <w:rPr>
          <w:rFonts w:eastAsia="Calibri"/>
          <w:highlight w:val="green"/>
          <w:u w:val="single"/>
        </w:rPr>
        <w:t>large investigation and litigation teams</w:t>
      </w:r>
      <w:r>
        <w:rPr>
          <w:rFonts w:eastAsia="Calibri"/>
          <w:u w:val="single"/>
        </w:rPr>
        <w:t>,</w:t>
      </w:r>
      <w:r>
        <w:rPr>
          <w:rFonts w:eastAsia="Calibri"/>
          <w:sz w:val="16"/>
          <w:szCs w:val="16"/>
        </w:rPr>
        <w:t xml:space="preserve"> as well as economic and other subject matter experts who must analyze the transaction, lay out the case for blocking the merger, and rebut arguments advanced by Defendants’ attorneys and experts. </w:t>
      </w:r>
      <w:r>
        <w:rPr>
          <w:rFonts w:eastAsia="Calibri"/>
          <w:u w:val="single"/>
        </w:rPr>
        <w:t>To pick a recent example, consider</w:t>
      </w:r>
      <w:r>
        <w:rPr>
          <w:rFonts w:eastAsia="Calibri"/>
          <w:sz w:val="16"/>
          <w:szCs w:val="16"/>
        </w:rPr>
        <w:t xml:space="preserve"> the </w:t>
      </w:r>
      <w:r w:rsidRPr="008618D8">
        <w:rPr>
          <w:rFonts w:eastAsia="Calibri"/>
          <w:highlight w:val="magenta"/>
          <w:u w:val="single"/>
        </w:rPr>
        <w:t>proposed merger of two hospital systems in the</w:t>
      </w:r>
      <w:r>
        <w:rPr>
          <w:rFonts w:eastAsia="Calibri"/>
          <w:sz w:val="16"/>
          <w:szCs w:val="16"/>
        </w:rPr>
        <w:t xml:space="preserve"> </w:t>
      </w:r>
      <w:r>
        <w:rPr>
          <w:rFonts w:eastAsia="Calibri"/>
          <w:b/>
          <w:bCs/>
          <w:highlight w:val="green"/>
          <w:u w:val="single"/>
        </w:rPr>
        <w:t>Memphis</w:t>
      </w:r>
      <w:r>
        <w:rPr>
          <w:rFonts w:eastAsia="Calibri"/>
          <w:sz w:val="16"/>
          <w:szCs w:val="16"/>
        </w:rPr>
        <w:t xml:space="preserve"> area, which the FTC filed to block in November 2020. Based on the FTC’s complaint, the merger would have reduced the number of competing systems from four to three and created a system with over a 50 percent market share. In the face of litigation, the parties abandoned the deal—consistent with this being a straightforward case. </w:t>
      </w:r>
      <w:r>
        <w:rPr>
          <w:rFonts w:eastAsia="Calibri"/>
          <w:highlight w:val="green"/>
          <w:u w:val="single"/>
        </w:rPr>
        <w:t>Although</w:t>
      </w:r>
      <w:r>
        <w:rPr>
          <w:rFonts w:eastAsia="Calibri"/>
          <w:u w:val="single"/>
        </w:rPr>
        <w:t xml:space="preserve"> the </w:t>
      </w:r>
      <w:r>
        <w:rPr>
          <w:rFonts w:eastAsia="Calibri"/>
          <w:highlight w:val="green"/>
          <w:u w:val="single"/>
        </w:rPr>
        <w:t>FTC prevailed</w:t>
      </w:r>
      <w:r>
        <w:rPr>
          <w:rFonts w:eastAsia="Calibri"/>
          <w:u w:val="single"/>
        </w:rPr>
        <w:t xml:space="preserve"> without a trial, </w:t>
      </w:r>
      <w:r>
        <w:rPr>
          <w:rFonts w:eastAsia="Calibri"/>
          <w:highlight w:val="green"/>
          <w:u w:val="single"/>
        </w:rPr>
        <w:t>it took</w:t>
      </w:r>
      <w:r>
        <w:rPr>
          <w:rFonts w:eastAsia="Calibri"/>
          <w:u w:val="single"/>
        </w:rPr>
        <w:t xml:space="preserve"> nearly </w:t>
      </w:r>
      <w:r>
        <w:rPr>
          <w:rFonts w:eastAsia="Calibri"/>
          <w:highlight w:val="green"/>
          <w:u w:val="single"/>
        </w:rPr>
        <w:t>a year</w:t>
      </w:r>
      <w:r>
        <w:rPr>
          <w:rFonts w:eastAsia="Calibri"/>
          <w:u w:val="single"/>
        </w:rPr>
        <w:t xml:space="preserve"> from the merger announcement to the abandonment</w:t>
      </w:r>
      <w:r>
        <w:rPr>
          <w:rFonts w:eastAsia="Calibri"/>
          <w:sz w:val="16"/>
          <w:szCs w:val="16"/>
        </w:rPr>
        <w:t xml:space="preserve">. </w:t>
      </w:r>
      <w:r>
        <w:rPr>
          <w:rFonts w:eastAsia="Calibri"/>
          <w:b/>
          <w:bCs/>
          <w:u w:val="single"/>
        </w:rPr>
        <w:t>Over that period, the FTC</w:t>
      </w:r>
      <w:r>
        <w:rPr>
          <w:rFonts w:eastAsia="Calibri"/>
          <w:sz w:val="16"/>
          <w:szCs w:val="16"/>
        </w:rPr>
        <w:t xml:space="preserve"> likely </w:t>
      </w:r>
      <w:r>
        <w:rPr>
          <w:rFonts w:eastAsia="Calibri"/>
          <w:b/>
          <w:bCs/>
          <w:u w:val="single"/>
        </w:rPr>
        <w:t xml:space="preserve">devoted </w:t>
      </w:r>
      <w:r>
        <w:rPr>
          <w:rFonts w:eastAsia="Calibri"/>
          <w:b/>
          <w:bCs/>
          <w:highlight w:val="green"/>
          <w:u w:val="single"/>
        </w:rPr>
        <w:t>thousands of</w:t>
      </w:r>
      <w:r>
        <w:rPr>
          <w:rFonts w:eastAsia="Calibri"/>
          <w:b/>
          <w:bCs/>
          <w:u w:val="single"/>
        </w:rPr>
        <w:t xml:space="preserve"> staff </w:t>
      </w:r>
      <w:r>
        <w:rPr>
          <w:rFonts w:eastAsia="Calibri"/>
          <w:b/>
          <w:bCs/>
          <w:highlight w:val="green"/>
          <w:u w:val="single"/>
        </w:rPr>
        <w:t>hours</w:t>
      </w:r>
      <w:r>
        <w:rPr>
          <w:rFonts w:eastAsia="Calibri"/>
          <w:sz w:val="16"/>
          <w:szCs w:val="16"/>
        </w:rPr>
        <w:t xml:space="preserve"> </w:t>
      </w:r>
      <w:r>
        <w:rPr>
          <w:rFonts w:eastAsia="Calibri"/>
          <w:u w:val="single"/>
        </w:rPr>
        <w:t xml:space="preserve">to the investigation and lawsuit and </w:t>
      </w:r>
      <w:r>
        <w:rPr>
          <w:rFonts w:eastAsia="Calibri"/>
          <w:b/>
          <w:bCs/>
          <w:u w:val="single"/>
        </w:rPr>
        <w:t xml:space="preserve">expended </w:t>
      </w:r>
      <w:r>
        <w:rPr>
          <w:rFonts w:eastAsia="Calibri"/>
          <w:b/>
          <w:bCs/>
          <w:highlight w:val="green"/>
          <w:u w:val="single"/>
        </w:rPr>
        <w:t>substantial</w:t>
      </w:r>
      <w:r>
        <w:rPr>
          <w:rFonts w:eastAsia="Calibri"/>
          <w:sz w:val="16"/>
          <w:szCs w:val="16"/>
        </w:rPr>
        <w:t xml:space="preserve"> taxpayer </w:t>
      </w:r>
      <w:r>
        <w:rPr>
          <w:rFonts w:eastAsia="Calibri"/>
          <w:b/>
          <w:bCs/>
          <w:highlight w:val="green"/>
          <w:u w:val="single"/>
        </w:rPr>
        <w:t>resources</w:t>
      </w:r>
      <w:r>
        <w:rPr>
          <w:rFonts w:eastAsia="Calibri"/>
          <w:sz w:val="16"/>
          <w:szCs w:val="16"/>
        </w:rPr>
        <w:t xml:space="preserve"> on expert witnesses. The higher the payoff from the merger for the merging parties—and the payoff in the case of an increase in market power can be substantial—the greater the incentive for defendants to invest extraordinary resources to fight a merger challenge. </w:t>
      </w:r>
      <w:r>
        <w:rPr>
          <w:rFonts w:eastAsia="Calibri"/>
          <w:u w:val="single"/>
        </w:rPr>
        <w:t>Even if there is only a</w:t>
      </w:r>
      <w:r>
        <w:rPr>
          <w:rFonts w:eastAsia="Calibri"/>
          <w:sz w:val="16"/>
          <w:szCs w:val="16"/>
        </w:rPr>
        <w:t xml:space="preserve"> middling (and in some cases, </w:t>
      </w:r>
      <w:r>
        <w:rPr>
          <w:rFonts w:eastAsia="Calibri"/>
          <w:u w:val="single"/>
        </w:rPr>
        <w:t>small</w:t>
      </w:r>
      <w:r>
        <w:rPr>
          <w:rFonts w:eastAsia="Calibri"/>
          <w:sz w:val="16"/>
          <w:szCs w:val="16"/>
        </w:rPr>
        <w:t xml:space="preserve">) </w:t>
      </w:r>
      <w:r>
        <w:rPr>
          <w:rFonts w:eastAsia="Calibri"/>
          <w:u w:val="single"/>
        </w:rPr>
        <w:t>chance</w:t>
      </w:r>
      <w:r>
        <w:rPr>
          <w:rFonts w:eastAsia="Calibri"/>
          <w:sz w:val="16"/>
          <w:szCs w:val="16"/>
        </w:rPr>
        <w:t xml:space="preserve"> of getting a merger through, </w:t>
      </w:r>
      <w:r>
        <w:rPr>
          <w:rFonts w:eastAsia="Calibri"/>
          <w:u w:val="single"/>
        </w:rPr>
        <w:t>it may well be in the parties’ interest to see if they can prevail, absorbing the</w:t>
      </w:r>
      <w:r>
        <w:rPr>
          <w:rFonts w:eastAsia="Calibri"/>
          <w:sz w:val="16"/>
          <w:szCs w:val="16"/>
        </w:rPr>
        <w:t xml:space="preserve"> agencies’ (i.e., </w:t>
      </w:r>
      <w:r>
        <w:rPr>
          <w:rFonts w:eastAsia="Calibri"/>
          <w:b/>
          <w:bCs/>
          <w:u w:val="single"/>
        </w:rPr>
        <w:t>DOJ</w:t>
      </w:r>
      <w:r>
        <w:rPr>
          <w:rFonts w:eastAsia="Calibri"/>
          <w:sz w:val="16"/>
          <w:szCs w:val="16"/>
        </w:rPr>
        <w:t xml:space="preserve"> </w:t>
      </w:r>
      <w:r>
        <w:rPr>
          <w:rFonts w:eastAsia="Calibri"/>
          <w:b/>
          <w:bCs/>
          <w:u w:val="single"/>
        </w:rPr>
        <w:t>and</w:t>
      </w:r>
      <w:r>
        <w:rPr>
          <w:rFonts w:eastAsia="Calibri"/>
          <w:sz w:val="16"/>
          <w:szCs w:val="16"/>
        </w:rPr>
        <w:t xml:space="preserve"> </w:t>
      </w:r>
      <w:r>
        <w:rPr>
          <w:rFonts w:eastAsia="Calibri"/>
          <w:b/>
          <w:bCs/>
          <w:u w:val="single"/>
        </w:rPr>
        <w:t>FTC’s</w:t>
      </w:r>
      <w:r>
        <w:rPr>
          <w:rFonts w:eastAsia="Calibri"/>
          <w:sz w:val="16"/>
          <w:szCs w:val="16"/>
        </w:rPr>
        <w:t xml:space="preserve">) </w:t>
      </w:r>
      <w:r>
        <w:rPr>
          <w:rFonts w:eastAsia="Calibri"/>
          <w:b/>
          <w:bCs/>
          <w:u w:val="single"/>
        </w:rPr>
        <w:t>scarce resources</w:t>
      </w:r>
      <w:r>
        <w:rPr>
          <w:rFonts w:eastAsia="Calibri"/>
          <w:sz w:val="16"/>
          <w:szCs w:val="16"/>
        </w:rPr>
        <w:t xml:space="preserve"> </w:t>
      </w:r>
      <w:r>
        <w:rPr>
          <w:rFonts w:eastAsia="Calibri"/>
          <w:u w:val="single"/>
        </w:rPr>
        <w:t xml:space="preserve">in that attempt and </w:t>
      </w:r>
      <w:r>
        <w:rPr>
          <w:rFonts w:eastAsia="Calibri"/>
          <w:b/>
          <w:bCs/>
          <w:highlight w:val="green"/>
          <w:u w:val="single"/>
        </w:rPr>
        <w:t>preventing them from devoting those</w:t>
      </w:r>
      <w:r>
        <w:rPr>
          <w:rFonts w:eastAsia="Calibri"/>
          <w:b/>
          <w:bCs/>
          <w:u w:val="single"/>
        </w:rPr>
        <w:t xml:space="preserve"> resources </w:t>
      </w:r>
      <w:r>
        <w:rPr>
          <w:rFonts w:eastAsia="Calibri"/>
          <w:highlight w:val="green"/>
          <w:u w:val="single"/>
        </w:rPr>
        <w:t>to</w:t>
      </w:r>
      <w:r>
        <w:rPr>
          <w:rFonts w:eastAsia="Calibri"/>
          <w:u w:val="single"/>
        </w:rPr>
        <w:t xml:space="preserve"> investigate </w:t>
      </w:r>
      <w:r>
        <w:rPr>
          <w:rFonts w:eastAsia="Calibri"/>
          <w:highlight w:val="green"/>
          <w:u w:val="single"/>
        </w:rPr>
        <w:t>other</w:t>
      </w:r>
      <w:r>
        <w:rPr>
          <w:rFonts w:eastAsia="Calibri"/>
          <w:u w:val="single"/>
        </w:rPr>
        <w:t xml:space="preserve"> transactions or anticompetitive </w:t>
      </w:r>
      <w:r>
        <w:rPr>
          <w:rFonts w:eastAsia="Calibri"/>
          <w:highlight w:val="green"/>
          <w:u w:val="single"/>
        </w:rPr>
        <w:t>practices</w:t>
      </w:r>
      <w:r>
        <w:rPr>
          <w:rFonts w:eastAsia="Calibri"/>
          <w:sz w:val="16"/>
          <w:szCs w:val="16"/>
        </w:rPr>
        <w:t xml:space="preserve">. </w:t>
      </w:r>
      <w:r>
        <w:rPr>
          <w:rFonts w:eastAsia="Calibri"/>
          <w:u w:val="single"/>
        </w:rPr>
        <w:t>The substantial resources required to challenge transactions, paired with stagnating enforcement budgets, may explain why authorities have elected not to challenge some</w:t>
      </w:r>
      <w:r>
        <w:rPr>
          <w:rFonts w:eastAsia="Calibri"/>
          <w:sz w:val="16"/>
          <w:szCs w:val="16"/>
        </w:rPr>
        <w:t xml:space="preserve"> horizontal </w:t>
      </w:r>
      <w:r>
        <w:rPr>
          <w:rFonts w:eastAsia="Calibri"/>
          <w:u w:val="single"/>
        </w:rPr>
        <w:t>transactions</w:t>
      </w:r>
      <w:r>
        <w:rPr>
          <w:rFonts w:eastAsia="Calibri"/>
          <w:sz w:val="16"/>
          <w:szCs w:val="16"/>
        </w:rPr>
        <w:t xml:space="preserve"> they would likely have challenged in previous eras. Using data on a wide range of industries, antitrust scholar John Kwoka documents that enforcers rarely raise concerns about changes in market structure that used to draw scrutiny—that is, mergers that yield five or more market participants.</w:t>
      </w:r>
    </w:p>
    <w:p w14:paraId="4CFAEFFC" w14:textId="5D00F45D" w:rsidR="00CC6E53" w:rsidRPr="007156E4" w:rsidRDefault="00581E77" w:rsidP="00562F76">
      <w:pPr>
        <w:pStyle w:val="Heading4"/>
        <w:rPr>
          <w:rFonts w:ascii="Times New Roman" w:eastAsia="Times New Roman" w:hAnsi="Times New Roman" w:cs="Times New Roman"/>
        </w:rPr>
      </w:pPr>
      <w:r>
        <w:rPr>
          <w:rFonts w:eastAsia="Times New Roman"/>
          <w:shd w:val="clear" w:color="auto" w:fill="FFFFFF"/>
        </w:rPr>
        <w:t>2---</w:t>
      </w:r>
      <w:r w:rsidR="00CC6E53" w:rsidRPr="007156E4">
        <w:rPr>
          <w:rFonts w:eastAsia="Times New Roman"/>
          <w:shd w:val="clear" w:color="auto" w:fill="FFFFFF"/>
        </w:rPr>
        <w:t>The FTC’s funding is plentiful up until 2028</w:t>
      </w:r>
    </w:p>
    <w:p w14:paraId="51D5648C" w14:textId="111BA00E" w:rsidR="00CC6E53" w:rsidRPr="007156E4" w:rsidRDefault="00CC6E53" w:rsidP="00CC6E53">
      <w:pPr>
        <w:spacing w:after="0" w:line="240" w:lineRule="auto"/>
        <w:rPr>
          <w:rFonts w:ascii="Times New Roman" w:eastAsia="Times New Roman" w:hAnsi="Times New Roman" w:cs="Times New Roman"/>
          <w:color w:val="000000"/>
        </w:rPr>
      </w:pPr>
      <w:r w:rsidRPr="007156E4">
        <w:rPr>
          <w:rFonts w:eastAsia="Times New Roman"/>
          <w:b/>
          <w:bCs/>
          <w:color w:val="000000"/>
          <w:sz w:val="28"/>
          <w:szCs w:val="28"/>
          <w:shd w:val="clear" w:color="auto" w:fill="FFFFFF"/>
        </w:rPr>
        <w:t xml:space="preserve">Robins 23 </w:t>
      </w:r>
      <w:r w:rsidRPr="007156E4">
        <w:rPr>
          <w:rFonts w:eastAsia="Times New Roman"/>
          <w:color w:val="000000"/>
          <w:sz w:val="28"/>
          <w:szCs w:val="28"/>
          <w:shd w:val="clear" w:color="auto" w:fill="FFFFFF"/>
        </w:rPr>
        <w:t>(</w:t>
      </w:r>
      <w:r w:rsidRPr="007156E4">
        <w:rPr>
          <w:rFonts w:eastAsia="Times New Roman"/>
          <w:color w:val="000000"/>
          <w:shd w:val="clear" w:color="auto" w:fill="FFFFFF"/>
        </w:rPr>
        <w:t xml:space="preserve">Harry T. Robins; Partner at Morgan Lewis; January 10, 2023; “New Legislation Dramatically Increases Funding to US Antitrust Agencies Over Five Years, Ensuring Aggressive Enforcement”; </w:t>
      </w:r>
      <w:hyperlink r:id="rId10" w:history="1">
        <w:r w:rsidRPr="007156E4">
          <w:rPr>
            <w:rFonts w:eastAsia="Times New Roman"/>
            <w:color w:val="000000"/>
            <w:u w:val="single"/>
            <w:shd w:val="clear" w:color="auto" w:fill="FFFFFF"/>
          </w:rPr>
          <w:t>https://www.morganlewis.com/pubs/2023/01/new-legislation-dramatically-increases-funding-to-us-antitrust-agencies-over-five-years-ensuring-aggressive-enforcemen</w:t>
        </w:r>
      </w:hyperlink>
      <w:r w:rsidRPr="007156E4">
        <w:rPr>
          <w:rFonts w:eastAsia="Times New Roman"/>
          <w:color w:val="000000"/>
          <w:shd w:val="clear" w:color="auto" w:fill="FFFFFF"/>
        </w:rPr>
        <w:t xml:space="preserve">t; DOA 2/15/26) </w:t>
      </w:r>
      <w:r w:rsidR="003318D7">
        <w:rPr>
          <w:rFonts w:eastAsia="Times New Roman"/>
          <w:color w:val="000000"/>
          <w:shd w:val="clear" w:color="auto" w:fill="FFFFFF"/>
        </w:rPr>
        <w:t>manan</w:t>
      </w:r>
    </w:p>
    <w:p w14:paraId="027F2C13" w14:textId="77777777" w:rsidR="00CC6E53" w:rsidRPr="007156E4" w:rsidRDefault="00CC6E53" w:rsidP="00CC6E53">
      <w:pPr>
        <w:spacing w:after="0" w:line="240" w:lineRule="auto"/>
        <w:rPr>
          <w:rFonts w:ascii="Times New Roman" w:eastAsia="Times New Roman" w:hAnsi="Times New Roman" w:cs="Times New Roman"/>
          <w:color w:val="000000"/>
        </w:rPr>
      </w:pPr>
    </w:p>
    <w:p w14:paraId="564EAFE2" w14:textId="3A9A5858" w:rsidR="000A1F44" w:rsidRDefault="00CC6E53" w:rsidP="00600FD4">
      <w:pPr>
        <w:spacing w:after="0" w:line="240" w:lineRule="auto"/>
        <w:rPr>
          <w:rFonts w:eastAsia="Times New Roman"/>
          <w:color w:val="000000"/>
          <w:sz w:val="20"/>
          <w:szCs w:val="20"/>
          <w:shd w:val="clear" w:color="auto" w:fill="FFFFFF"/>
        </w:rPr>
      </w:pPr>
      <w:r w:rsidRPr="007156E4">
        <w:rPr>
          <w:rFonts w:eastAsia="Times New Roman"/>
          <w:color w:val="000000"/>
          <w:shd w:val="clear" w:color="auto" w:fill="FFFFFF"/>
        </w:rPr>
        <w:t>Th</w:t>
      </w:r>
      <w:r w:rsidRPr="007156E4">
        <w:rPr>
          <w:rFonts w:eastAsia="Times New Roman"/>
          <w:color w:val="000000"/>
          <w:u w:val="single"/>
          <w:shd w:val="clear" w:color="auto" w:fill="FFFFFF"/>
        </w:rPr>
        <w:t>e</w:t>
      </w:r>
      <w:r w:rsidRPr="007156E4">
        <w:rPr>
          <w:rFonts w:eastAsia="Times New Roman"/>
          <w:color w:val="000000"/>
          <w:u w:val="single"/>
          <w:shd w:val="clear" w:color="auto" w:fill="00FFFF"/>
        </w:rPr>
        <w:t xml:space="preserve"> Fee Modernization Act</w:t>
      </w:r>
      <w:r w:rsidRPr="007156E4">
        <w:rPr>
          <w:rFonts w:eastAsia="Times New Roman"/>
          <w:color w:val="000000"/>
          <w:u w:val="single"/>
          <w:shd w:val="clear" w:color="auto" w:fill="FFFFFF"/>
        </w:rPr>
        <w:t xml:space="preserve"> introduces a new HSR filing fee structure that</w:t>
      </w:r>
      <w:r w:rsidRPr="007156E4">
        <w:rPr>
          <w:rFonts w:eastAsia="Times New Roman"/>
          <w:color w:val="000000"/>
          <w:u w:val="single"/>
          <w:shd w:val="clear" w:color="auto" w:fill="00FFFF"/>
        </w:rPr>
        <w:t xml:space="preserve"> increases</w:t>
      </w:r>
      <w:r w:rsidRPr="007156E4">
        <w:rPr>
          <w:rFonts w:eastAsia="Times New Roman"/>
          <w:color w:val="000000"/>
          <w:u w:val="single"/>
          <w:shd w:val="clear" w:color="auto" w:fill="FFFFFF"/>
        </w:rPr>
        <w:t xml:space="preserve"> HSR </w:t>
      </w:r>
      <w:r w:rsidRPr="007156E4">
        <w:rPr>
          <w:rFonts w:eastAsia="Times New Roman"/>
          <w:color w:val="000000"/>
          <w:u w:val="single"/>
          <w:shd w:val="clear" w:color="auto" w:fill="00FFFF"/>
        </w:rPr>
        <w:t>filing fees for</w:t>
      </w:r>
      <w:r w:rsidRPr="007156E4">
        <w:rPr>
          <w:rFonts w:eastAsia="Times New Roman"/>
          <w:color w:val="000000"/>
          <w:u w:val="single"/>
          <w:shd w:val="clear" w:color="auto" w:fill="FFFFFF"/>
        </w:rPr>
        <w:t xml:space="preserve"> the largest</w:t>
      </w:r>
      <w:r w:rsidRPr="007156E4">
        <w:rPr>
          <w:rFonts w:eastAsia="Times New Roman"/>
          <w:color w:val="000000"/>
          <w:u w:val="single"/>
          <w:shd w:val="clear" w:color="auto" w:fill="00FFFF"/>
        </w:rPr>
        <w:t xml:space="preserve"> transactions</w:t>
      </w:r>
      <w:r w:rsidRPr="007156E4">
        <w:rPr>
          <w:rFonts w:eastAsia="Times New Roman"/>
          <w:color w:val="000000"/>
          <w:u w:val="single"/>
          <w:shd w:val="clear" w:color="auto" w:fill="FFFFFF"/>
        </w:rPr>
        <w:t xml:space="preserve"> (above $5 billion) </w:t>
      </w:r>
      <w:r w:rsidRPr="007156E4">
        <w:rPr>
          <w:rFonts w:eastAsia="Times New Roman"/>
          <w:color w:val="000000"/>
          <w:u w:val="single"/>
          <w:shd w:val="clear" w:color="auto" w:fill="00FFFF"/>
        </w:rPr>
        <w:t>nearly tenfold</w:t>
      </w:r>
      <w:r w:rsidRPr="007156E4">
        <w:rPr>
          <w:rFonts w:eastAsia="Times New Roman"/>
          <w:color w:val="000000"/>
          <w:u w:val="single"/>
          <w:shd w:val="clear" w:color="auto" w:fill="FFFFFF"/>
        </w:rPr>
        <w:t xml:space="preserve"> from $280,000 to </w:t>
      </w:r>
      <w:proofErr w:type="gramStart"/>
      <w:r w:rsidRPr="007156E4">
        <w:rPr>
          <w:rFonts w:eastAsia="Times New Roman"/>
          <w:color w:val="000000"/>
          <w:u w:val="single"/>
          <w:shd w:val="clear" w:color="auto" w:fill="FFFFFF"/>
        </w:rPr>
        <w:t>$2.25 million, and</w:t>
      </w:r>
      <w:proofErr w:type="gramEnd"/>
      <w:r w:rsidRPr="007156E4">
        <w:rPr>
          <w:rFonts w:eastAsia="Times New Roman"/>
          <w:color w:val="000000"/>
          <w:u w:val="single"/>
          <w:shd w:val="clear" w:color="auto" w:fill="FFFFFF"/>
        </w:rPr>
        <w:t xml:space="preserve"> modestly lowers HSR filing fees for transactions valued below $500 million. Currently, the filing fees range from $45,000 to $280,000</w:t>
      </w:r>
      <w:r w:rsidRPr="007156E4">
        <w:rPr>
          <w:rFonts w:eastAsia="Times New Roman"/>
          <w:color w:val="000000"/>
          <w:shd w:val="clear" w:color="auto" w:fill="FFFFFF"/>
        </w:rPr>
        <w:t xml:space="preserve">. </w:t>
      </w:r>
      <w:r w:rsidRPr="007156E4">
        <w:rPr>
          <w:rFonts w:eastAsia="Times New Roman"/>
          <w:color w:val="000000"/>
          <w:u w:val="single"/>
          <w:shd w:val="clear" w:color="auto" w:fill="FFFFFF"/>
        </w:rPr>
        <w:t>The</w:t>
      </w:r>
      <w:r w:rsidRPr="007156E4">
        <w:rPr>
          <w:rFonts w:eastAsia="Times New Roman"/>
          <w:color w:val="000000"/>
          <w:u w:val="single"/>
          <w:shd w:val="clear" w:color="auto" w:fill="00FFFF"/>
        </w:rPr>
        <w:t xml:space="preserve"> fees</w:t>
      </w:r>
      <w:r w:rsidRPr="007156E4">
        <w:rPr>
          <w:rFonts w:eastAsia="Times New Roman"/>
          <w:color w:val="000000"/>
          <w:u w:val="single"/>
        </w:rPr>
        <w:t xml:space="preserve"> are</w:t>
      </w:r>
      <w:r w:rsidRPr="007156E4">
        <w:rPr>
          <w:rFonts w:eastAsia="Times New Roman"/>
          <w:color w:val="000000"/>
          <w:u w:val="single"/>
          <w:shd w:val="clear" w:color="auto" w:fill="00FFFF"/>
        </w:rPr>
        <w:t xml:space="preserve"> expected to increase funding to the FTC </w:t>
      </w:r>
      <w:r w:rsidRPr="007156E4">
        <w:rPr>
          <w:rFonts w:eastAsia="Times New Roman"/>
          <w:color w:val="000000"/>
          <w:u w:val="single"/>
        </w:rPr>
        <w:t>and Antitrust Division</w:t>
      </w:r>
      <w:r w:rsidRPr="007156E4">
        <w:rPr>
          <w:rFonts w:eastAsia="Times New Roman"/>
          <w:color w:val="000000"/>
          <w:u w:val="single"/>
          <w:shd w:val="clear" w:color="auto" w:fill="00FFFF"/>
        </w:rPr>
        <w:t xml:space="preserve"> by </w:t>
      </w:r>
      <w:r w:rsidRPr="007156E4">
        <w:rPr>
          <w:rFonts w:eastAsia="Times New Roman"/>
          <w:color w:val="000000"/>
          <w:u w:val="single"/>
        </w:rPr>
        <w:t>approximately</w:t>
      </w:r>
      <w:r w:rsidRPr="007156E4">
        <w:rPr>
          <w:rFonts w:eastAsia="Times New Roman"/>
          <w:color w:val="000000"/>
          <w:u w:val="single"/>
          <w:shd w:val="clear" w:color="auto" w:fill="00FFFF"/>
        </w:rPr>
        <w:t xml:space="preserve"> $1.4 billion over the next five years</w:t>
      </w:r>
      <w:r w:rsidRPr="007156E4">
        <w:rPr>
          <w:rFonts w:eastAsia="Times New Roman"/>
          <w:color w:val="000000"/>
          <w:shd w:val="clear" w:color="auto" w:fill="FFFFFF"/>
        </w:rPr>
        <w:t xml:space="preserve">, </w:t>
      </w:r>
      <w:r w:rsidRPr="007156E4">
        <w:rPr>
          <w:rFonts w:eastAsia="Times New Roman"/>
          <w:color w:val="000000"/>
          <w:sz w:val="20"/>
          <w:szCs w:val="20"/>
          <w:shd w:val="clear" w:color="auto" w:fill="FFFFFF"/>
        </w:rPr>
        <w:t>bringing additional resources to the US antitrust agencies, which have become increasingly aggressive during the Biden administration</w:t>
      </w:r>
    </w:p>
    <w:p w14:paraId="27BBD825" w14:textId="77777777" w:rsidR="00C016C7" w:rsidRPr="00600FD4" w:rsidRDefault="00C016C7" w:rsidP="00600FD4">
      <w:pPr>
        <w:spacing w:after="0" w:line="240" w:lineRule="auto"/>
        <w:rPr>
          <w:rFonts w:ascii="Times New Roman" w:eastAsia="Times New Roman" w:hAnsi="Times New Roman" w:cs="Times New Roman"/>
          <w:color w:val="000000"/>
        </w:rPr>
      </w:pPr>
    </w:p>
    <w:p w14:paraId="688EB64D" w14:textId="68FE9593" w:rsidR="000A1F44" w:rsidRPr="00C558BA" w:rsidRDefault="00600FD4" w:rsidP="000A1F44">
      <w:pPr>
        <w:pStyle w:val="Heading4"/>
      </w:pPr>
      <w:r>
        <w:t>3</w:t>
      </w:r>
      <w:r w:rsidR="000A1F44" w:rsidRPr="00C558BA">
        <w:t>---</w:t>
      </w:r>
      <w:r w:rsidR="00AA795F">
        <w:t>1NC Dyre’s</w:t>
      </w:r>
      <w:r w:rsidR="000A1F44" w:rsidRPr="00C558BA">
        <w:t xml:space="preserve"> solvency press is self-defeating because it concedes robust judicial review exists</w:t>
      </w:r>
      <w:r w:rsidR="0053721C">
        <w:t xml:space="preserve">, AND that </w:t>
      </w:r>
      <w:proofErr w:type="spellStart"/>
      <w:proofErr w:type="gramStart"/>
      <w:r w:rsidR="0053721C">
        <w:t>its</w:t>
      </w:r>
      <w:proofErr w:type="spellEnd"/>
      <w:proofErr w:type="gramEnd"/>
      <w:r w:rsidR="0053721C">
        <w:t xml:space="preserve"> getting better and faster in the </w:t>
      </w:r>
      <w:proofErr w:type="spellStart"/>
      <w:r w:rsidR="0053721C">
        <w:t>squo</w:t>
      </w:r>
      <w:proofErr w:type="spellEnd"/>
      <w:r w:rsidR="0053721C">
        <w:t xml:space="preserve"> now</w:t>
      </w:r>
      <w:r w:rsidR="00AF0843">
        <w:t xml:space="preserve"> due to “timely rules,” </w:t>
      </w:r>
      <w:proofErr w:type="spellStart"/>
      <w:r w:rsidR="00AF0843">
        <w:t>streamling</w:t>
      </w:r>
      <w:proofErr w:type="spellEnd"/>
      <w:r w:rsidR="00AF0843">
        <w:t>, removing red tape</w:t>
      </w:r>
      <w:r w:rsidR="00DA0C95">
        <w:t>, reducing 6 years to 8 months.</w:t>
      </w:r>
    </w:p>
    <w:p w14:paraId="579E2217" w14:textId="309CA906" w:rsidR="000A1F44" w:rsidRDefault="005D099D" w:rsidP="005D099D">
      <w:r w:rsidRPr="005D099D">
        <w:t>&lt;&lt;&lt;</w:t>
      </w:r>
      <w:r>
        <w:t xml:space="preserve">inserted for </w:t>
      </w:r>
      <w:r w:rsidRPr="00B24A35">
        <w:rPr>
          <w:highlight w:val="magenta"/>
        </w:rPr>
        <w:t>reference</w:t>
      </w:r>
      <w:r>
        <w:t>&gt;&gt;&gt;</w:t>
      </w:r>
    </w:p>
    <w:p w14:paraId="1DFB51D9" w14:textId="77777777" w:rsidR="007E2E38" w:rsidRDefault="007E2E38" w:rsidP="007E2E38">
      <w:pPr>
        <w:spacing w:line="256" w:lineRule="auto"/>
        <w:rPr>
          <w:rFonts w:eastAsia="Calibri"/>
          <w:sz w:val="16"/>
          <w:szCs w:val="16"/>
        </w:rPr>
      </w:pPr>
      <w:r>
        <w:rPr>
          <w:rFonts w:eastAsia="Calibri"/>
          <w:b/>
          <w:bCs/>
          <w:sz w:val="26"/>
          <w:szCs w:val="26"/>
        </w:rPr>
        <w:t>Dyre 22</w:t>
      </w:r>
      <w:r>
        <w:rPr>
          <w:rFonts w:eastAsia="Calibri"/>
          <w:sz w:val="16"/>
          <w:szCs w:val="16"/>
        </w:rPr>
        <w:t xml:space="preserve"> [Kelly Dyre 1-11-22, “The FTC’s Magnuson-Moss Rulemaking Process – Still an Uphill Climb”, JD Supra, </w:t>
      </w:r>
      <w:hyperlink r:id="rId11">
        <w:r>
          <w:rPr>
            <w:rFonts w:eastAsia="Calibri"/>
            <w:sz w:val="16"/>
            <w:szCs w:val="16"/>
            <w:u w:val="single"/>
          </w:rPr>
          <w:t>https://www.jdsupra.com/legalnews/the-ftc-s-magnuson-moss-rulemaking-7757749/</w:t>
        </w:r>
      </w:hyperlink>
      <w:r>
        <w:rPr>
          <w:rFonts w:eastAsia="Calibri"/>
          <w:sz w:val="16"/>
          <w:szCs w:val="16"/>
        </w:rPr>
        <w:t>, DOA 1-5-26]//</w:t>
      </w:r>
      <w:proofErr w:type="spellStart"/>
      <w:r>
        <w:rPr>
          <w:rFonts w:eastAsia="Calibri"/>
          <w:sz w:val="16"/>
          <w:szCs w:val="16"/>
        </w:rPr>
        <w:t>ALee</w:t>
      </w:r>
      <w:proofErr w:type="spellEnd"/>
    </w:p>
    <w:p w14:paraId="4D7FAC93" w14:textId="77777777" w:rsidR="007E2E38" w:rsidRDefault="007E2E38" w:rsidP="007E2E38">
      <w:pPr>
        <w:spacing w:line="256" w:lineRule="auto"/>
        <w:rPr>
          <w:rFonts w:eastAsia="Calibri"/>
          <w:sz w:val="16"/>
          <w:szCs w:val="16"/>
        </w:rPr>
      </w:pPr>
      <w:r>
        <w:rPr>
          <w:rFonts w:eastAsia="Calibri"/>
          <w:sz w:val="16"/>
          <w:szCs w:val="16"/>
        </w:rPr>
        <w:t xml:space="preserve">Background – The Changing Narrative Around Mag-Moss Rulemaking  </w:t>
      </w:r>
    </w:p>
    <w:p w14:paraId="360C6CD4" w14:textId="77777777" w:rsidR="007E2E38" w:rsidRDefault="007E2E38" w:rsidP="007E2E38">
      <w:pPr>
        <w:spacing w:line="256" w:lineRule="auto"/>
        <w:rPr>
          <w:rFonts w:eastAsia="Calibri"/>
          <w:sz w:val="16"/>
          <w:szCs w:val="16"/>
        </w:rPr>
      </w:pPr>
      <w:r>
        <w:rPr>
          <w:rFonts w:eastAsia="Calibri"/>
          <w:sz w:val="16"/>
          <w:szCs w:val="16"/>
        </w:rPr>
        <w:t>For decades, the FTC has developed its consumer protection rules in one of two ways: (1) as directed by Congress in federal legislation or (2) under Section 18 of the FTC Act. While rulemakings in the first category generally follow the Administrative Procedures Act, Section 18 requires many more steps.</w:t>
      </w:r>
    </w:p>
    <w:p w14:paraId="15B7CA4C" w14:textId="77777777" w:rsidR="007E2E38" w:rsidRDefault="007E2E38" w:rsidP="007E2E38">
      <w:pPr>
        <w:spacing w:line="256" w:lineRule="auto"/>
        <w:rPr>
          <w:rFonts w:eastAsia="Calibri"/>
          <w:sz w:val="16"/>
          <w:szCs w:val="16"/>
        </w:rPr>
      </w:pPr>
      <w:r>
        <w:rPr>
          <w:rFonts w:eastAsia="Calibri"/>
          <w:sz w:val="16"/>
          <w:szCs w:val="16"/>
        </w:rPr>
        <w:t xml:space="preserve">Most of these steps were added to the law in 1980, in response to perceived overreach by the agency during the </w:t>
      </w:r>
      <w:proofErr w:type="spellStart"/>
      <w:r>
        <w:rPr>
          <w:rFonts w:eastAsia="Calibri"/>
          <w:sz w:val="16"/>
          <w:szCs w:val="16"/>
        </w:rPr>
        <w:t>Pertschuk</w:t>
      </w:r>
      <w:proofErr w:type="spellEnd"/>
      <w:r>
        <w:rPr>
          <w:rFonts w:eastAsia="Calibri"/>
          <w:sz w:val="16"/>
          <w:szCs w:val="16"/>
        </w:rPr>
        <w:t xml:space="preserve"> era. According to Jeffrey Lubbers, a professor who has analyzed </w:t>
      </w:r>
      <w:r>
        <w:rPr>
          <w:rFonts w:eastAsia="Calibri"/>
          <w:highlight w:val="cyan"/>
          <w:u w:val="single"/>
        </w:rPr>
        <w:t>FTC rules</w:t>
      </w:r>
      <w:r>
        <w:rPr>
          <w:rFonts w:eastAsia="Calibri"/>
          <w:u w:val="single"/>
        </w:rPr>
        <w:t xml:space="preserve"> developed </w:t>
      </w:r>
      <w:r>
        <w:rPr>
          <w:rFonts w:eastAsia="Calibri"/>
          <w:highlight w:val="cyan"/>
          <w:u w:val="single"/>
        </w:rPr>
        <w:t>under Mag-Moss</w:t>
      </w:r>
      <w:r>
        <w:rPr>
          <w:rFonts w:eastAsia="Calibri"/>
          <w:sz w:val="16"/>
          <w:szCs w:val="16"/>
        </w:rPr>
        <w:t xml:space="preserve"> (e.g., the Credit Practices and Used Car rules), </w:t>
      </w:r>
      <w:r>
        <w:rPr>
          <w:rFonts w:eastAsia="Calibri"/>
          <w:u w:val="single"/>
        </w:rPr>
        <w:t xml:space="preserve">the average time it </w:t>
      </w:r>
      <w:r>
        <w:rPr>
          <w:rFonts w:eastAsia="Calibri"/>
          <w:highlight w:val="cyan"/>
          <w:u w:val="single"/>
        </w:rPr>
        <w:t>took</w:t>
      </w:r>
      <w:r>
        <w:rPr>
          <w:rFonts w:eastAsia="Calibri"/>
          <w:u w:val="single"/>
        </w:rPr>
        <w:t xml:space="preserve"> to complete them was almost </w:t>
      </w:r>
      <w:r>
        <w:rPr>
          <w:rFonts w:eastAsia="Calibri"/>
          <w:highlight w:val="cyan"/>
          <w:u w:val="single"/>
        </w:rPr>
        <w:t>six years</w:t>
      </w:r>
      <w:r>
        <w:rPr>
          <w:rFonts w:eastAsia="Calibri"/>
          <w:sz w:val="16"/>
          <w:szCs w:val="16"/>
          <w:highlight w:val="cyan"/>
        </w:rPr>
        <w:t xml:space="preserve">, </w:t>
      </w:r>
      <w:r>
        <w:rPr>
          <w:rFonts w:eastAsia="Calibri"/>
          <w:highlight w:val="cyan"/>
          <w:u w:val="single"/>
        </w:rPr>
        <w:t xml:space="preserve">with some </w:t>
      </w:r>
      <w:r>
        <w:rPr>
          <w:rFonts w:eastAsia="Calibri"/>
          <w:u w:val="single"/>
        </w:rPr>
        <w:t>rules</w:t>
      </w:r>
      <w:r>
        <w:rPr>
          <w:rFonts w:eastAsia="Calibri"/>
          <w:highlight w:val="cyan"/>
          <w:u w:val="single"/>
        </w:rPr>
        <w:t xml:space="preserve"> taking even longer</w:t>
      </w:r>
      <w:r>
        <w:rPr>
          <w:rFonts w:eastAsia="Calibri"/>
          <w:sz w:val="16"/>
          <w:szCs w:val="16"/>
        </w:rPr>
        <w:t xml:space="preserve">. By contrast, the average time to complete rules under the APA (e.g., the COPPA and GLB rules) was less than a year. Due to this dramatic difference, </w:t>
      </w:r>
      <w:r>
        <w:rPr>
          <w:rFonts w:eastAsia="Calibri"/>
          <w:u w:val="single"/>
        </w:rPr>
        <w:t xml:space="preserve">Mag-Moss </w:t>
      </w:r>
      <w:r>
        <w:rPr>
          <w:rFonts w:eastAsia="Calibri"/>
          <w:highlight w:val="cyan"/>
          <w:u w:val="single"/>
        </w:rPr>
        <w:t>rulemaking</w:t>
      </w:r>
      <w:r>
        <w:rPr>
          <w:rFonts w:eastAsia="Calibri"/>
          <w:u w:val="single"/>
        </w:rPr>
        <w:t xml:space="preserve"> has long been viewed to be </w:t>
      </w:r>
      <w:r>
        <w:rPr>
          <w:rFonts w:eastAsia="Calibri"/>
          <w:highlight w:val="cyan"/>
          <w:u w:val="single"/>
        </w:rPr>
        <w:t>extremely cumbersome</w:t>
      </w:r>
      <w:r>
        <w:rPr>
          <w:rFonts w:eastAsia="Calibri"/>
          <w:sz w:val="16"/>
          <w:szCs w:val="16"/>
        </w:rPr>
        <w:t xml:space="preserve"> – not a process to be launched lightly or with the expectation of rapid completion.</w:t>
      </w:r>
    </w:p>
    <w:p w14:paraId="46D891D0" w14:textId="77777777" w:rsidR="007E2E38" w:rsidRPr="00691448" w:rsidRDefault="007E2E38" w:rsidP="007E2E38">
      <w:pPr>
        <w:spacing w:line="256" w:lineRule="auto"/>
        <w:rPr>
          <w:rFonts w:eastAsia="Calibri"/>
          <w:b/>
          <w:bCs/>
          <w:highlight w:val="magenta"/>
          <w:u w:val="single"/>
        </w:rPr>
      </w:pPr>
      <w:r w:rsidRPr="00691448">
        <w:rPr>
          <w:rFonts w:eastAsia="Calibri"/>
          <w:b/>
          <w:bCs/>
          <w:highlight w:val="magenta"/>
          <w:u w:val="single"/>
        </w:rPr>
        <w:t xml:space="preserve">During the past year, however, the narrative around Mag-Moss has changed dramatically as the FTC has sought new ways to obtain monetary relief and strengthen its hand in privacy. In March 2021, the FTC formed a task force designed to identify possible candidate for Mag-Moss rulemaking, acknowledging its “bad reputation” but touting its capacity to deter harms through market-wide rules and civil penalties. Then in July, the FTC (by 3-2 vote) announced changes to its internal rules, stating that the changes would “streamline” the Mag-Moss rulemaking process, remove “decades of self-imposed red tape,” and allow the FTC to issue “timely rules” on a wide range of issues, particularly </w:t>
      </w:r>
      <w:proofErr w:type="gramStart"/>
      <w:r w:rsidRPr="00691448">
        <w:rPr>
          <w:rFonts w:eastAsia="Calibri"/>
          <w:b/>
          <w:bCs/>
          <w:highlight w:val="magenta"/>
          <w:u w:val="single"/>
        </w:rPr>
        <w:t>in the area of</w:t>
      </w:r>
      <w:proofErr w:type="gramEnd"/>
      <w:r w:rsidRPr="00691448">
        <w:rPr>
          <w:rFonts w:eastAsia="Calibri"/>
          <w:b/>
          <w:bCs/>
          <w:highlight w:val="magenta"/>
          <w:u w:val="single"/>
        </w:rPr>
        <w:t xml:space="preserve"> privacy.</w:t>
      </w:r>
    </w:p>
    <w:p w14:paraId="7D5EA7FC" w14:textId="77777777" w:rsidR="007E2E38" w:rsidRDefault="007E2E38" w:rsidP="007E2E38">
      <w:pPr>
        <w:spacing w:line="256" w:lineRule="auto"/>
        <w:rPr>
          <w:rFonts w:eastAsia="Calibri"/>
          <w:sz w:val="16"/>
          <w:szCs w:val="16"/>
        </w:rPr>
      </w:pPr>
      <w:r w:rsidRPr="00691448">
        <w:rPr>
          <w:rFonts w:eastAsia="Calibri"/>
          <w:b/>
          <w:bCs/>
          <w:highlight w:val="magenta"/>
          <w:u w:val="single"/>
        </w:rPr>
        <w:t>One week later, the President’s Executive Order on Competition encouraged the FTC to issue a rule to address “unfair data collection and surveillance practices” – a call soon echoed in letters from Congress and consumer advocates. Then, on December 9, following a series of policy statements extolling the virtues of rulemaking vs. “whack-a-mole” enforcement, Chair Khan released an ambitious plan to launch multiple Mag-Moss rulemakings to “define with specificity” unfair or deceptive practices – including a range of “abuses stemming from surveillance-based business models.” (Khan also called for multiple rules to define “unfair methods of competition” – an equally bold and controversial move that implicates another part of the FTC Act.)</w:t>
      </w:r>
    </w:p>
    <w:p w14:paraId="335F5D11" w14:textId="77777777" w:rsidR="007E2E38" w:rsidRDefault="007E2E38" w:rsidP="007E2E38">
      <w:pPr>
        <w:spacing w:line="256" w:lineRule="auto"/>
        <w:rPr>
          <w:rFonts w:eastAsia="Calibri"/>
          <w:sz w:val="16"/>
          <w:szCs w:val="16"/>
        </w:rPr>
      </w:pPr>
      <w:r>
        <w:rPr>
          <w:rFonts w:eastAsia="Calibri"/>
          <w:sz w:val="16"/>
          <w:szCs w:val="16"/>
        </w:rPr>
        <w:t xml:space="preserve">Presto! </w:t>
      </w:r>
      <w:r w:rsidRPr="00691448">
        <w:rPr>
          <w:rFonts w:eastAsia="Calibri"/>
          <w:b/>
          <w:bCs/>
          <w:highlight w:val="magenta"/>
          <w:u w:val="single"/>
        </w:rPr>
        <w:t>In just eight short months of (seemingly lockstep) messaging, the counter-narrative was complete: Mag-Moss rulemaking (lots of it) will enable the FTC to stop industry-wide harms, obtain penalties in a wide range of areas, and regain its leadership on privacy</w:t>
      </w:r>
      <w:r w:rsidRPr="00691448">
        <w:rPr>
          <w:rFonts w:eastAsia="Calibri"/>
        </w:rPr>
        <w:t>.</w:t>
      </w:r>
    </w:p>
    <w:p w14:paraId="6C822C04" w14:textId="77777777" w:rsidR="007E2E38" w:rsidRDefault="007E2E38" w:rsidP="007E2E38">
      <w:pPr>
        <w:spacing w:line="256" w:lineRule="auto"/>
        <w:rPr>
          <w:rFonts w:eastAsia="Calibri"/>
          <w:u w:val="single"/>
        </w:rPr>
      </w:pPr>
      <w:r>
        <w:rPr>
          <w:rFonts w:eastAsia="Calibri"/>
          <w:u w:val="single"/>
        </w:rPr>
        <w:t xml:space="preserve">The Many Steps in the Mag-Moss Rulemaking Process   </w:t>
      </w:r>
    </w:p>
    <w:p w14:paraId="58DF834C" w14:textId="77777777" w:rsidR="007E2E38" w:rsidRDefault="007E2E38" w:rsidP="007E2E38">
      <w:pPr>
        <w:spacing w:line="256" w:lineRule="auto"/>
        <w:rPr>
          <w:rFonts w:eastAsia="Calibri"/>
          <w:sz w:val="16"/>
          <w:szCs w:val="16"/>
        </w:rPr>
      </w:pPr>
      <w:r>
        <w:rPr>
          <w:rFonts w:eastAsia="Calibri"/>
          <w:sz w:val="16"/>
          <w:szCs w:val="16"/>
        </w:rPr>
        <w:t xml:space="preserve">Now comes the hard part – </w:t>
      </w:r>
      <w:proofErr w:type="gramStart"/>
      <w:r>
        <w:rPr>
          <w:rFonts w:eastAsia="Calibri"/>
          <w:sz w:val="16"/>
          <w:szCs w:val="16"/>
        </w:rPr>
        <w:t>actually developing</w:t>
      </w:r>
      <w:proofErr w:type="gramEnd"/>
      <w:r>
        <w:rPr>
          <w:rFonts w:eastAsia="Calibri"/>
          <w:sz w:val="16"/>
          <w:szCs w:val="16"/>
        </w:rPr>
        <w:t xml:space="preserve"> these rules in the “timely” way that’s been promised. Of significance, Mag-Moss requires the FTC to prove that any practice it seeks to regulate is unfair or deceptive under the FTC Act – i.e., it doesn’t expand the FTC’s ability to reach conduct it can’t already reach in its enforcement actions. Here are the statutory requirements in greater detail:</w:t>
      </w:r>
    </w:p>
    <w:p w14:paraId="11BCDF64" w14:textId="77777777" w:rsidR="007E2E38" w:rsidRDefault="007E2E38" w:rsidP="007E2E38">
      <w:pPr>
        <w:ind w:left="720"/>
        <w:rPr>
          <w:rFonts w:eastAsia="Calibri"/>
          <w:sz w:val="16"/>
          <w:szCs w:val="16"/>
        </w:rPr>
      </w:pPr>
      <w:r>
        <w:rPr>
          <w:rFonts w:eastAsia="Calibri"/>
          <w:sz w:val="16"/>
          <w:szCs w:val="16"/>
        </w:rPr>
        <w:lastRenderedPageBreak/>
        <w:t>1.</w:t>
      </w:r>
      <w:r>
        <w:rPr>
          <w:rFonts w:ascii="Times New Roman" w:eastAsia="Times New Roman" w:hAnsi="Times New Roman" w:cs="Times New Roman"/>
          <w:sz w:val="14"/>
          <w:szCs w:val="14"/>
        </w:rPr>
        <w:t xml:space="preserve">      </w:t>
      </w:r>
      <w:r>
        <w:rPr>
          <w:rFonts w:eastAsia="Calibri"/>
          <w:u w:val="single"/>
        </w:rPr>
        <w:t>FTC publishes Advanced Notice of Proposed Rulemaking (ANPR) for public comment.</w:t>
      </w:r>
      <w:r>
        <w:rPr>
          <w:rFonts w:eastAsia="Calibri"/>
          <w:sz w:val="16"/>
          <w:szCs w:val="16"/>
        </w:rPr>
        <w:t xml:space="preserve"> ANPR must detail FTC’s area of focus </w:t>
      </w:r>
      <w:r>
        <w:rPr>
          <w:rFonts w:eastAsia="Calibri"/>
          <w:u w:val="single"/>
        </w:rPr>
        <w:t>and</w:t>
      </w:r>
      <w:r>
        <w:rPr>
          <w:rFonts w:eastAsia="Calibri"/>
          <w:sz w:val="16"/>
          <w:szCs w:val="16"/>
        </w:rPr>
        <w:t xml:space="preserve"> objectives, as well as possible regulatory alternatives. Thirty days prior to publication, FTC must send copies to its Congressional oversight committees.</w:t>
      </w:r>
    </w:p>
    <w:p w14:paraId="15D2BE92" w14:textId="77777777" w:rsidR="007E2E38" w:rsidRDefault="007E2E38" w:rsidP="007E2E38">
      <w:pPr>
        <w:ind w:left="720"/>
        <w:rPr>
          <w:rFonts w:eastAsia="Calibri"/>
          <w:sz w:val="16"/>
          <w:szCs w:val="16"/>
        </w:rPr>
      </w:pPr>
      <w:r>
        <w:rPr>
          <w:rFonts w:eastAsia="Calibri"/>
          <w:sz w:val="16"/>
          <w:szCs w:val="16"/>
        </w:rPr>
        <w:t>2.</w:t>
      </w:r>
      <w:r>
        <w:rPr>
          <w:rFonts w:ascii="Times New Roman" w:eastAsia="Times New Roman" w:hAnsi="Times New Roman" w:cs="Times New Roman"/>
          <w:sz w:val="14"/>
          <w:szCs w:val="14"/>
        </w:rPr>
        <w:t xml:space="preserve">      </w:t>
      </w:r>
      <w:r>
        <w:rPr>
          <w:rFonts w:eastAsia="Calibri"/>
          <w:u w:val="single"/>
        </w:rPr>
        <w:t xml:space="preserve">FTC publishes Notice of </w:t>
      </w:r>
      <w:r>
        <w:rPr>
          <w:rFonts w:eastAsia="Calibri"/>
          <w:highlight w:val="cyan"/>
          <w:u w:val="single"/>
        </w:rPr>
        <w:t>Proposed Rule</w:t>
      </w:r>
      <w:r>
        <w:rPr>
          <w:rFonts w:eastAsia="Calibri"/>
          <w:u w:val="single"/>
        </w:rPr>
        <w:t>making (NPR) seeking public comment</w:t>
      </w:r>
      <w:r>
        <w:rPr>
          <w:rFonts w:eastAsia="Calibri"/>
          <w:sz w:val="16"/>
          <w:szCs w:val="16"/>
        </w:rPr>
        <w:t xml:space="preserve">. NPR must set forth the rule text, reasons supporting it, any alternatives, </w:t>
      </w:r>
      <w:r>
        <w:rPr>
          <w:rFonts w:eastAsia="Calibri"/>
          <w:u w:val="single"/>
        </w:rPr>
        <w:t>and</w:t>
      </w:r>
      <w:r>
        <w:rPr>
          <w:rFonts w:eastAsia="Calibri"/>
          <w:sz w:val="16"/>
          <w:szCs w:val="16"/>
        </w:rPr>
        <w:t xml:space="preserve"> a preliminary regulatory analysis assessing the costs and benefits of the proposal and alternatives. At the time of publication, FTC must have reason to believe (in the form of FTC cease and desist orders or other evidence of widespread conduct) that the practices are prevalent. FTC must make all comments public.</w:t>
      </w:r>
    </w:p>
    <w:p w14:paraId="50E5A634" w14:textId="77777777" w:rsidR="007E2E38" w:rsidRDefault="007E2E38" w:rsidP="007E2E38">
      <w:pPr>
        <w:ind w:left="720"/>
        <w:rPr>
          <w:rFonts w:eastAsia="Calibri"/>
          <w:sz w:val="16"/>
          <w:szCs w:val="16"/>
        </w:rPr>
      </w:pPr>
      <w:r>
        <w:rPr>
          <w:rFonts w:eastAsia="Calibri"/>
          <w:sz w:val="16"/>
          <w:szCs w:val="16"/>
        </w:rPr>
        <w:t>3.</w:t>
      </w:r>
      <w:r>
        <w:rPr>
          <w:rFonts w:ascii="Times New Roman" w:eastAsia="Times New Roman" w:hAnsi="Times New Roman" w:cs="Times New Roman"/>
          <w:sz w:val="14"/>
          <w:szCs w:val="14"/>
        </w:rPr>
        <w:t xml:space="preserve">      </w:t>
      </w:r>
      <w:r>
        <w:rPr>
          <w:rFonts w:eastAsia="Calibri"/>
          <w:u w:val="single"/>
        </w:rPr>
        <w:t xml:space="preserve">Informal </w:t>
      </w:r>
      <w:r>
        <w:rPr>
          <w:rFonts w:eastAsia="Calibri"/>
          <w:highlight w:val="cyan"/>
          <w:u w:val="single"/>
        </w:rPr>
        <w:t>hearings</w:t>
      </w:r>
      <w:r>
        <w:rPr>
          <w:rFonts w:eastAsia="Calibri"/>
          <w:sz w:val="16"/>
          <w:szCs w:val="16"/>
        </w:rPr>
        <w:t xml:space="preserve">. Any interested person may seek a hearing </w:t>
      </w:r>
      <w:r>
        <w:rPr>
          <w:rFonts w:eastAsia="Calibri"/>
          <w:u w:val="single"/>
        </w:rPr>
        <w:t>and</w:t>
      </w:r>
      <w:r>
        <w:rPr>
          <w:rFonts w:eastAsia="Calibri"/>
          <w:sz w:val="16"/>
          <w:szCs w:val="16"/>
        </w:rPr>
        <w:t xml:space="preserve"> present views. If FTC determines there are disputed issues, it must allow participants to submit rebuttal information and cross-examine other persons. (FTC may impose limits on this process but such limits are a basis for court review and reversal – see below.) A presiding officer shall make recommendations as to all relevant and material evidence.</w:t>
      </w:r>
    </w:p>
    <w:p w14:paraId="1525F774" w14:textId="77777777" w:rsidR="007E2E38" w:rsidRDefault="007E2E38" w:rsidP="007E2E38">
      <w:pPr>
        <w:ind w:left="720"/>
        <w:rPr>
          <w:rFonts w:eastAsia="Calibri"/>
          <w:sz w:val="16"/>
          <w:szCs w:val="16"/>
        </w:rPr>
      </w:pPr>
      <w:r>
        <w:rPr>
          <w:rFonts w:eastAsia="Calibri"/>
          <w:sz w:val="16"/>
          <w:szCs w:val="16"/>
        </w:rPr>
        <w:t>4.</w:t>
      </w:r>
      <w:r>
        <w:rPr>
          <w:rFonts w:ascii="Times New Roman" w:eastAsia="Times New Roman" w:hAnsi="Times New Roman" w:cs="Times New Roman"/>
          <w:sz w:val="14"/>
          <w:szCs w:val="14"/>
        </w:rPr>
        <w:t xml:space="preserve">      </w:t>
      </w:r>
      <w:r>
        <w:rPr>
          <w:rFonts w:eastAsia="Calibri"/>
          <w:u w:val="single"/>
        </w:rPr>
        <w:t xml:space="preserve">FTC publishes </w:t>
      </w:r>
      <w:r>
        <w:rPr>
          <w:rFonts w:eastAsia="Calibri"/>
          <w:highlight w:val="cyan"/>
          <w:u w:val="single"/>
        </w:rPr>
        <w:t>Final Rule</w:t>
      </w:r>
      <w:r>
        <w:rPr>
          <w:rFonts w:eastAsia="Calibri"/>
          <w:sz w:val="16"/>
          <w:szCs w:val="16"/>
        </w:rPr>
        <w:t xml:space="preserve">. Rule must be accompanied by a Statement of Basis and Purpose detailing (1) the prevalence of the practices (2) how they are unfair or deceptive, </w:t>
      </w:r>
      <w:r>
        <w:rPr>
          <w:rFonts w:eastAsia="Calibri"/>
          <w:u w:val="single"/>
        </w:rPr>
        <w:t>and</w:t>
      </w:r>
      <w:r>
        <w:rPr>
          <w:rFonts w:eastAsia="Calibri"/>
          <w:sz w:val="16"/>
          <w:szCs w:val="16"/>
        </w:rPr>
        <w:t xml:space="preserve"> (3) the economic effect of the rule. Final regulatory analysis must assess the rule’s costs and benefits and why it was chosen over alternatives. Any person may petition FTC for exemption from the rule.</w:t>
      </w:r>
    </w:p>
    <w:p w14:paraId="6C92D975" w14:textId="77777777" w:rsidR="007E2E38" w:rsidRDefault="007E2E38" w:rsidP="007E2E38">
      <w:pPr>
        <w:ind w:left="720"/>
        <w:rPr>
          <w:rFonts w:eastAsia="Calibri"/>
          <w:sz w:val="16"/>
          <w:szCs w:val="16"/>
        </w:rPr>
      </w:pPr>
      <w:r>
        <w:rPr>
          <w:rFonts w:eastAsia="Calibri"/>
          <w:sz w:val="16"/>
          <w:szCs w:val="16"/>
        </w:rPr>
        <w:t>5.</w:t>
      </w:r>
      <w:r>
        <w:rPr>
          <w:rFonts w:ascii="Times New Roman" w:eastAsia="Times New Roman" w:hAnsi="Times New Roman" w:cs="Times New Roman"/>
          <w:sz w:val="14"/>
          <w:szCs w:val="14"/>
        </w:rPr>
        <w:t xml:space="preserve">      </w:t>
      </w:r>
      <w:r>
        <w:rPr>
          <w:rFonts w:eastAsia="Calibri"/>
          <w:highlight w:val="cyan"/>
          <w:u w:val="single"/>
        </w:rPr>
        <w:t>Judicial review</w:t>
      </w:r>
      <w:r>
        <w:rPr>
          <w:rFonts w:eastAsia="Calibri"/>
          <w:sz w:val="16"/>
          <w:szCs w:val="16"/>
        </w:rPr>
        <w:t xml:space="preserve">. Any person may seek review (in the D.C. Court of Appeals) within 60 days of promulgation. In addition to normal grounds for review under the APA, the court may (1) direct FTC to consider additional submissions (2) set aside the rule if it’s not supported by “substantial evidence” (a markedly different standard than “arbitrary </w:t>
      </w:r>
      <w:r>
        <w:rPr>
          <w:rFonts w:eastAsia="Calibri"/>
          <w:highlight w:val="cyan"/>
          <w:u w:val="single"/>
        </w:rPr>
        <w:t>and</w:t>
      </w:r>
      <w:r>
        <w:rPr>
          <w:rFonts w:eastAsia="Calibri"/>
          <w:sz w:val="16"/>
          <w:szCs w:val="16"/>
        </w:rPr>
        <w:t xml:space="preserve"> capricious”) (3) set aside the rule if FTC’s limits on rebuttal or cross examination precluded disclosure of material facts. Court decisions are final, subject only to Supreme Court review.</w:t>
      </w:r>
    </w:p>
    <w:p w14:paraId="58AD3FCF" w14:textId="77777777" w:rsidR="007E2E38" w:rsidRDefault="007E2E38" w:rsidP="007E2E38">
      <w:pPr>
        <w:ind w:left="720"/>
        <w:rPr>
          <w:rFonts w:eastAsia="Calibri"/>
          <w:sz w:val="16"/>
          <w:szCs w:val="16"/>
        </w:rPr>
      </w:pPr>
      <w:r>
        <w:rPr>
          <w:rFonts w:eastAsia="Calibri"/>
          <w:sz w:val="16"/>
          <w:szCs w:val="16"/>
        </w:rPr>
        <w:t>6.</w:t>
      </w:r>
      <w:r>
        <w:rPr>
          <w:rFonts w:ascii="Times New Roman" w:eastAsia="Times New Roman" w:hAnsi="Times New Roman" w:cs="Times New Roman"/>
          <w:sz w:val="14"/>
          <w:szCs w:val="14"/>
        </w:rPr>
        <w:t xml:space="preserve">      </w:t>
      </w:r>
      <w:r>
        <w:rPr>
          <w:rFonts w:eastAsia="Calibri"/>
          <w:u w:val="single"/>
        </w:rPr>
        <w:t xml:space="preserve">Rule </w:t>
      </w:r>
      <w:r>
        <w:rPr>
          <w:rFonts w:eastAsia="Calibri"/>
          <w:highlight w:val="cyan"/>
          <w:u w:val="single"/>
        </w:rPr>
        <w:t>enforcement</w:t>
      </w:r>
      <w:r>
        <w:rPr>
          <w:rFonts w:eastAsia="Calibri"/>
          <w:sz w:val="16"/>
          <w:szCs w:val="16"/>
        </w:rPr>
        <w:t>. When enforcing rules, FTC may seek penalties (now up to $46,517 per violation) and/or consumer redress in federal district court. However, to get penalties, FTC must show the defendant violated the rule with “actual knowledge or knowledge fairly implied,” and must refer the case to DOJ for review and filing.</w:t>
      </w:r>
    </w:p>
    <w:p w14:paraId="40956985" w14:textId="371CFB32" w:rsidR="00C82E65" w:rsidRDefault="00827A73" w:rsidP="00827A73">
      <w:pPr>
        <w:pStyle w:val="Heading4"/>
      </w:pPr>
      <w:r>
        <w:t>4---</w:t>
      </w:r>
      <w:r w:rsidR="00BE467B">
        <w:t>1NC Shepard is a college history sophomore</w:t>
      </w:r>
      <w:r w:rsidR="00A840A4">
        <w:t xml:space="preserve"> asserting random stuff</w:t>
      </w:r>
      <w:r w:rsidR="00BE467B">
        <w:t>.</w:t>
      </w:r>
      <w:r w:rsidR="00011C50">
        <w:t xml:space="preserve"> Not authoritative</w:t>
      </w:r>
      <w:r w:rsidR="00CB6BD8">
        <w:t xml:space="preserve"> and no warrants for yes lobbying right now</w:t>
      </w:r>
      <w:r w:rsidR="006B075F">
        <w:t xml:space="preserve">, 1NC NSCL contradicts it because it’s about </w:t>
      </w:r>
      <w:r w:rsidR="00E02B8D">
        <w:t>regulating lobbying</w:t>
      </w:r>
    </w:p>
    <w:p w14:paraId="3FD57E89" w14:textId="58121190" w:rsidR="007E2E38" w:rsidRDefault="00C82E65" w:rsidP="00915461">
      <w:pPr>
        <w:pStyle w:val="Heading4"/>
      </w:pPr>
      <w:r w:rsidRPr="000D64A6">
        <w:t xml:space="preserve">5---1NC Shepard </w:t>
      </w:r>
      <w:r w:rsidR="000D64A6" w:rsidRPr="000D64A6">
        <w:t xml:space="preserve">concedes </w:t>
      </w:r>
      <w:r w:rsidRPr="000D64A6">
        <w:t xml:space="preserve">Wire Act still regulates interstate sports betting at the federal level. This shows federal regulation of gambling </w:t>
      </w:r>
      <w:r w:rsidR="00537EE7">
        <w:t>still works</w:t>
      </w:r>
      <w:r w:rsidR="000D64A6">
        <w:t>.</w:t>
      </w:r>
    </w:p>
    <w:p w14:paraId="38D57CB6" w14:textId="60E0D3A3" w:rsidR="00600072" w:rsidRPr="00600072" w:rsidRDefault="00600072" w:rsidP="00600072">
      <w:r>
        <w:t xml:space="preserve">&lt;&lt;&lt;inserted for </w:t>
      </w:r>
      <w:r w:rsidRPr="00055B33">
        <w:rPr>
          <w:highlight w:val="magenta"/>
        </w:rPr>
        <w:t>reference</w:t>
      </w:r>
      <w:r>
        <w:t>&gt;&gt;&gt;</w:t>
      </w:r>
    </w:p>
    <w:p w14:paraId="5229E7B1" w14:textId="77777777" w:rsidR="00300099" w:rsidRDefault="00300099" w:rsidP="00300099">
      <w:pPr>
        <w:rPr>
          <w:rFonts w:eastAsia="Calibri"/>
        </w:rPr>
      </w:pPr>
      <w:r>
        <w:rPr>
          <w:rFonts w:eastAsia="Calibri"/>
        </w:rPr>
        <w:t xml:space="preserve">Joe </w:t>
      </w:r>
      <w:r>
        <w:rPr>
          <w:rFonts w:eastAsia="Calibri"/>
          <w:b/>
          <w:bCs/>
          <w:sz w:val="26"/>
          <w:szCs w:val="26"/>
        </w:rPr>
        <w:t>Shepard 25</w:t>
      </w:r>
      <w:r>
        <w:rPr>
          <w:rFonts w:eastAsia="Calibri"/>
        </w:rPr>
        <w:t xml:space="preserve">. Second-year student at Cornell Law School, BA in History. 11/9/2025. "Sports Gambling: The Problem and Potential Solutions." Cornell Journal of Law and Public Policy. https://publications.lawschool.cornell.edu/jlpp/2025/11/09/sports-gambling-the-problem-and-potential-solutions/. </w:t>
      </w:r>
      <w:proofErr w:type="spellStart"/>
      <w:r>
        <w:rPr>
          <w:rFonts w:eastAsia="Calibri"/>
        </w:rPr>
        <w:t>tristan</w:t>
      </w:r>
      <w:proofErr w:type="spellEnd"/>
    </w:p>
    <w:p w14:paraId="2CAA4586" w14:textId="77777777" w:rsidR="00300099" w:rsidRDefault="00300099" w:rsidP="00300099">
      <w:pPr>
        <w:rPr>
          <w:rFonts w:eastAsia="Calibri"/>
          <w:sz w:val="16"/>
          <w:szCs w:val="16"/>
        </w:rPr>
      </w:pPr>
      <w:r>
        <w:rPr>
          <w:rFonts w:eastAsia="Calibri"/>
          <w:sz w:val="16"/>
          <w:szCs w:val="16"/>
        </w:rPr>
        <w:t xml:space="preserve">The decision by states to legalize gambling has been driven by a few powerful incentives. States themselves stand to benefit from increased tax revenue. While differences in state tax schemes have resulted in wildly varying gains, the potential exists for significant revenue to be generated </w:t>
      </w:r>
      <w:proofErr w:type="gramStart"/>
      <w:r>
        <w:rPr>
          <w:rFonts w:eastAsia="Calibri"/>
          <w:sz w:val="16"/>
          <w:szCs w:val="16"/>
        </w:rPr>
        <w:t>as a result of</w:t>
      </w:r>
      <w:proofErr w:type="gramEnd"/>
      <w:r>
        <w:rPr>
          <w:rFonts w:eastAsia="Calibri"/>
          <w:sz w:val="16"/>
          <w:szCs w:val="16"/>
        </w:rPr>
        <w:t xml:space="preserve"> legalization and high tax rates. Likewise, </w:t>
      </w:r>
      <w:r>
        <w:rPr>
          <w:rFonts w:eastAsia="Calibri"/>
          <w:highlight w:val="green"/>
          <w:u w:val="single"/>
        </w:rPr>
        <w:t>sportsbooks</w:t>
      </w:r>
      <w:r>
        <w:rPr>
          <w:rFonts w:eastAsia="Calibri"/>
          <w:sz w:val="16"/>
          <w:szCs w:val="16"/>
        </w:rPr>
        <w:t>—</w:t>
      </w:r>
      <w:r>
        <w:rPr>
          <w:rFonts w:eastAsia="Calibri"/>
          <w:highlight w:val="green"/>
          <w:u w:val="single"/>
        </w:rPr>
        <w:t xml:space="preserve">seeking to </w:t>
      </w:r>
      <w:r>
        <w:rPr>
          <w:rFonts w:eastAsia="Calibri"/>
          <w:b/>
          <w:bCs/>
          <w:highlight w:val="green"/>
          <w:u w:val="single"/>
        </w:rPr>
        <w:t>expand</w:t>
      </w:r>
      <w:r>
        <w:rPr>
          <w:rFonts w:eastAsia="Calibri"/>
          <w:u w:val="single"/>
        </w:rPr>
        <w:t xml:space="preserve"> the </w:t>
      </w:r>
      <w:r>
        <w:rPr>
          <w:rFonts w:eastAsia="Calibri"/>
          <w:highlight w:val="green"/>
          <w:u w:val="single"/>
        </w:rPr>
        <w:t>betting market</w:t>
      </w:r>
      <w:r>
        <w:rPr>
          <w:rFonts w:eastAsia="Calibri"/>
          <w:sz w:val="16"/>
          <w:szCs w:val="16"/>
        </w:rPr>
        <w:t>—</w:t>
      </w:r>
      <w:r>
        <w:rPr>
          <w:rFonts w:eastAsia="Calibri"/>
          <w:u w:val="single"/>
        </w:rPr>
        <w:t xml:space="preserve">have </w:t>
      </w:r>
      <w:r>
        <w:rPr>
          <w:rFonts w:eastAsia="Calibri"/>
          <w:highlight w:val="green"/>
          <w:u w:val="single"/>
        </w:rPr>
        <w:t xml:space="preserve">used </w:t>
      </w:r>
      <w:r>
        <w:rPr>
          <w:rFonts w:eastAsia="Calibri"/>
          <w:b/>
          <w:bCs/>
          <w:highlight w:val="green"/>
          <w:u w:val="single"/>
        </w:rPr>
        <w:t>powerful lobbying</w:t>
      </w:r>
      <w:r>
        <w:rPr>
          <w:rFonts w:eastAsia="Calibri"/>
          <w:b/>
          <w:bCs/>
          <w:u w:val="single"/>
        </w:rPr>
        <w:t xml:space="preserve"> tactics</w:t>
      </w:r>
      <w:r>
        <w:rPr>
          <w:rFonts w:eastAsia="Calibri"/>
          <w:u w:val="single"/>
        </w:rPr>
        <w:t xml:space="preserve"> </w:t>
      </w:r>
      <w:r>
        <w:rPr>
          <w:rFonts w:eastAsia="Calibri"/>
          <w:highlight w:val="green"/>
          <w:u w:val="single"/>
        </w:rPr>
        <w:t>to influence politicians</w:t>
      </w:r>
      <w:r>
        <w:rPr>
          <w:rFonts w:eastAsia="Calibri"/>
          <w:sz w:val="16"/>
          <w:szCs w:val="16"/>
        </w:rPr>
        <w:t>. Finally, while public opinion on sports betting has soured over time, a significant appetite for gambling remains, and many consumers are able to gamble responsibly.</w:t>
      </w:r>
    </w:p>
    <w:p w14:paraId="1B39DF74" w14:textId="77777777" w:rsidR="00300099" w:rsidRDefault="00300099" w:rsidP="00300099">
      <w:pPr>
        <w:rPr>
          <w:rFonts w:eastAsia="Calibri"/>
          <w:sz w:val="16"/>
          <w:szCs w:val="16"/>
        </w:rPr>
      </w:pPr>
      <w:r>
        <w:rPr>
          <w:rFonts w:eastAsia="Calibri"/>
          <w:sz w:val="16"/>
          <w:szCs w:val="16"/>
        </w:rPr>
        <w:t>&lt;&lt;TEXT CONDENSED, NONE OMMITTED&gt;&gt;</w:t>
      </w:r>
    </w:p>
    <w:p w14:paraId="163E1A58" w14:textId="77777777" w:rsidR="00300099" w:rsidRDefault="00300099" w:rsidP="00300099">
      <w:pPr>
        <w:rPr>
          <w:rFonts w:eastAsia="Calibri"/>
          <w:sz w:val="8"/>
          <w:szCs w:val="8"/>
        </w:rPr>
      </w:pPr>
      <w:r>
        <w:rPr>
          <w:rFonts w:eastAsia="Calibri"/>
          <w:sz w:val="8"/>
          <w:szCs w:val="8"/>
        </w:rPr>
        <w:t xml:space="preserve">Despite the recent legalization and expansion of sports betting, it has been the focus of extensive opposition and criticism. Betting has been linked to online harassment of athletes, for example. Stars like Jalen Brunson and Josh Hart of the New York Knicks have commented on the extensive abuse they receive via social media, including death threats, racial slurs, and requests for money from angry bettors. Also concerning to opponents is sports betting’s potential to cause or facilitate gambling addiction. Sports betting, especially when done online, poses an incredible risk because of its combination of high accessibility and large economic costs. The harm caused by addiction is devastating and has already been used as a central argument against legal sports betting. Of specific concern to sports fans, however, is the cost that gambling has imposed on the legitimacy and culture of American sports. Betting scandals have long been a part of sports. However, the rise of legal betting has recently created unprecedented tension between fans, players, and leagues. Take the National Football League (NFL), which historically maintained a firm stance against any appearance of corruption from betting. Following Murphy, the NFL abruptly softened its attitude. Starting in 2018, the NFL allowed its players, previously banned from participating in any sports betting, to bet on non-NFL games. In 2021, the NFL even announced direct partnerships with sportsbooks. Yet, despite the increasingly lax attitude adopted by the league, suspensions for gambling—once a rare occurrence—have become relatively common. Other leagues have dealt with similar issues. The defining scandal of the post-Murphy era involved a relatively unknown basketball player, Jontay Porter. Following an investigation by the National Basketball Association (NBA), Porter was accused of betting against his team and of intentionally underperforming by feigning an injury and leaving a game. In January 2025, Porter pled guilty to a federal charge of conspiracy to commit wire fraud. It is important to note that players recently subjected to bans and, in Porter’s case, arrest, were likely caught precisely because of the change in the betting landscape. Major sports leagues, including the NBA, actively monitor online betting </w:t>
      </w:r>
      <w:proofErr w:type="gramStart"/>
      <w:r>
        <w:rPr>
          <w:rFonts w:eastAsia="Calibri"/>
          <w:sz w:val="8"/>
          <w:szCs w:val="8"/>
        </w:rPr>
        <w:t>in order to</w:t>
      </w:r>
      <w:proofErr w:type="gramEnd"/>
      <w:r>
        <w:rPr>
          <w:rFonts w:eastAsia="Calibri"/>
          <w:sz w:val="8"/>
          <w:szCs w:val="8"/>
        </w:rPr>
        <w:t xml:space="preserve"> flag suspicious activity and conduct investigations. This level of enforcement would not be possible if bets were placed, as used to be the case, illegally with underground bookies. Indeed, NBA Commissioner Adam Silver made this argument back in 2014, well before the landscape that exists today had begun to form. However, from a fan perspective, the benefit created by more efficient and effective monitoring and punishment for players and conspirators simply cannot outpace the institutional harm caused by the normalization and promotion of betting by leagues. Punishment of gambling violations only serves to cement in the mind of fans the potential for manipulation, and when the punishment comes from the same officials who make deals with sportsbooks and allow betting in stadiums, it appears </w:t>
      </w:r>
      <w:r>
        <w:rPr>
          <w:rFonts w:eastAsia="Calibri"/>
          <w:sz w:val="8"/>
          <w:szCs w:val="8"/>
        </w:rPr>
        <w:lastRenderedPageBreak/>
        <w:t xml:space="preserve">hypocritical. Likewise, the earning potential created by sports betting has begun to creep into the presentation of sports themselves. In an environment without pervasive gambling, sports leagues focus on selling the sport itself as a product. They sell this product through exciting action and the meaning attached to specific teams, rivalries, and players. With the introduction of significant financial incentives for leagues from gambling revenue, the product they sell has increasingly become the possibility of individual financial gain (which, of course, most bettors will not actually achieve). In this sense, leagues are now marketing an individual, rather than collective, experience. Thus, legalized sports betting is not just an important public health risk; it also undermines the fundamental fan experience that has </w:t>
      </w:r>
      <w:proofErr w:type="gramStart"/>
      <w:r>
        <w:rPr>
          <w:rFonts w:eastAsia="Calibri"/>
          <w:sz w:val="8"/>
          <w:szCs w:val="8"/>
        </w:rPr>
        <w:t>made sports</w:t>
      </w:r>
      <w:proofErr w:type="gramEnd"/>
      <w:r>
        <w:rPr>
          <w:rFonts w:eastAsia="Calibri"/>
          <w:sz w:val="8"/>
          <w:szCs w:val="8"/>
        </w:rPr>
        <w:t xml:space="preserve"> so popular in the first place. As a result of these costs, it is time for a legal challenge to sports betting.</w:t>
      </w:r>
    </w:p>
    <w:p w14:paraId="67855418" w14:textId="77777777" w:rsidR="00300099" w:rsidRDefault="00300099" w:rsidP="00300099">
      <w:pPr>
        <w:rPr>
          <w:rFonts w:eastAsia="Calibri"/>
          <w:sz w:val="16"/>
          <w:szCs w:val="16"/>
        </w:rPr>
      </w:pPr>
      <w:r>
        <w:rPr>
          <w:rFonts w:eastAsia="Calibri"/>
          <w:sz w:val="16"/>
          <w:szCs w:val="16"/>
        </w:rPr>
        <w:t>&lt;&lt;PARAGRAPH BREAKS RESUME&gt;&gt;</w:t>
      </w:r>
    </w:p>
    <w:p w14:paraId="00F80A6B" w14:textId="77777777" w:rsidR="00300099" w:rsidRDefault="00300099" w:rsidP="00300099">
      <w:pPr>
        <w:rPr>
          <w:rFonts w:eastAsia="Calibri"/>
          <w:sz w:val="16"/>
          <w:szCs w:val="16"/>
        </w:rPr>
      </w:pPr>
      <w:r>
        <w:rPr>
          <w:rFonts w:eastAsia="Calibri"/>
          <w:sz w:val="16"/>
          <w:szCs w:val="16"/>
        </w:rPr>
        <w:t xml:space="preserve">Existing scholarship has extensively covered the potential role of the law in directly regulating the sports betting market to make it more efficient. Writers have uniformly noted the need for more consistency between states to address inefficiencies created by the many existing regulatory regimes, which are unique to individual states. The obvious answer to this problem is </w:t>
      </w:r>
      <w:r>
        <w:rPr>
          <w:rFonts w:eastAsia="Calibri"/>
          <w:highlight w:val="green"/>
          <w:u w:val="single"/>
        </w:rPr>
        <w:t>federal</w:t>
      </w:r>
      <w:r>
        <w:rPr>
          <w:rFonts w:eastAsia="Calibri"/>
          <w:sz w:val="16"/>
          <w:szCs w:val="16"/>
        </w:rPr>
        <w:t xml:space="preserve"> legislation. While Murphy invalidated PASPA’s prohibition on state-level legislation, the court specifically noted that Congress could regulate sports betting directly if it wished to do so, presumably using the Commerce Clause. And Congress in fact still regulates the betting market via the Wire Act, which effectively prohibits interstate sports betting but allows intrastate wagers, leading to the state-by-state differences currently in place.</w:t>
      </w:r>
    </w:p>
    <w:p w14:paraId="46B45B5A" w14:textId="77777777" w:rsidR="00300099" w:rsidRDefault="00300099" w:rsidP="00300099">
      <w:pPr>
        <w:rPr>
          <w:rFonts w:eastAsia="Calibri"/>
          <w:sz w:val="16"/>
          <w:szCs w:val="16"/>
        </w:rPr>
      </w:pPr>
      <w:r>
        <w:rPr>
          <w:rFonts w:eastAsia="Calibri"/>
          <w:sz w:val="16"/>
          <w:szCs w:val="16"/>
        </w:rPr>
        <w:t xml:space="preserve">Commentators concerned about betting have suggested congressional </w:t>
      </w:r>
      <w:r>
        <w:rPr>
          <w:rFonts w:eastAsia="Calibri"/>
          <w:highlight w:val="green"/>
          <w:u w:val="single"/>
        </w:rPr>
        <w:t>regulation</w:t>
      </w:r>
      <w:r>
        <w:rPr>
          <w:rFonts w:eastAsia="Calibri"/>
          <w:sz w:val="16"/>
          <w:szCs w:val="16"/>
        </w:rPr>
        <w:t xml:space="preserve"> in the form of restrictions on advertisements, mandatory disclosure requirements, and betting limits. </w:t>
      </w:r>
      <w:proofErr w:type="gramStart"/>
      <w:r>
        <w:rPr>
          <w:rFonts w:eastAsia="Calibri"/>
          <w:sz w:val="16"/>
          <w:szCs w:val="16"/>
        </w:rPr>
        <w:t>All of</w:t>
      </w:r>
      <w:proofErr w:type="gramEnd"/>
      <w:r>
        <w:rPr>
          <w:rFonts w:eastAsia="Calibri"/>
          <w:sz w:val="16"/>
          <w:szCs w:val="16"/>
        </w:rPr>
        <w:t xml:space="preserve"> these proposals would certainly help to limit the rampant harms that have emerged in the current system. However, on a practical level, they </w:t>
      </w:r>
      <w:r>
        <w:rPr>
          <w:rFonts w:eastAsia="Calibri"/>
          <w:highlight w:val="green"/>
          <w:u w:val="single"/>
        </w:rPr>
        <w:t>ignore</w:t>
      </w:r>
      <w:r>
        <w:rPr>
          <w:rFonts w:eastAsia="Calibri"/>
          <w:u w:val="single"/>
        </w:rPr>
        <w:t xml:space="preserve"> the </w:t>
      </w:r>
      <w:r>
        <w:rPr>
          <w:rFonts w:eastAsia="Calibri"/>
          <w:b/>
          <w:bCs/>
          <w:highlight w:val="green"/>
          <w:u w:val="single"/>
        </w:rPr>
        <w:t>fundamental issue</w:t>
      </w:r>
      <w:r>
        <w:rPr>
          <w:rFonts w:eastAsia="Calibri"/>
          <w:highlight w:val="green"/>
          <w:u w:val="single"/>
        </w:rPr>
        <w:t xml:space="preserve"> that</w:t>
      </w:r>
      <w:r>
        <w:rPr>
          <w:rFonts w:eastAsia="Calibri"/>
          <w:u w:val="single"/>
        </w:rPr>
        <w:t xml:space="preserve"> has</w:t>
      </w:r>
      <w:r>
        <w:rPr>
          <w:rFonts w:eastAsia="Calibri"/>
          <w:sz w:val="16"/>
          <w:szCs w:val="16"/>
        </w:rPr>
        <w:t xml:space="preserve"> so far </w:t>
      </w:r>
      <w:r>
        <w:rPr>
          <w:rFonts w:eastAsia="Calibri"/>
          <w:b/>
          <w:bCs/>
          <w:highlight w:val="green"/>
          <w:u w:val="single"/>
        </w:rPr>
        <w:t>doomed</w:t>
      </w:r>
      <w:r>
        <w:rPr>
          <w:rFonts w:eastAsia="Calibri"/>
          <w:highlight w:val="green"/>
          <w:u w:val="single"/>
        </w:rPr>
        <w:t xml:space="preserve"> all</w:t>
      </w:r>
      <w:r>
        <w:rPr>
          <w:rFonts w:eastAsia="Calibri"/>
          <w:sz w:val="16"/>
          <w:szCs w:val="16"/>
        </w:rPr>
        <w:t xml:space="preserve"> proposed </w:t>
      </w:r>
      <w:r>
        <w:rPr>
          <w:rFonts w:eastAsia="Calibri"/>
          <w:highlight w:val="green"/>
          <w:u w:val="single"/>
        </w:rPr>
        <w:t>legislation</w:t>
      </w:r>
      <w:r>
        <w:rPr>
          <w:rFonts w:eastAsia="Calibri"/>
          <w:sz w:val="16"/>
          <w:szCs w:val="16"/>
        </w:rPr>
        <w:t xml:space="preserve">: Congress simply has no interest </w:t>
      </w:r>
      <w:r>
        <w:rPr>
          <w:rFonts w:eastAsia="Calibri"/>
          <w:u w:val="single"/>
        </w:rPr>
        <w:t>in</w:t>
      </w:r>
      <w:r>
        <w:rPr>
          <w:rFonts w:eastAsia="Calibri"/>
          <w:sz w:val="16"/>
          <w:szCs w:val="16"/>
        </w:rPr>
        <w:t xml:space="preserve"> regulating </w:t>
      </w:r>
      <w:r>
        <w:rPr>
          <w:rFonts w:eastAsia="Calibri"/>
          <w:u w:val="single"/>
        </w:rPr>
        <w:t>this market</w:t>
      </w:r>
      <w:r>
        <w:rPr>
          <w:rFonts w:eastAsia="Calibri"/>
          <w:sz w:val="16"/>
          <w:szCs w:val="16"/>
        </w:rPr>
        <w:t xml:space="preserve">. Even in the immediate aftermath of Murphy, the bipartisan Sports Wagering Market Integrity Act of 2018 failed to gain any traction. In the years since that Act’s proposal, </w:t>
      </w:r>
      <w:r>
        <w:rPr>
          <w:rFonts w:eastAsia="Calibri"/>
          <w:highlight w:val="green"/>
          <w:u w:val="single"/>
        </w:rPr>
        <w:t>betting interests</w:t>
      </w:r>
      <w:r>
        <w:rPr>
          <w:rFonts w:eastAsia="Calibri"/>
          <w:sz w:val="16"/>
          <w:szCs w:val="16"/>
        </w:rPr>
        <w:t>—both private and state—</w:t>
      </w:r>
      <w:r>
        <w:rPr>
          <w:rFonts w:eastAsia="Calibri"/>
          <w:u w:val="single"/>
        </w:rPr>
        <w:t xml:space="preserve">have become </w:t>
      </w:r>
      <w:r>
        <w:rPr>
          <w:rFonts w:eastAsia="Calibri"/>
          <w:highlight w:val="green"/>
          <w:u w:val="single"/>
        </w:rPr>
        <w:t xml:space="preserve">incredibly </w:t>
      </w:r>
      <w:r>
        <w:rPr>
          <w:rFonts w:eastAsia="Calibri"/>
          <w:b/>
          <w:bCs/>
          <w:highlight w:val="green"/>
          <w:u w:val="single"/>
        </w:rPr>
        <w:t>entrenched</w:t>
      </w:r>
      <w:r>
        <w:rPr>
          <w:rFonts w:eastAsia="Calibri"/>
          <w:sz w:val="16"/>
          <w:szCs w:val="16"/>
        </w:rPr>
        <w:t xml:space="preserve">. Any new </w:t>
      </w:r>
      <w:r>
        <w:rPr>
          <w:rFonts w:eastAsia="Calibri"/>
          <w:highlight w:val="green"/>
          <w:u w:val="single"/>
        </w:rPr>
        <w:t>legislation</w:t>
      </w:r>
      <w:r>
        <w:rPr>
          <w:rFonts w:eastAsia="Calibri"/>
          <w:sz w:val="16"/>
          <w:szCs w:val="16"/>
        </w:rPr>
        <w:t xml:space="preserve">, even if it were ultimately beneficial for the </w:t>
      </w:r>
      <w:proofErr w:type="gramStart"/>
      <w:r>
        <w:rPr>
          <w:rFonts w:eastAsia="Calibri"/>
          <w:sz w:val="16"/>
          <w:szCs w:val="16"/>
        </w:rPr>
        <w:t xml:space="preserve">industry as a whole, </w:t>
      </w:r>
      <w:r>
        <w:rPr>
          <w:rFonts w:eastAsia="Calibri"/>
          <w:u w:val="single"/>
        </w:rPr>
        <w:t>would</w:t>
      </w:r>
      <w:proofErr w:type="gramEnd"/>
      <w:r>
        <w:rPr>
          <w:rFonts w:eastAsia="Calibri"/>
          <w:sz w:val="16"/>
          <w:szCs w:val="16"/>
        </w:rPr>
        <w:t xml:space="preserve"> significantly </w:t>
      </w:r>
      <w:r>
        <w:rPr>
          <w:rFonts w:eastAsia="Calibri"/>
          <w:u w:val="single"/>
        </w:rPr>
        <w:t>disrupt the</w:t>
      </w:r>
      <w:r>
        <w:rPr>
          <w:rFonts w:eastAsia="Calibri"/>
          <w:sz w:val="16"/>
          <w:szCs w:val="16"/>
        </w:rPr>
        <w:t xml:space="preserve"> current </w:t>
      </w:r>
      <w:r>
        <w:rPr>
          <w:rFonts w:eastAsia="Calibri"/>
          <w:u w:val="single"/>
        </w:rPr>
        <w:t>profitable ecosystem and</w:t>
      </w:r>
      <w:r>
        <w:rPr>
          <w:rFonts w:eastAsia="Calibri"/>
          <w:sz w:val="16"/>
          <w:szCs w:val="16"/>
        </w:rPr>
        <w:t xml:space="preserve">, therefore, </w:t>
      </w:r>
      <w:r>
        <w:rPr>
          <w:rFonts w:eastAsia="Calibri"/>
          <w:u w:val="single"/>
        </w:rPr>
        <w:t xml:space="preserve">is effectively </w:t>
      </w:r>
      <w:proofErr w:type="gramStart"/>
      <w:r>
        <w:rPr>
          <w:rFonts w:eastAsia="Calibri"/>
          <w:b/>
          <w:bCs/>
          <w:highlight w:val="green"/>
          <w:u w:val="single"/>
        </w:rPr>
        <w:t>dead on</w:t>
      </w:r>
      <w:proofErr w:type="gramEnd"/>
      <w:r>
        <w:rPr>
          <w:rFonts w:eastAsia="Calibri"/>
          <w:b/>
          <w:bCs/>
          <w:highlight w:val="green"/>
          <w:u w:val="single"/>
        </w:rPr>
        <w:t xml:space="preserve"> arrival</w:t>
      </w:r>
      <w:r>
        <w:rPr>
          <w:rFonts w:eastAsia="Calibri"/>
          <w:sz w:val="16"/>
          <w:szCs w:val="16"/>
        </w:rPr>
        <w:t>. As such, while actual Congressional reform would be the most straightforward and effective way to curtail gambling’s costs, advocates need to turn their attention elsewhere.</w:t>
      </w:r>
    </w:p>
    <w:p w14:paraId="6B8E8BAD" w14:textId="6983156E" w:rsidR="00BA1D3D" w:rsidRDefault="00BA1D3D" w:rsidP="00BA1D3D">
      <w:pPr>
        <w:pStyle w:val="Heading2"/>
      </w:pPr>
      <w:r>
        <w:lastRenderedPageBreak/>
        <w:t>AT: AFF</w:t>
      </w:r>
    </w:p>
    <w:p w14:paraId="401AC0CC" w14:textId="77777777" w:rsidR="00C8414D" w:rsidRDefault="00C8414D" w:rsidP="00C8414D">
      <w:pPr>
        <w:pStyle w:val="Heading3"/>
      </w:pPr>
      <w:r>
        <w:lastRenderedPageBreak/>
        <w:t>AT: Prediction Markets---2NC</w:t>
      </w:r>
    </w:p>
    <w:p w14:paraId="5D632F3E" w14:textId="77777777" w:rsidR="00C8414D" w:rsidRDefault="00C8414D" w:rsidP="00C8414D">
      <w:pPr>
        <w:pStyle w:val="Heading4"/>
      </w:pPr>
      <w:r>
        <w:t xml:space="preserve">1. No impact has </w:t>
      </w:r>
      <w:r w:rsidRPr="00C2139F">
        <w:rPr>
          <w:u w:val="single"/>
        </w:rPr>
        <w:t>been read</w:t>
      </w:r>
      <w:r>
        <w:t xml:space="preserve">. Don’t do the work for them and assume escalation happens now, since I could just as easily assert that all the risks they talk about </w:t>
      </w:r>
      <w:r w:rsidRPr="00753A7C">
        <w:rPr>
          <w:u w:val="single"/>
        </w:rPr>
        <w:t>won’t happen</w:t>
      </w:r>
      <w:r>
        <w:t>.</w:t>
      </w:r>
    </w:p>
    <w:p w14:paraId="41185542" w14:textId="77777777" w:rsidR="00C8414D" w:rsidRDefault="00C8414D" w:rsidP="00C8414D">
      <w:pPr>
        <w:pStyle w:val="Heading4"/>
      </w:pPr>
      <w:r>
        <w:t xml:space="preserve">2. Prediction markets </w:t>
      </w:r>
      <w:r w:rsidRPr="006B7AB9">
        <w:rPr>
          <w:u w:val="single"/>
        </w:rPr>
        <w:t>historically fail</w:t>
      </w:r>
      <w:r>
        <w:t xml:space="preserve"> in the context of the </w:t>
      </w:r>
      <w:r w:rsidRPr="0001354C">
        <w:rPr>
          <w:u w:val="single"/>
        </w:rPr>
        <w:t>AFF</w:t>
      </w:r>
      <w:r>
        <w:t>.</w:t>
      </w:r>
    </w:p>
    <w:p w14:paraId="5D8BA8DB" w14:textId="77777777" w:rsidR="00C8414D" w:rsidRPr="00B405F3" w:rsidRDefault="00C8414D" w:rsidP="00C8414D">
      <w:r w:rsidRPr="00B31237">
        <w:rPr>
          <w:rStyle w:val="Style13ptBold"/>
        </w:rPr>
        <w:t>Sonnenfeld 24</w:t>
      </w:r>
      <w:r w:rsidRPr="003F6E17">
        <w:t xml:space="preserve"> [</w:t>
      </w:r>
      <w:r>
        <w:t xml:space="preserve">Jeffrey A. Sonnenfeld, Senior Associate Dean for Leadership Studies &amp; Lester Crown Professor in the Practice of Management. Steven Tian, Director of Research, Chief Executive Leadership Institute. Anthony Scaramucci, Founder &amp; Managing Partner, </w:t>
      </w:r>
      <w:proofErr w:type="spellStart"/>
      <w:r>
        <w:t>SkyBridge</w:t>
      </w:r>
      <w:proofErr w:type="spellEnd"/>
      <w:r>
        <w:t>; Founder &amp; Chairman, SALT</w:t>
      </w:r>
      <w:r w:rsidRPr="003F6E17">
        <w:t xml:space="preserve">. 10-24-2024, Don’t Trust the Political Prediction Markets, Yale Insights, https://insights.som.yale.edu/insights/dont-trust-the-political-prediction-markets, </w:t>
      </w:r>
      <w:proofErr w:type="spellStart"/>
      <w:r w:rsidRPr="003F6E17">
        <w:t>doa</w:t>
      </w:r>
      <w:proofErr w:type="spellEnd"/>
      <w:r w:rsidRPr="003F6E17">
        <w:t xml:space="preserve"> 2-11-2026] //</w:t>
      </w:r>
      <w:proofErr w:type="spellStart"/>
      <w:r w:rsidRPr="003F6E17">
        <w:t>ALuo</w:t>
      </w:r>
      <w:proofErr w:type="spellEnd"/>
    </w:p>
    <w:p w14:paraId="51D9B844" w14:textId="77777777" w:rsidR="00C8414D" w:rsidRDefault="00C8414D" w:rsidP="00C8414D">
      <w:pPr>
        <w:rPr>
          <w:rStyle w:val="StyleUnderline"/>
          <w:sz w:val="12"/>
        </w:rPr>
      </w:pPr>
      <w:r w:rsidRPr="00B405F3">
        <w:rPr>
          <w:rStyle w:val="StyleUnderline"/>
        </w:rPr>
        <w:t xml:space="preserve">Political and business media, pundits, and experts continue </w:t>
      </w:r>
      <w:r w:rsidRPr="003F4484">
        <w:rPr>
          <w:rStyle w:val="StyleUnderline"/>
          <w:highlight w:val="green"/>
        </w:rPr>
        <w:t xml:space="preserve">to cite prediction market </w:t>
      </w:r>
      <w:r w:rsidRPr="00DC44F5">
        <w:rPr>
          <w:rStyle w:val="StyleUnderline"/>
        </w:rPr>
        <w:t xml:space="preserve">odds </w:t>
      </w:r>
      <w:r w:rsidRPr="003F4484">
        <w:rPr>
          <w:rStyle w:val="StyleUnderline"/>
          <w:highlight w:val="green"/>
        </w:rPr>
        <w:t xml:space="preserve">as a </w:t>
      </w:r>
      <w:r w:rsidRPr="00DC44F5">
        <w:rPr>
          <w:rStyle w:val="Emphasis"/>
        </w:rPr>
        <w:t xml:space="preserve">credible </w:t>
      </w:r>
      <w:r w:rsidRPr="003F4484">
        <w:rPr>
          <w:rStyle w:val="Emphasis"/>
          <w:highlight w:val="green"/>
        </w:rPr>
        <w:t>forecast</w:t>
      </w:r>
      <w:r w:rsidRPr="00B405F3">
        <w:rPr>
          <w:rStyle w:val="StyleUnderline"/>
        </w:rPr>
        <w:t xml:space="preserve"> for the upcoming presidential election, regularly pointing to betting odds on prediction markets such as </w:t>
      </w:r>
      <w:proofErr w:type="spellStart"/>
      <w:r w:rsidRPr="00B405F3">
        <w:rPr>
          <w:rStyle w:val="StyleUnderline"/>
        </w:rPr>
        <w:t>Polymarket</w:t>
      </w:r>
      <w:proofErr w:type="spellEnd"/>
      <w:r w:rsidRPr="00B405F3">
        <w:rPr>
          <w:rStyle w:val="StyleUnderline"/>
        </w:rPr>
        <w:t xml:space="preserve">, Kalshi, </w:t>
      </w:r>
      <w:proofErr w:type="spellStart"/>
      <w:r w:rsidRPr="00B405F3">
        <w:rPr>
          <w:rStyle w:val="StyleUnderline"/>
        </w:rPr>
        <w:t>PredictIt</w:t>
      </w:r>
      <w:proofErr w:type="spellEnd"/>
      <w:r w:rsidRPr="00B405F3">
        <w:rPr>
          <w:rStyle w:val="StyleUnderline"/>
        </w:rPr>
        <w:t xml:space="preserve">, and Interactive Brokers as a guide to who is up and down in the horse race—but that </w:t>
      </w:r>
      <w:r w:rsidRPr="003F4484">
        <w:rPr>
          <w:rStyle w:val="StyleUnderline"/>
          <w:highlight w:val="green"/>
        </w:rPr>
        <w:t xml:space="preserve">is a </w:t>
      </w:r>
      <w:r w:rsidRPr="003F4484">
        <w:rPr>
          <w:rStyle w:val="Emphasis"/>
          <w:highlight w:val="green"/>
        </w:rPr>
        <w:t>big mistake</w:t>
      </w:r>
      <w:r w:rsidRPr="00B405F3">
        <w:rPr>
          <w:rStyle w:val="StyleUnderline"/>
        </w:rPr>
        <w:t>.</w:t>
      </w:r>
    </w:p>
    <w:p w14:paraId="287EF952" w14:textId="77777777" w:rsidR="00C8414D" w:rsidRDefault="00C8414D" w:rsidP="00C8414D">
      <w:pPr>
        <w:rPr>
          <w:sz w:val="12"/>
        </w:rPr>
      </w:pPr>
      <w:r w:rsidRPr="00B405F3">
        <w:rPr>
          <w:sz w:val="12"/>
        </w:rPr>
        <w:t xml:space="preserve"> </w:t>
      </w:r>
      <w:r w:rsidRPr="00B405F3">
        <w:rPr>
          <w:sz w:val="16"/>
        </w:rPr>
        <w:t xml:space="preserve">It appears few journalists, pundits and experts have dug deep into how these prediction markets </w:t>
      </w:r>
      <w:proofErr w:type="gramStart"/>
      <w:r w:rsidRPr="00B405F3">
        <w:rPr>
          <w:sz w:val="16"/>
        </w:rPr>
        <w:t>actually work</w:t>
      </w:r>
      <w:proofErr w:type="gramEnd"/>
      <w:r w:rsidRPr="00B405F3">
        <w:rPr>
          <w:sz w:val="16"/>
        </w:rPr>
        <w:t>— and fewer yet have ever actively ‘bet’ on these sites. We have, and we’ve been startled by what we found as we made bets on these sites (as an academic exercise).</w:t>
      </w:r>
    </w:p>
    <w:p w14:paraId="2A2F98DB" w14:textId="77777777" w:rsidR="00C8414D" w:rsidRDefault="00C8414D" w:rsidP="00C8414D">
      <w:pPr>
        <w:rPr>
          <w:rStyle w:val="StyleUnderline"/>
          <w:sz w:val="12"/>
        </w:rPr>
      </w:pPr>
      <w:r w:rsidRPr="00B405F3">
        <w:rPr>
          <w:rStyle w:val="StyleUnderline"/>
          <w:sz w:val="12"/>
        </w:rPr>
        <w:t xml:space="preserve"> </w:t>
      </w:r>
      <w:r w:rsidRPr="00B405F3">
        <w:rPr>
          <w:rStyle w:val="StyleUnderline"/>
        </w:rPr>
        <w:t xml:space="preserve">Here are </w:t>
      </w:r>
      <w:r w:rsidRPr="00DC44F5">
        <w:rPr>
          <w:rStyle w:val="StyleUnderline"/>
        </w:rPr>
        <w:t>five key reasons why these prediction markets should not be cited by media as credible, reliable indicators</w:t>
      </w:r>
      <w:r w:rsidRPr="00B405F3">
        <w:rPr>
          <w:rStyle w:val="StyleUnderline"/>
        </w:rPr>
        <w:t>.</w:t>
      </w:r>
    </w:p>
    <w:p w14:paraId="7F07C9C5" w14:textId="77777777" w:rsidR="00C8414D" w:rsidRDefault="00C8414D" w:rsidP="00C8414D">
      <w:pPr>
        <w:rPr>
          <w:rStyle w:val="StyleUnderline"/>
          <w:sz w:val="12"/>
        </w:rPr>
      </w:pPr>
      <w:r w:rsidRPr="00B405F3">
        <w:rPr>
          <w:rStyle w:val="StyleUnderline"/>
          <w:sz w:val="12"/>
        </w:rPr>
        <w:t xml:space="preserve"> </w:t>
      </w:r>
      <w:r w:rsidRPr="00B405F3">
        <w:rPr>
          <w:rStyle w:val="StyleUnderline"/>
        </w:rPr>
        <w:t xml:space="preserve">Political prediction markets have </w:t>
      </w:r>
      <w:r w:rsidRPr="00DC44F5">
        <w:rPr>
          <w:rStyle w:val="Emphasis"/>
        </w:rPr>
        <w:t>extremely thin volume</w:t>
      </w:r>
      <w:r w:rsidRPr="00B405F3">
        <w:rPr>
          <w:rStyle w:val="StyleUnderline"/>
        </w:rPr>
        <w:t xml:space="preserve"> and liquidity—meaning </w:t>
      </w:r>
      <w:r w:rsidRPr="003F4484">
        <w:rPr>
          <w:rStyle w:val="Emphasis"/>
          <w:highlight w:val="green"/>
        </w:rPr>
        <w:t>very few</w:t>
      </w:r>
      <w:r w:rsidRPr="003F4484">
        <w:rPr>
          <w:rStyle w:val="StyleUnderline"/>
          <w:highlight w:val="green"/>
        </w:rPr>
        <w:t xml:space="preserve"> traders </w:t>
      </w:r>
      <w:proofErr w:type="gramStart"/>
      <w:r w:rsidRPr="003F4484">
        <w:rPr>
          <w:rStyle w:val="StyleUnderline"/>
          <w:highlight w:val="green"/>
        </w:rPr>
        <w:t>actually bet</w:t>
      </w:r>
      <w:proofErr w:type="gramEnd"/>
      <w:r w:rsidRPr="00B405F3">
        <w:rPr>
          <w:rStyle w:val="StyleUnderline"/>
        </w:rPr>
        <w:t xml:space="preserve"> on them</w:t>
      </w:r>
    </w:p>
    <w:p w14:paraId="68D47DF4" w14:textId="77777777" w:rsidR="00C8414D" w:rsidRDefault="00C8414D" w:rsidP="00C8414D">
      <w:pPr>
        <w:rPr>
          <w:sz w:val="12"/>
        </w:rPr>
      </w:pPr>
      <w:r w:rsidRPr="00B405F3">
        <w:rPr>
          <w:rStyle w:val="StyleUnderline"/>
          <w:sz w:val="12"/>
        </w:rPr>
        <w:t xml:space="preserve"> </w:t>
      </w:r>
      <w:r w:rsidRPr="00B405F3">
        <w:rPr>
          <w:rStyle w:val="StyleUnderline"/>
        </w:rPr>
        <w:t xml:space="preserve">It seems that there might have been </w:t>
      </w:r>
      <w:r w:rsidRPr="003F4484">
        <w:rPr>
          <w:rStyle w:val="Emphasis"/>
          <w:highlight w:val="green"/>
        </w:rPr>
        <w:t>more stories written</w:t>
      </w:r>
      <w:r w:rsidRPr="00B405F3">
        <w:rPr>
          <w:rStyle w:val="StyleUnderline"/>
        </w:rPr>
        <w:t xml:space="preserve"> about the prediction markets </w:t>
      </w:r>
      <w:r w:rsidRPr="003F4484">
        <w:rPr>
          <w:rStyle w:val="StyleUnderline"/>
          <w:highlight w:val="green"/>
        </w:rPr>
        <w:t xml:space="preserve">than people who </w:t>
      </w:r>
      <w:proofErr w:type="gramStart"/>
      <w:r w:rsidRPr="003F4484">
        <w:rPr>
          <w:rStyle w:val="Emphasis"/>
          <w:highlight w:val="green"/>
        </w:rPr>
        <w:t>actually use</w:t>
      </w:r>
      <w:proofErr w:type="gramEnd"/>
      <w:r w:rsidRPr="003F4484">
        <w:rPr>
          <w:rStyle w:val="StyleUnderline"/>
          <w:highlight w:val="green"/>
        </w:rPr>
        <w:t xml:space="preserve"> them</w:t>
      </w:r>
      <w:r w:rsidRPr="00B405F3">
        <w:rPr>
          <w:rStyle w:val="StyleUnderline"/>
        </w:rPr>
        <w:t xml:space="preserve">—as we were </w:t>
      </w:r>
      <w:r w:rsidRPr="00DC44F5">
        <w:rPr>
          <w:rStyle w:val="Emphasis"/>
        </w:rPr>
        <w:t>shocked</w:t>
      </w:r>
      <w:r w:rsidRPr="00B405F3">
        <w:rPr>
          <w:rStyle w:val="StyleUnderline"/>
        </w:rPr>
        <w:t xml:space="preserve"> by how few traders </w:t>
      </w:r>
      <w:proofErr w:type="gramStart"/>
      <w:r w:rsidRPr="00B405F3">
        <w:rPr>
          <w:rStyle w:val="StyleUnderline"/>
        </w:rPr>
        <w:t>actually bet</w:t>
      </w:r>
      <w:proofErr w:type="gramEnd"/>
      <w:r w:rsidRPr="00B405F3">
        <w:rPr>
          <w:rStyle w:val="StyleUnderline"/>
        </w:rPr>
        <w:t xml:space="preserve"> on these platforms, and the thin trading volume and liquidity which make it extremely difficult to make bets to begin with.</w:t>
      </w:r>
    </w:p>
    <w:p w14:paraId="3AF0EF5B" w14:textId="77777777" w:rsidR="00C8414D" w:rsidRDefault="00C8414D" w:rsidP="00C8414D">
      <w:pPr>
        <w:rPr>
          <w:sz w:val="12"/>
        </w:rPr>
      </w:pPr>
      <w:r w:rsidRPr="00B405F3">
        <w:rPr>
          <w:sz w:val="12"/>
        </w:rPr>
        <w:t xml:space="preserve"> </w:t>
      </w:r>
      <w:r w:rsidRPr="00B405F3">
        <w:rPr>
          <w:rStyle w:val="StyleUnderline"/>
        </w:rPr>
        <w:t xml:space="preserve">On some platforms, </w:t>
      </w:r>
      <w:r w:rsidRPr="002B2144">
        <w:rPr>
          <w:rStyle w:val="StyleUnderline"/>
        </w:rPr>
        <w:t xml:space="preserve">we tried to make bets on several </w:t>
      </w:r>
      <w:r w:rsidRPr="002B2144">
        <w:rPr>
          <w:rStyle w:val="Emphasis"/>
        </w:rPr>
        <w:t>key battleground races</w:t>
      </w:r>
      <w:r w:rsidRPr="002B2144">
        <w:rPr>
          <w:rStyle w:val="StyleUnderline"/>
        </w:rPr>
        <w:t xml:space="preserve"> – only to find out we couldn’t, because there were </w:t>
      </w:r>
      <w:r w:rsidRPr="002B2144">
        <w:rPr>
          <w:rStyle w:val="Emphasis"/>
        </w:rPr>
        <w:t>zero sellers</w:t>
      </w:r>
      <w:r w:rsidRPr="002B2144">
        <w:rPr>
          <w:rStyle w:val="StyleUnderline"/>
        </w:rPr>
        <w:t xml:space="preserve"> in those markets. In other markets, the spread – meaning the difference between the bid price and the ask price – was so massive, running upwards of 50%, that it was substantive </w:t>
      </w:r>
      <w:r w:rsidRPr="002B2144">
        <w:rPr>
          <w:rStyle w:val="Emphasis"/>
        </w:rPr>
        <w:t>impossible</w:t>
      </w:r>
      <w:r w:rsidRPr="002B2144">
        <w:rPr>
          <w:rStyle w:val="StyleUnderline"/>
        </w:rPr>
        <w:t xml:space="preserve"> to buy or sell. (some screenshots of examples are linked). All this means that the </w:t>
      </w:r>
      <w:r w:rsidRPr="002B2144">
        <w:rPr>
          <w:rStyle w:val="Emphasis"/>
        </w:rPr>
        <w:t>so-called price</w:t>
      </w:r>
      <w:r w:rsidRPr="002B2144">
        <w:rPr>
          <w:rStyle w:val="StyleUnderline"/>
        </w:rPr>
        <w:t xml:space="preserve"> cited by media accounts is merely a </w:t>
      </w:r>
      <w:r w:rsidRPr="002B2144">
        <w:rPr>
          <w:rStyle w:val="Emphasis"/>
        </w:rPr>
        <w:t>phantom</w:t>
      </w:r>
      <w:r w:rsidRPr="002B2144">
        <w:rPr>
          <w:rStyle w:val="StyleUnderline"/>
        </w:rPr>
        <w:t xml:space="preserve"> figure and not representative of reality, since </w:t>
      </w:r>
      <w:r w:rsidRPr="002B2144">
        <w:rPr>
          <w:rStyle w:val="Emphasis"/>
        </w:rPr>
        <w:t>nobody</w:t>
      </w:r>
      <w:r w:rsidRPr="002B2144">
        <w:rPr>
          <w:rStyle w:val="StyleUnderline"/>
        </w:rPr>
        <w:t xml:space="preserve"> can buy or sell in these markets in practice. On other platforms, even the </w:t>
      </w:r>
      <w:r w:rsidRPr="002B2144">
        <w:rPr>
          <w:rStyle w:val="Emphasis"/>
        </w:rPr>
        <w:t>largest market</w:t>
      </w:r>
      <w:r w:rsidRPr="002B2144">
        <w:rPr>
          <w:rStyle w:val="StyleUnderline"/>
        </w:rPr>
        <w:t xml:space="preserve">– the </w:t>
      </w:r>
      <w:r w:rsidRPr="002B2144">
        <w:rPr>
          <w:rStyle w:val="Emphasis"/>
        </w:rPr>
        <w:t>presidential election</w:t>
      </w:r>
      <w:r w:rsidRPr="002B2144">
        <w:rPr>
          <w:rStyle w:val="StyleUnderline"/>
        </w:rPr>
        <w:t xml:space="preserve"> odds—feature </w:t>
      </w:r>
      <w:r w:rsidRPr="002B2144">
        <w:rPr>
          <w:rStyle w:val="Emphasis"/>
        </w:rPr>
        <w:t>extremely low volume</w:t>
      </w:r>
      <w:r w:rsidRPr="002B2144">
        <w:rPr>
          <w:rStyle w:val="StyleUnderline"/>
        </w:rPr>
        <w:t xml:space="preserve">, generally in the tens of thousands of dollars a day but sometimes hovering in the lower hundreds of </w:t>
      </w:r>
      <w:proofErr w:type="spellStart"/>
      <w:r w:rsidRPr="002B2144">
        <w:rPr>
          <w:rStyle w:val="StyleUnderline"/>
        </w:rPr>
        <w:t>thousand</w:t>
      </w:r>
      <w:proofErr w:type="spellEnd"/>
      <w:r w:rsidRPr="002B2144">
        <w:rPr>
          <w:rStyle w:val="StyleUnderline"/>
        </w:rPr>
        <w:t xml:space="preserve"> of dollars a day, to the point where a single </w:t>
      </w:r>
      <w:r w:rsidRPr="002B2144">
        <w:rPr>
          <w:rStyle w:val="Emphasis"/>
        </w:rPr>
        <w:t>small bet</w:t>
      </w:r>
      <w:r w:rsidRPr="002B2144">
        <w:rPr>
          <w:rStyle w:val="StyleUnderline"/>
        </w:rPr>
        <w:t xml:space="preserve"> of a </w:t>
      </w:r>
      <w:r w:rsidRPr="002B2144">
        <w:rPr>
          <w:rStyle w:val="Emphasis"/>
        </w:rPr>
        <w:t>few thousand dollars</w:t>
      </w:r>
      <w:r w:rsidRPr="002B2144">
        <w:rPr>
          <w:rStyle w:val="StyleUnderline"/>
        </w:rPr>
        <w:t xml:space="preserve"> can </w:t>
      </w:r>
      <w:r w:rsidRPr="002B2144">
        <w:rPr>
          <w:rStyle w:val="Emphasis"/>
        </w:rPr>
        <w:t>immediately</w:t>
      </w:r>
      <w:r w:rsidRPr="00DC44F5">
        <w:rPr>
          <w:rStyle w:val="Emphasis"/>
        </w:rPr>
        <w:t xml:space="preserve"> move</w:t>
      </w:r>
      <w:r w:rsidRPr="00B405F3">
        <w:rPr>
          <w:rStyle w:val="StyleUnderline"/>
        </w:rPr>
        <w:t xml:space="preserve"> the market by </w:t>
      </w:r>
      <w:r w:rsidRPr="00DC44F5">
        <w:rPr>
          <w:rStyle w:val="Emphasis"/>
        </w:rPr>
        <w:t>several percentage points</w:t>
      </w:r>
      <w:r w:rsidRPr="00B405F3">
        <w:rPr>
          <w:rStyle w:val="StyleUnderline"/>
        </w:rPr>
        <w:t xml:space="preserve"> in </w:t>
      </w:r>
      <w:r w:rsidRPr="00DC44F5">
        <w:rPr>
          <w:rStyle w:val="Emphasis"/>
        </w:rPr>
        <w:t>real time</w:t>
      </w:r>
      <w:r w:rsidRPr="00B405F3">
        <w:rPr>
          <w:rStyle w:val="StyleUnderline"/>
        </w:rPr>
        <w:t xml:space="preserve">. It can be substantively </w:t>
      </w:r>
      <w:r w:rsidRPr="00DC44F5">
        <w:rPr>
          <w:rStyle w:val="Emphasis"/>
        </w:rPr>
        <w:t>impossible</w:t>
      </w:r>
      <w:r w:rsidRPr="00B405F3">
        <w:rPr>
          <w:rStyle w:val="StyleUnderline"/>
        </w:rPr>
        <w:t xml:space="preserve"> for anyone to bet more than a few thousand dollars without </w:t>
      </w:r>
      <w:r w:rsidRPr="00DC44F5">
        <w:rPr>
          <w:rStyle w:val="Emphasis"/>
        </w:rPr>
        <w:t>immediately moving</w:t>
      </w:r>
      <w:r w:rsidRPr="00B405F3">
        <w:rPr>
          <w:rStyle w:val="StyleUnderline"/>
        </w:rPr>
        <w:t xml:space="preserve"> the markets</w:t>
      </w:r>
      <w:r w:rsidRPr="00B405F3">
        <w:rPr>
          <w:sz w:val="16"/>
        </w:rPr>
        <w:t>—which might explain why the betting odds are often so disparate across different prediction market sites, and don’t even move in alignment with each other much less with polling results.</w:t>
      </w:r>
    </w:p>
    <w:p w14:paraId="481B373F" w14:textId="77777777" w:rsidR="00C8414D" w:rsidRPr="00DE244F" w:rsidRDefault="00C8414D" w:rsidP="00C8414D">
      <w:pPr>
        <w:rPr>
          <w:sz w:val="12"/>
          <w:u w:val="single"/>
        </w:rPr>
      </w:pPr>
      <w:r w:rsidRPr="00B405F3">
        <w:rPr>
          <w:sz w:val="12"/>
        </w:rPr>
        <w:lastRenderedPageBreak/>
        <w:t xml:space="preserve"> </w:t>
      </w:r>
      <w:r w:rsidRPr="00B405F3">
        <w:rPr>
          <w:rStyle w:val="StyleUnderline"/>
        </w:rPr>
        <w:t xml:space="preserve">Political prediction markets are </w:t>
      </w:r>
      <w:r w:rsidRPr="00DC44F5">
        <w:rPr>
          <w:rStyle w:val="Emphasis"/>
        </w:rPr>
        <w:t>rife</w:t>
      </w:r>
      <w:r w:rsidRPr="00B405F3">
        <w:rPr>
          <w:rStyle w:val="StyleUnderline"/>
        </w:rPr>
        <w:t xml:space="preserve"> with </w:t>
      </w:r>
      <w:r w:rsidRPr="003F4484">
        <w:rPr>
          <w:rStyle w:val="Emphasis"/>
          <w:highlight w:val="green"/>
        </w:rPr>
        <w:t>unchecked foreign manipulation</w:t>
      </w:r>
      <w:r w:rsidRPr="00B405F3">
        <w:rPr>
          <w:rStyle w:val="StyleUnderline"/>
        </w:rPr>
        <w:t xml:space="preserve">—and it is </w:t>
      </w:r>
      <w:r w:rsidRPr="00DC44F5">
        <w:rPr>
          <w:rStyle w:val="Emphasis"/>
        </w:rPr>
        <w:t>too easy</w:t>
      </w:r>
      <w:r w:rsidRPr="00DC44F5">
        <w:rPr>
          <w:rStyle w:val="StyleUnderline"/>
        </w:rPr>
        <w:t xml:space="preserve"> to manipulate</w:t>
      </w:r>
      <w:r w:rsidRPr="00B405F3">
        <w:rPr>
          <w:rStyle w:val="StyleUnderline"/>
        </w:rPr>
        <w:t xml:space="preserve"> these markets.</w:t>
      </w:r>
    </w:p>
    <w:p w14:paraId="572346C6" w14:textId="77777777" w:rsidR="00C8414D" w:rsidRDefault="00C8414D" w:rsidP="00C8414D">
      <w:pPr>
        <w:pStyle w:val="Heading4"/>
      </w:pPr>
      <w:r>
        <w:t xml:space="preserve">3. They make every risk </w:t>
      </w:r>
      <w:r w:rsidRPr="00CD1F03">
        <w:rPr>
          <w:u w:val="single"/>
        </w:rPr>
        <w:t>more likely</w:t>
      </w:r>
      <w:r>
        <w:t xml:space="preserve">---empirics </w:t>
      </w:r>
      <w:r w:rsidRPr="00551497">
        <w:rPr>
          <w:u w:val="single"/>
        </w:rPr>
        <w:t>prove</w:t>
      </w:r>
      <w:r>
        <w:t>.</w:t>
      </w:r>
    </w:p>
    <w:p w14:paraId="7F5F006E" w14:textId="77777777" w:rsidR="00C8414D" w:rsidRDefault="00C8414D" w:rsidP="00C8414D">
      <w:r>
        <w:rPr>
          <w:b/>
          <w:bCs/>
          <w:sz w:val="26"/>
          <w:szCs w:val="26"/>
        </w:rPr>
        <w:t xml:space="preserve">Goldenberg ’26 </w:t>
      </w:r>
      <w:r>
        <w:t xml:space="preserve">[Alex Goldenberg; fellow at Rutgers University Miller Center on Community Protection and Resilience and an affiliate with the New York University Institute for the Study of Emerging Threats.; Betting on War: Prediction Markets and the Corruption of National Security, 1-21-2026; War on the Rocks, https://warontherocks.com/2026/01/betting-on-war-prediction-markets-and-the-corruption-of-national-security/; accessed, 2-11-2026] Aaron  </w:t>
      </w:r>
    </w:p>
    <w:p w14:paraId="7AA06861" w14:textId="77777777" w:rsidR="00C8414D" w:rsidRDefault="00C8414D" w:rsidP="00C8414D">
      <w:pPr>
        <w:rPr>
          <w:u w:val="single"/>
        </w:rPr>
      </w:pPr>
      <w:r w:rsidRPr="003F4484">
        <w:rPr>
          <w:highlight w:val="green"/>
          <w:u w:val="single"/>
        </w:rPr>
        <w:t xml:space="preserve">Prediction markets </w:t>
      </w:r>
      <w:r>
        <w:rPr>
          <w:sz w:val="14"/>
          <w:szCs w:val="14"/>
        </w:rPr>
        <w:t xml:space="preserve">have proven remarkably effective at aggregating dispersed information across many domains. From technology product launches to election forecasting, they often outperform expert predictions. </w:t>
      </w:r>
      <w:r>
        <w:rPr>
          <w:u w:val="single"/>
        </w:rPr>
        <w:t xml:space="preserve">But when </w:t>
      </w:r>
      <w:r w:rsidRPr="003F4484">
        <w:rPr>
          <w:highlight w:val="green"/>
          <w:u w:val="single"/>
        </w:rPr>
        <w:t>applied to military operations</w:t>
      </w:r>
      <w:r>
        <w:rPr>
          <w:u w:val="single"/>
        </w:rPr>
        <w:t xml:space="preserve">, these same mechanisms </w:t>
      </w:r>
      <w:r w:rsidRPr="003F4484">
        <w:rPr>
          <w:highlight w:val="green"/>
          <w:u w:val="single"/>
        </w:rPr>
        <w:t xml:space="preserve">create </w:t>
      </w:r>
      <w:r w:rsidRPr="003F4484">
        <w:rPr>
          <w:b/>
          <w:bCs/>
          <w:sz w:val="24"/>
          <w:szCs w:val="24"/>
          <w:highlight w:val="green"/>
          <w:u w:val="single"/>
        </w:rPr>
        <w:t xml:space="preserve">categorically different </w:t>
      </w:r>
      <w:r w:rsidRPr="003F4484">
        <w:rPr>
          <w:highlight w:val="green"/>
          <w:u w:val="single"/>
        </w:rPr>
        <w:t>risks</w:t>
      </w:r>
      <w:r>
        <w:rPr>
          <w:sz w:val="14"/>
          <w:szCs w:val="14"/>
        </w:rPr>
        <w:t>. Now</w:t>
      </w:r>
      <w:r>
        <w:rPr>
          <w:u w:val="single"/>
        </w:rPr>
        <w:t xml:space="preserve"> Ukrainian volunteers, Russian military bloggers, and American security clearance holders alike can convert </w:t>
      </w:r>
      <w:r>
        <w:rPr>
          <w:b/>
          <w:bCs/>
          <w:u w:val="single"/>
        </w:rPr>
        <w:t xml:space="preserve">insider knowledge </w:t>
      </w:r>
      <w:r>
        <w:rPr>
          <w:u w:val="single"/>
        </w:rPr>
        <w:t xml:space="preserve">of military operations into profit through </w:t>
      </w:r>
      <w:r>
        <w:rPr>
          <w:b/>
          <w:bCs/>
          <w:u w:val="single"/>
        </w:rPr>
        <w:t xml:space="preserve">pseudonymous </w:t>
      </w:r>
      <w:r>
        <w:rPr>
          <w:u w:val="single"/>
        </w:rPr>
        <w:t>crypto wallets.</w:t>
      </w:r>
    </w:p>
    <w:p w14:paraId="76D14B25" w14:textId="77777777" w:rsidR="00C8414D" w:rsidRDefault="00C8414D" w:rsidP="00C8414D">
      <w:pPr>
        <w:rPr>
          <w:u w:val="single"/>
        </w:rPr>
      </w:pPr>
      <w:r>
        <w:rPr>
          <w:sz w:val="14"/>
          <w:szCs w:val="14"/>
        </w:rPr>
        <w:t xml:space="preserve">At 2 a.m. local time on Jan. 3, 2026, explosions echoed across Caracas. Low-flying aircraft struck </w:t>
      </w:r>
      <w:r>
        <w:rPr>
          <w:u w:val="single"/>
        </w:rPr>
        <w:t xml:space="preserve">military installations. Venezuelan President Nicolás </w:t>
      </w:r>
      <w:r w:rsidRPr="003F4484">
        <w:rPr>
          <w:highlight w:val="green"/>
          <w:u w:val="single"/>
        </w:rPr>
        <w:t xml:space="preserve">Maduro </w:t>
      </w:r>
      <w:r>
        <w:rPr>
          <w:u w:val="single"/>
        </w:rPr>
        <w:t xml:space="preserve">and his wife were </w:t>
      </w:r>
      <w:r w:rsidRPr="003F4484">
        <w:rPr>
          <w:highlight w:val="green"/>
          <w:u w:val="single"/>
        </w:rPr>
        <w:t xml:space="preserve">captured </w:t>
      </w:r>
      <w:r>
        <w:rPr>
          <w:u w:val="single"/>
        </w:rPr>
        <w:t xml:space="preserve">by U.S. forces. </w:t>
      </w:r>
      <w:r w:rsidRPr="003F4484">
        <w:rPr>
          <w:b/>
          <w:bCs/>
          <w:sz w:val="24"/>
          <w:szCs w:val="24"/>
          <w:highlight w:val="green"/>
          <w:u w:val="single"/>
        </w:rPr>
        <w:t>Hours earlier</w:t>
      </w:r>
      <w:r>
        <w:rPr>
          <w:u w:val="single"/>
        </w:rPr>
        <w:t xml:space="preserve">, a </w:t>
      </w:r>
      <w:r w:rsidRPr="003F4484">
        <w:rPr>
          <w:highlight w:val="green"/>
          <w:u w:val="single"/>
        </w:rPr>
        <w:t>new</w:t>
      </w:r>
      <w:r>
        <w:rPr>
          <w:u w:val="single"/>
        </w:rPr>
        <w:t xml:space="preserve">ly created </w:t>
      </w:r>
      <w:proofErr w:type="spellStart"/>
      <w:r w:rsidRPr="003F4484">
        <w:rPr>
          <w:b/>
          <w:bCs/>
          <w:sz w:val="24"/>
          <w:szCs w:val="24"/>
          <w:highlight w:val="green"/>
          <w:u w:val="single"/>
        </w:rPr>
        <w:t>Polymarket</w:t>
      </w:r>
      <w:proofErr w:type="spellEnd"/>
      <w:r w:rsidRPr="003F4484">
        <w:rPr>
          <w:b/>
          <w:bCs/>
          <w:sz w:val="24"/>
          <w:szCs w:val="24"/>
          <w:highlight w:val="green"/>
          <w:u w:val="single"/>
        </w:rPr>
        <w:t xml:space="preserve"> account </w:t>
      </w:r>
      <w:r>
        <w:rPr>
          <w:u w:val="single"/>
        </w:rPr>
        <w:t xml:space="preserve">had </w:t>
      </w:r>
      <w:r w:rsidRPr="003F4484">
        <w:rPr>
          <w:highlight w:val="green"/>
          <w:u w:val="single"/>
        </w:rPr>
        <w:t xml:space="preserve">invested </w:t>
      </w:r>
      <w:r>
        <w:rPr>
          <w:u w:val="single"/>
        </w:rPr>
        <w:t xml:space="preserve">over </w:t>
      </w:r>
      <w:r w:rsidRPr="003F4484">
        <w:rPr>
          <w:b/>
          <w:bCs/>
          <w:sz w:val="24"/>
          <w:szCs w:val="24"/>
          <w:highlight w:val="green"/>
          <w:u w:val="single"/>
        </w:rPr>
        <w:t xml:space="preserve">$30,000 </w:t>
      </w:r>
      <w:r>
        <w:rPr>
          <w:u w:val="single"/>
        </w:rPr>
        <w:t xml:space="preserve">betting </w:t>
      </w:r>
      <w:r w:rsidRPr="003F4484">
        <w:rPr>
          <w:highlight w:val="green"/>
          <w:u w:val="single"/>
        </w:rPr>
        <w:t>on Maduro’s exit</w:t>
      </w:r>
      <w:r>
        <w:rPr>
          <w:u w:val="single"/>
        </w:rPr>
        <w:t xml:space="preserve">. By morning, that position had netted roughly $400,000 in profit, a </w:t>
      </w:r>
      <w:r>
        <w:rPr>
          <w:b/>
          <w:bCs/>
          <w:u w:val="single"/>
        </w:rPr>
        <w:t xml:space="preserve">1,200 percent </w:t>
      </w:r>
      <w:r>
        <w:rPr>
          <w:u w:val="single"/>
        </w:rPr>
        <w:t>return in less than 24 hours on a military operation.</w:t>
      </w:r>
    </w:p>
    <w:p w14:paraId="563CB8A9" w14:textId="77777777" w:rsidR="00C8414D" w:rsidRDefault="00C8414D" w:rsidP="00C8414D">
      <w:r>
        <w:rPr>
          <w:sz w:val="14"/>
          <w:szCs w:val="14"/>
        </w:rPr>
        <w:t>While prediction markets theoretically prohibit insider trading,</w:t>
      </w:r>
      <w:r>
        <w:rPr>
          <w:u w:val="single"/>
        </w:rPr>
        <w:t xml:space="preserve"> their design creates </w:t>
      </w:r>
      <w:r w:rsidRPr="003F4484">
        <w:rPr>
          <w:highlight w:val="green"/>
          <w:u w:val="single"/>
        </w:rPr>
        <w:t>powerful incentives to monetize nonpublic info</w:t>
      </w:r>
      <w:r>
        <w:rPr>
          <w:u w:val="single"/>
        </w:rPr>
        <w:t xml:space="preserve">rmation, and the platforms lack effective enforcement mechanisms to prevent it. In practice, </w:t>
      </w:r>
      <w:r w:rsidRPr="003F4484">
        <w:rPr>
          <w:b/>
          <w:bCs/>
          <w:sz w:val="24"/>
          <w:szCs w:val="24"/>
          <w:highlight w:val="green"/>
          <w:u w:val="single"/>
        </w:rPr>
        <w:t xml:space="preserve">insider trading </w:t>
      </w:r>
      <w:r>
        <w:rPr>
          <w:b/>
          <w:bCs/>
          <w:u w:val="single"/>
        </w:rPr>
        <w:t xml:space="preserve">on prediction markets is </w:t>
      </w:r>
      <w:r w:rsidRPr="003F4484">
        <w:rPr>
          <w:b/>
          <w:bCs/>
          <w:sz w:val="24"/>
          <w:szCs w:val="24"/>
          <w:highlight w:val="green"/>
          <w:u w:val="single"/>
        </w:rPr>
        <w:t>structurally incentivized</w:t>
      </w:r>
      <w:r>
        <w:rPr>
          <w:sz w:val="14"/>
          <w:szCs w:val="14"/>
        </w:rPr>
        <w:t xml:space="preserve">. This ecosystem is no longer marginal. It now includes federally regulated exchanges such as Kalshi, crypto-native platforms like </w:t>
      </w:r>
      <w:proofErr w:type="spellStart"/>
      <w:r>
        <w:rPr>
          <w:sz w:val="14"/>
          <w:szCs w:val="14"/>
        </w:rPr>
        <w:t>Polymarket</w:t>
      </w:r>
      <w:proofErr w:type="spellEnd"/>
      <w:r>
        <w:rPr>
          <w:sz w:val="14"/>
          <w:szCs w:val="14"/>
        </w:rPr>
        <w:t xml:space="preserve"> operating offshore, and newer entrants backed by major financial and betting firms that are rapidly expanding the range of real-world events that can be traded.</w:t>
      </w:r>
    </w:p>
    <w:p w14:paraId="72850CB9" w14:textId="77777777" w:rsidR="00C8414D" w:rsidRDefault="00C8414D" w:rsidP="00C8414D">
      <w:pPr>
        <w:rPr>
          <w:b/>
          <w:bCs/>
          <w:u w:val="single"/>
        </w:rPr>
      </w:pPr>
      <w:r>
        <w:rPr>
          <w:sz w:val="14"/>
          <w:szCs w:val="14"/>
        </w:rPr>
        <w:t xml:space="preserve">This isn’t hypothetical anymore. In October, Venezuelan opposition leader María Corina Machado won the Nobel Peace Prize. Hours before the announcement, a </w:t>
      </w:r>
      <w:r>
        <w:rPr>
          <w:u w:val="single"/>
        </w:rPr>
        <w:t xml:space="preserve">brand-new </w:t>
      </w:r>
      <w:proofErr w:type="spellStart"/>
      <w:r>
        <w:rPr>
          <w:u w:val="single"/>
        </w:rPr>
        <w:t>Polymarket</w:t>
      </w:r>
      <w:proofErr w:type="spellEnd"/>
      <w:r>
        <w:rPr>
          <w:u w:val="single"/>
        </w:rPr>
        <w:t xml:space="preserve"> account placed initial bets of $68,000. </w:t>
      </w:r>
      <w:r>
        <w:rPr>
          <w:sz w:val="14"/>
          <w:szCs w:val="14"/>
        </w:rPr>
        <w:t xml:space="preserve">The trader netted over $50,000 in profit and Norwegian authorities opened an investigation. </w:t>
      </w:r>
      <w:r>
        <w:rPr>
          <w:u w:val="single"/>
        </w:rPr>
        <w:t xml:space="preserve">In November, someone manipulated the frontline map that </w:t>
      </w:r>
      <w:proofErr w:type="spellStart"/>
      <w:r>
        <w:rPr>
          <w:u w:val="single"/>
        </w:rPr>
        <w:t>Polymarket</w:t>
      </w:r>
      <w:proofErr w:type="spellEnd"/>
      <w:r>
        <w:rPr>
          <w:u w:val="single"/>
        </w:rPr>
        <w:t xml:space="preserve"> uses to settle Ukraine territorial bets, fabricating a Russian advance timed precisely to trigger payouts, then </w:t>
      </w:r>
      <w:r>
        <w:rPr>
          <w:b/>
          <w:bCs/>
          <w:u w:val="single"/>
        </w:rPr>
        <w:t>erasing the evidence after settlement.</w:t>
      </w:r>
    </w:p>
    <w:p w14:paraId="75461388" w14:textId="77777777" w:rsidR="00C8414D" w:rsidRDefault="00C8414D" w:rsidP="00C8414D">
      <w:r>
        <w:rPr>
          <w:sz w:val="14"/>
          <w:szCs w:val="14"/>
        </w:rPr>
        <w:t>And now Venezuela. As U.S. special operations forces executed what President Donald Trump called an “incredibly dangerous attack,” someone was already positioned to profit from Maduro’s capture, betting on binary outcomes of an event they may have known was imminent.</w:t>
      </w:r>
    </w:p>
    <w:p w14:paraId="1C68520D" w14:textId="77777777" w:rsidR="00C8414D" w:rsidRDefault="00C8414D" w:rsidP="00C8414D">
      <w:r>
        <w:rPr>
          <w:sz w:val="14"/>
          <w:szCs w:val="14"/>
        </w:rPr>
        <w:t>At a conference last fall, Kalshi co-founder Tarek Mansour said: “The long-term vision is to financialize everything and create a tradable asset out of any difference in opinion.” Everything from dinner table disagreements to contested elections to whether a head of state gets arrested by Christmas can be raw material for a market.</w:t>
      </w:r>
    </w:p>
    <w:p w14:paraId="69208A1F" w14:textId="77777777" w:rsidR="00C8414D" w:rsidRDefault="00C8414D" w:rsidP="00C8414D">
      <w:r>
        <w:rPr>
          <w:sz w:val="14"/>
          <w:szCs w:val="14"/>
        </w:rPr>
        <w:t>Over the past five years, a certain kind of financial gamification has seeped into American life. It accelerated during the pandemic, when millions of Americans were stuck at home and bored between Zoom calls. They discovered they could day trade on their phones. What followed was a cascade of increasingly absurd speculation: the GameStop short squeeze, Dogecoin, $3 million images of cartoon monkeys. It felt like a joke, mostly. A victimless carnival.</w:t>
      </w:r>
    </w:p>
    <w:p w14:paraId="205FB974" w14:textId="77777777" w:rsidR="00C8414D" w:rsidRDefault="00C8414D" w:rsidP="00C8414D">
      <w:r>
        <w:rPr>
          <w:sz w:val="14"/>
          <w:szCs w:val="14"/>
        </w:rPr>
        <w:t>But the logic never stayed contained. The same infrastructure, the same dopamine loops, the same rhetoric about “democratizing access” kept expanding. Sports betting apps proliferated, followed by prediction markets on elections, Fed rate decisions, celebrity breakups, and wildfire spread — and now, regime change.</w:t>
      </w:r>
    </w:p>
    <w:p w14:paraId="135A6A17" w14:textId="77777777" w:rsidR="00C8414D" w:rsidRDefault="00C8414D" w:rsidP="00C8414D">
      <w:r>
        <w:rPr>
          <w:u w:val="single"/>
        </w:rPr>
        <w:t xml:space="preserve">Kalshi and </w:t>
      </w:r>
      <w:proofErr w:type="spellStart"/>
      <w:r>
        <w:rPr>
          <w:u w:val="single"/>
        </w:rPr>
        <w:t>Polymarket</w:t>
      </w:r>
      <w:proofErr w:type="spellEnd"/>
      <w:r>
        <w:rPr>
          <w:u w:val="single"/>
        </w:rPr>
        <w:t xml:space="preserve"> </w:t>
      </w:r>
      <w:r>
        <w:rPr>
          <w:sz w:val="14"/>
          <w:szCs w:val="14"/>
        </w:rPr>
        <w:t xml:space="preserve">didn’t create this appetite. They’re </w:t>
      </w:r>
      <w:r>
        <w:rPr>
          <w:u w:val="single"/>
        </w:rPr>
        <w:t>supplying it</w:t>
      </w:r>
      <w:r>
        <w:rPr>
          <w:sz w:val="14"/>
          <w:szCs w:val="14"/>
        </w:rPr>
        <w:t xml:space="preserve">. Kalshi was just valued at $11 billion. </w:t>
      </w:r>
      <w:proofErr w:type="spellStart"/>
      <w:r>
        <w:rPr>
          <w:sz w:val="14"/>
          <w:szCs w:val="14"/>
        </w:rPr>
        <w:t>Polymarket</w:t>
      </w:r>
      <w:proofErr w:type="spellEnd"/>
      <w:r>
        <w:rPr>
          <w:sz w:val="14"/>
          <w:szCs w:val="14"/>
        </w:rPr>
        <w:t xml:space="preserve"> secured backing from the parent company of the New York Stock Exchange. The market has spoken. We are the market.</w:t>
      </w:r>
    </w:p>
    <w:p w14:paraId="0EA4AAC2" w14:textId="77777777" w:rsidR="00C8414D" w:rsidRDefault="00C8414D" w:rsidP="00C8414D">
      <w:r>
        <w:rPr>
          <w:sz w:val="14"/>
          <w:szCs w:val="14"/>
        </w:rPr>
        <w:t>Here’s what we’re buying.</w:t>
      </w:r>
    </w:p>
    <w:p w14:paraId="5E378301" w14:textId="77777777" w:rsidR="00C8414D" w:rsidRDefault="00C8414D" w:rsidP="00C8414D">
      <w:pPr>
        <w:rPr>
          <w:u w:val="single"/>
        </w:rPr>
      </w:pPr>
      <w:proofErr w:type="spellStart"/>
      <w:r>
        <w:rPr>
          <w:b/>
          <w:bCs/>
          <w:u w:val="single"/>
        </w:rPr>
        <w:t>Polymarket</w:t>
      </w:r>
      <w:proofErr w:type="spellEnd"/>
      <w:r>
        <w:rPr>
          <w:b/>
          <w:bCs/>
          <w:u w:val="single"/>
        </w:rPr>
        <w:t xml:space="preserve"> now hosts dozens of Venezuela contracts.</w:t>
      </w:r>
      <w:r>
        <w:rPr>
          <w:sz w:val="14"/>
          <w:szCs w:val="14"/>
        </w:rPr>
        <w:t xml:space="preserve"> Will the United States invade by March 31? Will another oil tanker be seized? How many drug boat strikes will be carried out by January 31? Within days of the Maduro operation, the platform added new contracts: Will the United States strike Colombia by year’s end? Cuba? Somalia by January 31? As the Wall Street Journal reported, traders are now betting on whether Iran’s Supreme Leader Ali </w:t>
      </w:r>
      <w:r>
        <w:rPr>
          <w:sz w:val="14"/>
          <w:szCs w:val="14"/>
        </w:rPr>
        <w:lastRenderedPageBreak/>
        <w:t>Khamenei will be removed from power by June, with odds jumping from below 20 percent to 36 percent after the Venezuela operation. The market for Trump acquiring Greenland is low —</w:t>
      </w:r>
      <w:r>
        <w:rPr>
          <w:u w:val="single"/>
        </w:rPr>
        <w:t xml:space="preserve"> but rising.</w:t>
      </w:r>
    </w:p>
    <w:p w14:paraId="12A9B5DA" w14:textId="77777777" w:rsidR="00C8414D" w:rsidRDefault="00C8414D" w:rsidP="00C8414D">
      <w:r>
        <w:rPr>
          <w:sz w:val="14"/>
          <w:szCs w:val="14"/>
        </w:rPr>
        <w:t xml:space="preserve">As the Wall Street Journal has noted, critics warn that </w:t>
      </w:r>
      <w:r>
        <w:rPr>
          <w:u w:val="single"/>
        </w:rPr>
        <w:t xml:space="preserve">prediction-market contracts tied to war </w:t>
      </w:r>
      <w:proofErr w:type="gramStart"/>
      <w:r>
        <w:rPr>
          <w:u w:val="single"/>
        </w:rPr>
        <w:t>can</w:t>
      </w:r>
      <w:proofErr w:type="gramEnd"/>
      <w:r>
        <w:rPr>
          <w:u w:val="single"/>
        </w:rPr>
        <w:t xml:space="preserve"> create </w:t>
      </w:r>
      <w:r>
        <w:rPr>
          <w:b/>
          <w:bCs/>
          <w:sz w:val="24"/>
          <w:szCs w:val="24"/>
          <w:u w:val="single"/>
        </w:rPr>
        <w:t>harmful incentives</w:t>
      </w:r>
      <w:r>
        <w:rPr>
          <w:u w:val="single"/>
        </w:rPr>
        <w:t xml:space="preserve">, especially if </w:t>
      </w:r>
      <w:r w:rsidRPr="003F4484">
        <w:rPr>
          <w:highlight w:val="green"/>
          <w:u w:val="single"/>
        </w:rPr>
        <w:t xml:space="preserve">insiders charged with carrying out military actions </w:t>
      </w:r>
      <w:r>
        <w:rPr>
          <w:u w:val="single"/>
        </w:rPr>
        <w:t xml:space="preserve">are </w:t>
      </w:r>
      <w:r w:rsidRPr="003F4484">
        <w:rPr>
          <w:b/>
          <w:bCs/>
          <w:sz w:val="24"/>
          <w:szCs w:val="24"/>
          <w:highlight w:val="green"/>
          <w:u w:val="single"/>
        </w:rPr>
        <w:t xml:space="preserve">tempted </w:t>
      </w:r>
      <w:r w:rsidRPr="003F4484">
        <w:rPr>
          <w:highlight w:val="green"/>
          <w:u w:val="single"/>
        </w:rPr>
        <w:t xml:space="preserve">with </w:t>
      </w:r>
      <w:r>
        <w:rPr>
          <w:u w:val="single"/>
        </w:rPr>
        <w:t xml:space="preserve">side </w:t>
      </w:r>
      <w:r w:rsidRPr="003F4484">
        <w:rPr>
          <w:highlight w:val="green"/>
          <w:u w:val="single"/>
        </w:rPr>
        <w:t>bets</w:t>
      </w:r>
      <w:r>
        <w:rPr>
          <w:u w:val="single"/>
        </w:rPr>
        <w:t xml:space="preserve">. Tens of </w:t>
      </w:r>
      <w:r w:rsidRPr="003F4484">
        <w:rPr>
          <w:highlight w:val="green"/>
          <w:u w:val="single"/>
        </w:rPr>
        <w:t xml:space="preserve">millions </w:t>
      </w:r>
      <w:r>
        <w:rPr>
          <w:u w:val="single"/>
        </w:rPr>
        <w:t xml:space="preserve">of dollars are </w:t>
      </w:r>
      <w:r w:rsidRPr="003F4484">
        <w:rPr>
          <w:highlight w:val="green"/>
          <w:u w:val="single"/>
        </w:rPr>
        <w:t>wagered on events that could kill thousands</w:t>
      </w:r>
      <w:r>
        <w:rPr>
          <w:sz w:val="14"/>
          <w:szCs w:val="14"/>
        </w:rPr>
        <w:t>.</w:t>
      </w:r>
    </w:p>
    <w:p w14:paraId="13B222AC" w14:textId="77777777" w:rsidR="00C8414D" w:rsidRDefault="00C8414D" w:rsidP="00C8414D">
      <w:r>
        <w:rPr>
          <w:sz w:val="14"/>
          <w:szCs w:val="14"/>
        </w:rPr>
        <w:t xml:space="preserve">In Ukraine, a volunteer-built website called </w:t>
      </w:r>
      <w:proofErr w:type="spellStart"/>
      <w:proofErr w:type="gramStart"/>
      <w:r>
        <w:rPr>
          <w:sz w:val="14"/>
          <w:szCs w:val="14"/>
        </w:rPr>
        <w:t>DeepStateMap</w:t>
      </w:r>
      <w:proofErr w:type="spellEnd"/>
      <w:r>
        <w:rPr>
          <w:sz w:val="14"/>
          <w:szCs w:val="14"/>
        </w:rPr>
        <w:t xml:space="preserve">  —</w:t>
      </w:r>
      <w:proofErr w:type="gramEnd"/>
      <w:r>
        <w:rPr>
          <w:sz w:val="14"/>
          <w:szCs w:val="14"/>
        </w:rPr>
        <w:t xml:space="preserve"> which villages are occupied, where the front is holding, where it looks fragile. Ukrainians check it the way Americans check the weather. For civilians in the east, it’s a survival tool.</w:t>
      </w:r>
    </w:p>
    <w:p w14:paraId="33E8D5FC" w14:textId="77777777" w:rsidR="00C8414D" w:rsidRDefault="00C8414D" w:rsidP="00C8414D">
      <w:pPr>
        <w:rPr>
          <w:u w:val="single"/>
        </w:rPr>
      </w:pPr>
      <w:r>
        <w:rPr>
          <w:sz w:val="14"/>
          <w:szCs w:val="14"/>
        </w:rPr>
        <w:t xml:space="preserve">Last year, a developer synced that map directly to </w:t>
      </w:r>
      <w:proofErr w:type="spellStart"/>
      <w:r>
        <w:rPr>
          <w:sz w:val="14"/>
          <w:szCs w:val="14"/>
        </w:rPr>
        <w:t>Polymarket’s</w:t>
      </w:r>
      <w:proofErr w:type="spellEnd"/>
      <w:r>
        <w:rPr>
          <w:sz w:val="14"/>
          <w:szCs w:val="14"/>
        </w:rPr>
        <w:t xml:space="preserve"> war-betting interface: hover over a village, see the odds</w:t>
      </w:r>
      <w:r>
        <w:rPr>
          <w:u w:val="single"/>
        </w:rPr>
        <w:t>. The place where someone’s parents live becomes the place where someone else has “Yes” priced to three decimal places.</w:t>
      </w:r>
    </w:p>
    <w:p w14:paraId="0665F28D" w14:textId="77777777" w:rsidR="00C8414D" w:rsidRDefault="00C8414D" w:rsidP="00C8414D">
      <w:pPr>
        <w:rPr>
          <w:u w:val="single"/>
        </w:rPr>
      </w:pPr>
      <w:r>
        <w:rPr>
          <w:sz w:val="14"/>
          <w:szCs w:val="14"/>
        </w:rPr>
        <w:t xml:space="preserve">The platforms say they’re aggregating information, surfacing truth better than polls or pundits. Perhaps. But when CFTC Chairman Rostin Behnam warned in 2023 that political event contracts would require the agency to monitor </w:t>
      </w:r>
      <w:r>
        <w:rPr>
          <w:u w:val="single"/>
        </w:rPr>
        <w:t>“countless participants in the political machinations” to prevent manipulation, he was highlighting a regulatory nightmare. Among the most troubling risks: what economists call an agency problem — a fundamental misalignment of incentives between those executing actions and those they serve.</w:t>
      </w:r>
    </w:p>
    <w:p w14:paraId="1016C213" w14:textId="77777777" w:rsidR="00C8414D" w:rsidRDefault="00C8414D" w:rsidP="00C8414D">
      <w:pPr>
        <w:rPr>
          <w:u w:val="single"/>
        </w:rPr>
      </w:pPr>
      <w:r>
        <w:rPr>
          <w:sz w:val="14"/>
          <w:szCs w:val="14"/>
        </w:rPr>
        <w:t xml:space="preserve">A </w:t>
      </w:r>
      <w:r w:rsidRPr="003F4484">
        <w:rPr>
          <w:b/>
          <w:bCs/>
          <w:sz w:val="24"/>
          <w:szCs w:val="24"/>
          <w:highlight w:val="green"/>
          <w:u w:val="single"/>
        </w:rPr>
        <w:t xml:space="preserve">military commander </w:t>
      </w:r>
      <w:r>
        <w:rPr>
          <w:u w:val="single"/>
        </w:rPr>
        <w:t xml:space="preserve">should answer to </w:t>
      </w:r>
      <w:r>
        <w:rPr>
          <w:b/>
          <w:bCs/>
          <w:u w:val="single"/>
        </w:rPr>
        <w:t xml:space="preserve">civilian </w:t>
      </w:r>
      <w:r>
        <w:rPr>
          <w:b/>
          <w:bCs/>
          <w:sz w:val="24"/>
          <w:szCs w:val="24"/>
          <w:u w:val="single"/>
        </w:rPr>
        <w:t xml:space="preserve">leadership </w:t>
      </w:r>
      <w:r>
        <w:rPr>
          <w:u w:val="single"/>
        </w:rPr>
        <w:t xml:space="preserve">and the mission </w:t>
      </w:r>
      <w:r>
        <w:rPr>
          <w:b/>
          <w:bCs/>
          <w:sz w:val="24"/>
          <w:szCs w:val="24"/>
          <w:u w:val="single"/>
        </w:rPr>
        <w:t>objective</w:t>
      </w:r>
      <w:r>
        <w:rPr>
          <w:u w:val="single"/>
        </w:rPr>
        <w:t xml:space="preserve">. </w:t>
      </w:r>
      <w:r w:rsidRPr="003F4484">
        <w:rPr>
          <w:highlight w:val="green"/>
          <w:u w:val="single"/>
        </w:rPr>
        <w:t xml:space="preserve">Now </w:t>
      </w:r>
      <w:r>
        <w:rPr>
          <w:u w:val="single"/>
        </w:rPr>
        <w:t xml:space="preserve">he also </w:t>
      </w:r>
      <w:r w:rsidRPr="003F4484">
        <w:rPr>
          <w:highlight w:val="green"/>
          <w:u w:val="single"/>
        </w:rPr>
        <w:t xml:space="preserve">has </w:t>
      </w:r>
      <w:r>
        <w:rPr>
          <w:u w:val="single"/>
        </w:rPr>
        <w:t xml:space="preserve">a </w:t>
      </w:r>
      <w:r w:rsidRPr="003F4484">
        <w:rPr>
          <w:highlight w:val="green"/>
          <w:u w:val="single"/>
        </w:rPr>
        <w:t>financial interest in whether his unit holds or retreats</w:t>
      </w:r>
      <w:r>
        <w:rPr>
          <w:u w:val="single"/>
        </w:rPr>
        <w:t xml:space="preserve">. A </w:t>
      </w:r>
      <w:r w:rsidRPr="003F4484">
        <w:rPr>
          <w:highlight w:val="green"/>
          <w:u w:val="single"/>
        </w:rPr>
        <w:t>diplomat negotiating a ceasefire</w:t>
      </w:r>
      <w:r>
        <w:rPr>
          <w:u w:val="single"/>
        </w:rPr>
        <w:t xml:space="preserve"> serves her country’s strategic interests, but</w:t>
      </w:r>
      <w:r w:rsidRPr="003F4484">
        <w:rPr>
          <w:highlight w:val="green"/>
          <w:u w:val="single"/>
        </w:rPr>
        <w:t xml:space="preserve"> if</w:t>
      </w:r>
      <w:r>
        <w:rPr>
          <w:u w:val="single"/>
        </w:rPr>
        <w:t xml:space="preserve"> she’s placed </w:t>
      </w:r>
      <w:r w:rsidRPr="003F4484">
        <w:rPr>
          <w:highlight w:val="green"/>
          <w:u w:val="single"/>
        </w:rPr>
        <w:t xml:space="preserve">bets on </w:t>
      </w:r>
      <w:r>
        <w:rPr>
          <w:u w:val="single"/>
        </w:rPr>
        <w:t xml:space="preserve">the </w:t>
      </w:r>
      <w:r w:rsidRPr="003F4484">
        <w:rPr>
          <w:b/>
          <w:bCs/>
          <w:sz w:val="24"/>
          <w:szCs w:val="24"/>
          <w:highlight w:val="green"/>
          <w:u w:val="single"/>
        </w:rPr>
        <w:t>talks failing</w:t>
      </w:r>
      <w:r w:rsidRPr="003F4484">
        <w:rPr>
          <w:highlight w:val="green"/>
          <w:u w:val="single"/>
        </w:rPr>
        <w:t xml:space="preserve">, </w:t>
      </w:r>
      <w:r>
        <w:rPr>
          <w:u w:val="single"/>
        </w:rPr>
        <w:t xml:space="preserve">her </w:t>
      </w:r>
      <w:r w:rsidRPr="003F4484">
        <w:rPr>
          <w:b/>
          <w:bCs/>
          <w:sz w:val="24"/>
          <w:szCs w:val="24"/>
          <w:highlight w:val="green"/>
          <w:u w:val="single"/>
        </w:rPr>
        <w:t xml:space="preserve">incentives diverge </w:t>
      </w:r>
      <w:r>
        <w:rPr>
          <w:u w:val="single"/>
        </w:rPr>
        <w:t xml:space="preserve">from her duty. An </w:t>
      </w:r>
      <w:r w:rsidRPr="003F4484">
        <w:rPr>
          <w:b/>
          <w:bCs/>
          <w:sz w:val="24"/>
          <w:szCs w:val="24"/>
          <w:highlight w:val="green"/>
          <w:u w:val="single"/>
        </w:rPr>
        <w:t xml:space="preserve">intelligence analyst </w:t>
      </w:r>
      <w:r>
        <w:rPr>
          <w:b/>
          <w:bCs/>
          <w:u w:val="single"/>
        </w:rPr>
        <w:t xml:space="preserve">advising on military timing </w:t>
      </w:r>
      <w:r w:rsidRPr="003F4484">
        <w:rPr>
          <w:highlight w:val="green"/>
          <w:u w:val="single"/>
        </w:rPr>
        <w:t xml:space="preserve">can </w:t>
      </w:r>
      <w:r w:rsidRPr="003F4484">
        <w:rPr>
          <w:b/>
          <w:bCs/>
          <w:sz w:val="24"/>
          <w:szCs w:val="24"/>
          <w:highlight w:val="green"/>
          <w:u w:val="single"/>
        </w:rPr>
        <w:t xml:space="preserve">front-run </w:t>
      </w:r>
      <w:r w:rsidRPr="003F4484">
        <w:rPr>
          <w:highlight w:val="green"/>
          <w:u w:val="single"/>
        </w:rPr>
        <w:t>his own assessment.</w:t>
      </w:r>
    </w:p>
    <w:p w14:paraId="542004E1" w14:textId="77777777" w:rsidR="00C8414D" w:rsidRDefault="00C8414D" w:rsidP="00C8414D">
      <w:r>
        <w:rPr>
          <w:sz w:val="14"/>
          <w:szCs w:val="14"/>
        </w:rPr>
        <w:t xml:space="preserve">To be clear, there is no public evidence that U.S. officials have placed such bets. That is </w:t>
      </w:r>
      <w:r>
        <w:rPr>
          <w:b/>
          <w:bCs/>
          <w:u w:val="single"/>
        </w:rPr>
        <w:t>precisely the problem</w:t>
      </w:r>
      <w:r>
        <w:rPr>
          <w:sz w:val="14"/>
          <w:szCs w:val="14"/>
        </w:rPr>
        <w:t xml:space="preserve">: the </w:t>
      </w:r>
      <w:r w:rsidRPr="003F4484">
        <w:rPr>
          <w:highlight w:val="green"/>
          <w:u w:val="single"/>
        </w:rPr>
        <w:t xml:space="preserve">system </w:t>
      </w:r>
      <w:r>
        <w:rPr>
          <w:sz w:val="14"/>
          <w:szCs w:val="14"/>
        </w:rPr>
        <w:t xml:space="preserve">is </w:t>
      </w:r>
      <w:r w:rsidRPr="003F4484">
        <w:rPr>
          <w:highlight w:val="green"/>
          <w:u w:val="single"/>
        </w:rPr>
        <w:t xml:space="preserve">designed so that we would </w:t>
      </w:r>
      <w:r>
        <w:rPr>
          <w:sz w:val="14"/>
          <w:szCs w:val="14"/>
        </w:rPr>
        <w:t xml:space="preserve">likely </w:t>
      </w:r>
      <w:r w:rsidRPr="003F4484">
        <w:rPr>
          <w:b/>
          <w:bCs/>
          <w:sz w:val="24"/>
          <w:szCs w:val="24"/>
          <w:highlight w:val="green"/>
          <w:u w:val="single"/>
        </w:rPr>
        <w:t>never know</w:t>
      </w:r>
      <w:r>
        <w:rPr>
          <w:sz w:val="14"/>
          <w:szCs w:val="14"/>
        </w:rPr>
        <w:t>.</w:t>
      </w:r>
    </w:p>
    <w:p w14:paraId="6B680B7F" w14:textId="77777777" w:rsidR="00C8414D" w:rsidRDefault="00C8414D" w:rsidP="00C8414D">
      <w:r>
        <w:rPr>
          <w:sz w:val="14"/>
          <w:szCs w:val="14"/>
        </w:rPr>
        <w:t xml:space="preserve">Prediction markets tied to military and diplomatic outcomes generate </w:t>
      </w:r>
      <w:r>
        <w:rPr>
          <w:b/>
          <w:bCs/>
          <w:u w:val="single"/>
        </w:rPr>
        <w:t>three distinct risks</w:t>
      </w:r>
      <w:r>
        <w:rPr>
          <w:u w:val="single"/>
        </w:rPr>
        <w:t xml:space="preserve">. First, they incentivize monetizing nonpublic information. Second, they </w:t>
      </w:r>
      <w:r w:rsidRPr="003F4484">
        <w:rPr>
          <w:highlight w:val="green"/>
          <w:u w:val="single"/>
        </w:rPr>
        <w:t>enable direct manipulation of outcomes</w:t>
      </w:r>
      <w:r>
        <w:rPr>
          <w:u w:val="single"/>
        </w:rPr>
        <w:t xml:space="preserve">. Third, they </w:t>
      </w:r>
      <w:r w:rsidRPr="003F4484">
        <w:rPr>
          <w:highlight w:val="green"/>
          <w:u w:val="single"/>
        </w:rPr>
        <w:t xml:space="preserve">corrupt decision-making </w:t>
      </w:r>
      <w:r>
        <w:rPr>
          <w:u w:val="single"/>
        </w:rPr>
        <w:t xml:space="preserve">incentives </w:t>
      </w:r>
      <w:r w:rsidRPr="003F4484">
        <w:rPr>
          <w:highlight w:val="green"/>
          <w:u w:val="single"/>
        </w:rPr>
        <w:t xml:space="preserve">among those with authority over events </w:t>
      </w:r>
      <w:r>
        <w:rPr>
          <w:u w:val="single"/>
        </w:rPr>
        <w:t>themselves</w:t>
      </w:r>
      <w:r>
        <w:rPr>
          <w:sz w:val="14"/>
          <w:szCs w:val="14"/>
        </w:rPr>
        <w:t>. War uniquely activates all three.</w:t>
      </w:r>
    </w:p>
    <w:p w14:paraId="118DE639" w14:textId="77777777" w:rsidR="00C8414D" w:rsidRDefault="00C8414D" w:rsidP="00C8414D">
      <w:r>
        <w:rPr>
          <w:u w:val="single"/>
        </w:rPr>
        <w:t xml:space="preserve">When </w:t>
      </w:r>
      <w:r w:rsidRPr="003F4484">
        <w:rPr>
          <w:highlight w:val="green"/>
          <w:u w:val="single"/>
        </w:rPr>
        <w:t xml:space="preserve">markets enable profiting from war, </w:t>
      </w:r>
      <w:r>
        <w:rPr>
          <w:u w:val="single"/>
        </w:rPr>
        <w:t xml:space="preserve">they </w:t>
      </w:r>
      <w:r w:rsidRPr="003F4484">
        <w:rPr>
          <w:highlight w:val="green"/>
          <w:u w:val="single"/>
        </w:rPr>
        <w:t xml:space="preserve">create incentives to </w:t>
      </w:r>
      <w:r w:rsidRPr="003F4484">
        <w:rPr>
          <w:b/>
          <w:bCs/>
          <w:sz w:val="24"/>
          <w:szCs w:val="24"/>
          <w:highlight w:val="green"/>
          <w:u w:val="single"/>
        </w:rPr>
        <w:t>prolong it</w:t>
      </w:r>
      <w:r>
        <w:rPr>
          <w:u w:val="single"/>
        </w:rPr>
        <w:t xml:space="preserve">. When they enable </w:t>
      </w:r>
      <w:r w:rsidRPr="003F4484">
        <w:rPr>
          <w:highlight w:val="green"/>
          <w:u w:val="single"/>
        </w:rPr>
        <w:t xml:space="preserve">profiting from diplomatic </w:t>
      </w:r>
      <w:r w:rsidRPr="003F4484">
        <w:rPr>
          <w:b/>
          <w:bCs/>
          <w:sz w:val="24"/>
          <w:szCs w:val="24"/>
          <w:highlight w:val="green"/>
          <w:u w:val="single"/>
        </w:rPr>
        <w:t>failure</w:t>
      </w:r>
      <w:r w:rsidRPr="003F4484">
        <w:rPr>
          <w:highlight w:val="green"/>
          <w:u w:val="single"/>
        </w:rPr>
        <w:t xml:space="preserve">, </w:t>
      </w:r>
      <w:r>
        <w:rPr>
          <w:u w:val="single"/>
        </w:rPr>
        <w:t xml:space="preserve">they </w:t>
      </w:r>
      <w:r w:rsidRPr="003F4484">
        <w:rPr>
          <w:highlight w:val="green"/>
          <w:u w:val="single"/>
        </w:rPr>
        <w:t xml:space="preserve">create </w:t>
      </w:r>
      <w:r w:rsidRPr="003F4484">
        <w:rPr>
          <w:b/>
          <w:bCs/>
          <w:sz w:val="24"/>
          <w:szCs w:val="24"/>
          <w:highlight w:val="green"/>
          <w:u w:val="single"/>
        </w:rPr>
        <w:t xml:space="preserve">incentives against </w:t>
      </w:r>
      <w:r w:rsidRPr="003F4484">
        <w:rPr>
          <w:highlight w:val="green"/>
          <w:u w:val="single"/>
        </w:rPr>
        <w:t>peace</w:t>
      </w:r>
      <w:r>
        <w:rPr>
          <w:u w:val="single"/>
        </w:rPr>
        <w:t xml:space="preserve">. When </w:t>
      </w:r>
      <w:r w:rsidRPr="003F4484">
        <w:rPr>
          <w:highlight w:val="green"/>
          <w:u w:val="single"/>
        </w:rPr>
        <w:t>classified info</w:t>
      </w:r>
      <w:r>
        <w:rPr>
          <w:u w:val="single"/>
        </w:rPr>
        <w:t xml:space="preserve">rmation </w:t>
      </w:r>
      <w:r w:rsidRPr="003F4484">
        <w:rPr>
          <w:highlight w:val="green"/>
          <w:u w:val="single"/>
        </w:rPr>
        <w:t xml:space="preserve">becomes </w:t>
      </w:r>
      <w:r w:rsidRPr="003F4484">
        <w:rPr>
          <w:b/>
          <w:bCs/>
          <w:sz w:val="24"/>
          <w:szCs w:val="24"/>
          <w:highlight w:val="green"/>
          <w:u w:val="single"/>
        </w:rPr>
        <w:t xml:space="preserve">tradeable </w:t>
      </w:r>
      <w:r>
        <w:rPr>
          <w:u w:val="single"/>
        </w:rPr>
        <w:t xml:space="preserve">alpha, the entire decision-making apparatus of national </w:t>
      </w:r>
      <w:r w:rsidRPr="003F4484">
        <w:rPr>
          <w:highlight w:val="green"/>
          <w:u w:val="single"/>
        </w:rPr>
        <w:t>security</w:t>
      </w:r>
      <w:r>
        <w:rPr>
          <w:u w:val="single"/>
        </w:rPr>
        <w:t xml:space="preserve"> becomes </w:t>
      </w:r>
      <w:r w:rsidRPr="003F4484">
        <w:rPr>
          <w:highlight w:val="green"/>
          <w:u w:val="single"/>
        </w:rPr>
        <w:t xml:space="preserve">vulnerable to </w:t>
      </w:r>
      <w:r w:rsidRPr="003F4484">
        <w:rPr>
          <w:b/>
          <w:bCs/>
          <w:sz w:val="24"/>
          <w:szCs w:val="24"/>
          <w:highlight w:val="green"/>
          <w:u w:val="single"/>
        </w:rPr>
        <w:t>corruption</w:t>
      </w:r>
      <w:r>
        <w:rPr>
          <w:sz w:val="14"/>
          <w:szCs w:val="14"/>
        </w:rPr>
        <w:t>.</w:t>
      </w:r>
    </w:p>
    <w:p w14:paraId="0BC5DF85" w14:textId="77777777" w:rsidR="00C8414D" w:rsidRDefault="00C8414D" w:rsidP="00C8414D">
      <w:r>
        <w:rPr>
          <w:sz w:val="14"/>
          <w:szCs w:val="14"/>
        </w:rPr>
        <w:t xml:space="preserve">Congress is </w:t>
      </w:r>
      <w:proofErr w:type="gramStart"/>
      <w:r>
        <w:rPr>
          <w:sz w:val="14"/>
          <w:szCs w:val="14"/>
        </w:rPr>
        <w:t>beginning to notice</w:t>
      </w:r>
      <w:proofErr w:type="gramEnd"/>
      <w:r>
        <w:rPr>
          <w:sz w:val="14"/>
          <w:szCs w:val="14"/>
        </w:rPr>
        <w:t>. Rep. Ritchie Torres introduced the Public Integrity in Financial Prediction Markets Act of 2026, which would prohibit federal officials and appointees from trading prediction market contracts tied to government policy when they have nonpublic information. The restriction mirrors existing insider trading standards in traditional financial markets but extends them to prediction markets.</w:t>
      </w:r>
    </w:p>
    <w:p w14:paraId="411C9761" w14:textId="77777777" w:rsidR="00C8414D" w:rsidRDefault="00C8414D" w:rsidP="00C8414D">
      <w:r>
        <w:rPr>
          <w:sz w:val="14"/>
          <w:szCs w:val="14"/>
        </w:rPr>
        <w:t xml:space="preserve">Yet critical questions remain unresolved. Should prohibitions apply only to those with direct access to classified planning, or extend across the interagency apparatus, including contractors and foreign liaison officers? Should certain event categories, such as kill-or-capture operations, covert action, and active military strikes, be prohibited entirely as </w:t>
      </w:r>
      <w:proofErr w:type="spellStart"/>
      <w:r>
        <w:rPr>
          <w:sz w:val="14"/>
          <w:szCs w:val="14"/>
        </w:rPr>
        <w:t>bettable</w:t>
      </w:r>
      <w:proofErr w:type="spellEnd"/>
      <w:r>
        <w:rPr>
          <w:sz w:val="14"/>
          <w:szCs w:val="14"/>
        </w:rPr>
        <w:t xml:space="preserve"> events, regardless of who is trading?</w:t>
      </w:r>
    </w:p>
    <w:p w14:paraId="00E84892" w14:textId="77777777" w:rsidR="00C8414D" w:rsidRDefault="00C8414D" w:rsidP="00C8414D">
      <w:r>
        <w:rPr>
          <w:u w:val="single"/>
        </w:rPr>
        <w:t xml:space="preserve">Enforcement presents a formidable challenge. Most </w:t>
      </w:r>
      <w:r w:rsidRPr="003F4484">
        <w:rPr>
          <w:highlight w:val="green"/>
          <w:u w:val="single"/>
        </w:rPr>
        <w:t xml:space="preserve">platforms operate through </w:t>
      </w:r>
      <w:r>
        <w:rPr>
          <w:u w:val="single"/>
        </w:rPr>
        <w:t xml:space="preserve">offshore entities or </w:t>
      </w:r>
      <w:r w:rsidRPr="003F4484">
        <w:rPr>
          <w:b/>
          <w:bCs/>
          <w:sz w:val="24"/>
          <w:szCs w:val="24"/>
          <w:highlight w:val="green"/>
          <w:u w:val="single"/>
        </w:rPr>
        <w:t xml:space="preserve">decentralized blockchain </w:t>
      </w:r>
      <w:r>
        <w:rPr>
          <w:u w:val="single"/>
        </w:rPr>
        <w:t xml:space="preserve">protocols where traders use </w:t>
      </w:r>
      <w:r w:rsidRPr="003F4484">
        <w:rPr>
          <w:highlight w:val="green"/>
          <w:u w:val="single"/>
        </w:rPr>
        <w:t>pseudonymous wallets</w:t>
      </w:r>
      <w:r>
        <w:rPr>
          <w:sz w:val="14"/>
          <w:szCs w:val="14"/>
        </w:rPr>
        <w:t>. Effective regulation would require mandatory know-your-customer verification tied to government employment status, expanded blockchain forensics capabilities within the Treasury Department or the Commodity Futures Trading Commission, or categorical prohibition on hosting these contract types on U.S.-accessible platforms — the regulatory equivalent of export controls for financial products.</w:t>
      </w:r>
    </w:p>
    <w:p w14:paraId="6A34C4D4" w14:textId="77777777" w:rsidR="00C8414D" w:rsidRDefault="00C8414D" w:rsidP="00C8414D">
      <w:r>
        <w:rPr>
          <w:sz w:val="14"/>
          <w:szCs w:val="14"/>
        </w:rPr>
        <w:t>Consider the precedent: U.S. persons must disclose foreign bank accounts exceeding $10,000 under Report of Foreign Bank and Financial Accounts requirements. Extending similar disclosure obligations to crypto wallet addresses for federal employees with security clearances — integrated into existing Office of Government Ethics filings — could create an auditable trail where counterintelligence risk is most acute.</w:t>
      </w:r>
    </w:p>
    <w:p w14:paraId="056FF746" w14:textId="77777777" w:rsidR="00C8414D" w:rsidRDefault="00C8414D" w:rsidP="00C8414D">
      <w:r>
        <w:rPr>
          <w:u w:val="single"/>
        </w:rPr>
        <w:lastRenderedPageBreak/>
        <w:t xml:space="preserve">The regulatory tools already exist. In 2022, the Commodity Futures Trading Commission fined </w:t>
      </w:r>
      <w:proofErr w:type="spellStart"/>
      <w:r>
        <w:rPr>
          <w:u w:val="single"/>
        </w:rPr>
        <w:t>Polymarket</w:t>
      </w:r>
      <w:proofErr w:type="spellEnd"/>
      <w:r>
        <w:rPr>
          <w:u w:val="single"/>
        </w:rPr>
        <w:t xml:space="preserve"> $1.4 million for operating an unregistered derivatives exchange. </w:t>
      </w:r>
      <w:proofErr w:type="spellStart"/>
      <w:r>
        <w:rPr>
          <w:sz w:val="14"/>
          <w:szCs w:val="14"/>
        </w:rPr>
        <w:t>Polymarket</w:t>
      </w:r>
      <w:proofErr w:type="spellEnd"/>
      <w:r>
        <w:rPr>
          <w:sz w:val="14"/>
          <w:szCs w:val="14"/>
        </w:rPr>
        <w:t xml:space="preserve"> subsequently restructured, acquired a licensed exchange, and received Commission approval to resume limited U.S. operations in late 2025 through a registered intermediary. This demonstrates that compliance frameworks can be enforced. The question is whether regulators will apply them to markets tied to classified military operations.</w:t>
      </w:r>
    </w:p>
    <w:p w14:paraId="336DF9D8" w14:textId="77777777" w:rsidR="00C8414D" w:rsidRDefault="00C8414D" w:rsidP="00C8414D">
      <w:r>
        <w:rPr>
          <w:sz w:val="14"/>
          <w:szCs w:val="14"/>
        </w:rPr>
        <w:t xml:space="preserve">The counterargument is that such trading would already be illegal under existing insider trading laws. Perhaps. But </w:t>
      </w:r>
      <w:proofErr w:type="spellStart"/>
      <w:r>
        <w:rPr>
          <w:sz w:val="14"/>
          <w:szCs w:val="14"/>
        </w:rPr>
        <w:t>Polymarket</w:t>
      </w:r>
      <w:proofErr w:type="spellEnd"/>
      <w:r>
        <w:rPr>
          <w:sz w:val="14"/>
          <w:szCs w:val="14"/>
        </w:rPr>
        <w:t xml:space="preserve"> operates offshore, offers pseudonymity, and exists in a regulatory gray zone. Kalshi is domestically regulated, but with definitions of material nonpublic information so loose for event contracts that enforcement is functionally infeasible.</w:t>
      </w:r>
    </w:p>
    <w:p w14:paraId="1D169CE7" w14:textId="77777777" w:rsidR="00C8414D" w:rsidRDefault="00C8414D" w:rsidP="00C8414D">
      <w:r>
        <w:rPr>
          <w:sz w:val="14"/>
          <w:szCs w:val="14"/>
        </w:rPr>
        <w:t>More fundamentally, prediction markets function by rewarding those with superior information. In many domains, that means better analysis. In domains governed by secrecy, it means access to nonpublic knowledge. Mansour gestures toward this logic explicitly. When those informational advantages include security clearances, the system becomes a mechanism for converting classified intelligence into private profit.</w:t>
      </w:r>
    </w:p>
    <w:p w14:paraId="078DFDB2" w14:textId="77777777" w:rsidR="00C8414D" w:rsidRDefault="00C8414D" w:rsidP="00C8414D">
      <w:pPr>
        <w:rPr>
          <w:u w:val="single"/>
        </w:rPr>
      </w:pPr>
      <w:r w:rsidRPr="003F4484">
        <w:rPr>
          <w:b/>
          <w:bCs/>
          <w:sz w:val="24"/>
          <w:szCs w:val="24"/>
          <w:highlight w:val="green"/>
          <w:u w:val="single"/>
        </w:rPr>
        <w:t xml:space="preserve">Moscow </w:t>
      </w:r>
      <w:r w:rsidRPr="003F4484">
        <w:rPr>
          <w:highlight w:val="green"/>
          <w:u w:val="single"/>
        </w:rPr>
        <w:t xml:space="preserve">and </w:t>
      </w:r>
      <w:r w:rsidRPr="003F4484">
        <w:rPr>
          <w:b/>
          <w:bCs/>
          <w:sz w:val="24"/>
          <w:szCs w:val="24"/>
          <w:highlight w:val="green"/>
          <w:u w:val="single"/>
        </w:rPr>
        <w:t xml:space="preserve">Beijing </w:t>
      </w:r>
      <w:r>
        <w:rPr>
          <w:u w:val="single"/>
        </w:rPr>
        <w:t xml:space="preserve">are </w:t>
      </w:r>
      <w:r>
        <w:rPr>
          <w:b/>
          <w:bCs/>
          <w:sz w:val="24"/>
          <w:szCs w:val="24"/>
          <w:u w:val="single"/>
        </w:rPr>
        <w:t xml:space="preserve">certainly </w:t>
      </w:r>
      <w:r w:rsidRPr="003F4484">
        <w:rPr>
          <w:b/>
          <w:bCs/>
          <w:sz w:val="24"/>
          <w:szCs w:val="24"/>
          <w:highlight w:val="green"/>
          <w:u w:val="single"/>
        </w:rPr>
        <w:t>watching</w:t>
      </w:r>
      <w:r>
        <w:rPr>
          <w:u w:val="single"/>
        </w:rPr>
        <w:t xml:space="preserve">. Why spend resources recruiting assets when your adversary’s own national </w:t>
      </w:r>
      <w:r w:rsidRPr="003F4484">
        <w:rPr>
          <w:highlight w:val="green"/>
          <w:u w:val="single"/>
        </w:rPr>
        <w:t xml:space="preserve">security apparatus </w:t>
      </w:r>
      <w:r>
        <w:rPr>
          <w:u w:val="single"/>
        </w:rPr>
        <w:t xml:space="preserve">is </w:t>
      </w:r>
      <w:r w:rsidRPr="003F4484">
        <w:rPr>
          <w:highlight w:val="green"/>
          <w:u w:val="single"/>
        </w:rPr>
        <w:t xml:space="preserve">incentivized to </w:t>
      </w:r>
      <w:r w:rsidRPr="003F4484">
        <w:rPr>
          <w:b/>
          <w:bCs/>
          <w:sz w:val="24"/>
          <w:szCs w:val="24"/>
          <w:highlight w:val="green"/>
          <w:u w:val="single"/>
        </w:rPr>
        <w:t xml:space="preserve">leak </w:t>
      </w:r>
      <w:r w:rsidRPr="003F4484">
        <w:rPr>
          <w:highlight w:val="green"/>
          <w:u w:val="single"/>
        </w:rPr>
        <w:t xml:space="preserve">through </w:t>
      </w:r>
      <w:r>
        <w:rPr>
          <w:u w:val="single"/>
        </w:rPr>
        <w:t xml:space="preserve">anonymous </w:t>
      </w:r>
      <w:r w:rsidRPr="003F4484">
        <w:rPr>
          <w:highlight w:val="green"/>
          <w:u w:val="single"/>
        </w:rPr>
        <w:t>betting markets</w:t>
      </w:r>
      <w:r>
        <w:rPr>
          <w:u w:val="single"/>
        </w:rPr>
        <w:t>? Why run a complex disinformation campaign when you can simply place large bets to move markets and observe who profits, thereby identifying who has access?</w:t>
      </w:r>
    </w:p>
    <w:p w14:paraId="6D4A5CD8" w14:textId="77777777" w:rsidR="00C8414D" w:rsidRDefault="00C8414D" w:rsidP="00C8414D">
      <w:pPr>
        <w:rPr>
          <w:u w:val="single"/>
        </w:rPr>
      </w:pPr>
      <w:r>
        <w:rPr>
          <w:sz w:val="14"/>
          <w:szCs w:val="14"/>
        </w:rPr>
        <w:t xml:space="preserve">The </w:t>
      </w:r>
      <w:r>
        <w:rPr>
          <w:u w:val="single"/>
        </w:rPr>
        <w:t>current configuration of prediction markets allows war to become a portfolio diversification strategy</w:t>
      </w:r>
      <w:r>
        <w:rPr>
          <w:sz w:val="14"/>
          <w:szCs w:val="14"/>
        </w:rPr>
        <w:t xml:space="preserve">, where the </w:t>
      </w:r>
      <w:r w:rsidRPr="003F4484">
        <w:rPr>
          <w:b/>
          <w:bCs/>
          <w:sz w:val="24"/>
          <w:szCs w:val="24"/>
          <w:highlight w:val="green"/>
          <w:u w:val="single"/>
        </w:rPr>
        <w:t xml:space="preserve">same people </w:t>
      </w:r>
      <w:r w:rsidRPr="003F4484">
        <w:rPr>
          <w:highlight w:val="green"/>
          <w:u w:val="single"/>
        </w:rPr>
        <w:t xml:space="preserve">briefing the President on military options </w:t>
      </w:r>
      <w:r>
        <w:rPr>
          <w:u w:val="single"/>
        </w:rPr>
        <w:t xml:space="preserve">can </w:t>
      </w:r>
      <w:r w:rsidRPr="003F4484">
        <w:rPr>
          <w:highlight w:val="green"/>
          <w:u w:val="single"/>
        </w:rPr>
        <w:t xml:space="preserve">profit from their </w:t>
      </w:r>
      <w:r>
        <w:rPr>
          <w:u w:val="single"/>
        </w:rPr>
        <w:t xml:space="preserve">own </w:t>
      </w:r>
      <w:r w:rsidRPr="003F4484">
        <w:rPr>
          <w:highlight w:val="green"/>
          <w:u w:val="single"/>
        </w:rPr>
        <w:t>recommendations</w:t>
      </w:r>
      <w:r>
        <w:rPr>
          <w:u w:val="single"/>
        </w:rPr>
        <w:t xml:space="preserve">, and the </w:t>
      </w:r>
      <w:r w:rsidRPr="003F4484">
        <w:rPr>
          <w:highlight w:val="green"/>
          <w:u w:val="single"/>
        </w:rPr>
        <w:t xml:space="preserve">timing of a </w:t>
      </w:r>
      <w:r>
        <w:rPr>
          <w:u w:val="single"/>
        </w:rPr>
        <w:t xml:space="preserve">special operations </w:t>
      </w:r>
      <w:r w:rsidRPr="003F4484">
        <w:rPr>
          <w:highlight w:val="green"/>
          <w:u w:val="single"/>
        </w:rPr>
        <w:t xml:space="preserve">raid </w:t>
      </w:r>
      <w:r>
        <w:rPr>
          <w:u w:val="single"/>
        </w:rPr>
        <w:t xml:space="preserve">can </w:t>
      </w:r>
      <w:r w:rsidRPr="003F4484">
        <w:rPr>
          <w:highlight w:val="green"/>
          <w:u w:val="single"/>
        </w:rPr>
        <w:t xml:space="preserve">generate returns that </w:t>
      </w:r>
      <w:r w:rsidRPr="003F4484">
        <w:rPr>
          <w:b/>
          <w:bCs/>
          <w:sz w:val="24"/>
          <w:szCs w:val="24"/>
          <w:highlight w:val="green"/>
          <w:u w:val="single"/>
        </w:rPr>
        <w:t xml:space="preserve">dwarf </w:t>
      </w:r>
      <w:r w:rsidRPr="003F4484">
        <w:rPr>
          <w:highlight w:val="green"/>
          <w:u w:val="single"/>
        </w:rPr>
        <w:t xml:space="preserve">a year’s </w:t>
      </w:r>
      <w:r>
        <w:rPr>
          <w:u w:val="single"/>
        </w:rPr>
        <w:t xml:space="preserve">government </w:t>
      </w:r>
      <w:r w:rsidRPr="003F4484">
        <w:rPr>
          <w:sz w:val="24"/>
          <w:szCs w:val="24"/>
          <w:highlight w:val="green"/>
          <w:u w:val="single"/>
        </w:rPr>
        <w:t>salary</w:t>
      </w:r>
      <w:r w:rsidRPr="003F4484">
        <w:rPr>
          <w:highlight w:val="green"/>
          <w:u w:val="single"/>
        </w:rPr>
        <w:t>.</w:t>
      </w:r>
    </w:p>
    <w:p w14:paraId="58D8B9BC" w14:textId="77777777" w:rsidR="00C8414D" w:rsidRPr="001739BC" w:rsidRDefault="00C8414D" w:rsidP="00C8414D">
      <w:pPr>
        <w:pStyle w:val="Heading4"/>
      </w:pPr>
      <w:r>
        <w:t xml:space="preserve">4. Make them explain how this impact is </w:t>
      </w:r>
      <w:r w:rsidRPr="0039002C">
        <w:rPr>
          <w:u w:val="single"/>
        </w:rPr>
        <w:t>coherent</w:t>
      </w:r>
      <w:r>
        <w:t xml:space="preserve">. Markets predict that Trump will invade </w:t>
      </w:r>
      <w:r w:rsidRPr="00365F56">
        <w:rPr>
          <w:u w:val="single"/>
        </w:rPr>
        <w:t>Greenland</w:t>
      </w:r>
      <w:r>
        <w:t xml:space="preserve">---now what? Trump’s irrational and either </w:t>
      </w:r>
      <w:r w:rsidRPr="00D25E5E">
        <w:rPr>
          <w:u w:val="single"/>
        </w:rPr>
        <w:t>creates</w:t>
      </w:r>
      <w:r>
        <w:t xml:space="preserve"> the threats or doesn’t listen to the </w:t>
      </w:r>
      <w:r w:rsidRPr="006010FD">
        <w:rPr>
          <w:u w:val="single"/>
        </w:rPr>
        <w:t>markets</w:t>
      </w:r>
      <w:r>
        <w:t xml:space="preserve">. Quantum also turns this because it creates </w:t>
      </w:r>
      <w:r w:rsidRPr="00BC0D2E">
        <w:rPr>
          <w:u w:val="single"/>
        </w:rPr>
        <w:t>computing capabilities</w:t>
      </w:r>
      <w:r>
        <w:t xml:space="preserve"> that are too fast for humans to </w:t>
      </w:r>
      <w:r w:rsidRPr="006930B4">
        <w:rPr>
          <w:u w:val="single"/>
        </w:rPr>
        <w:t>predict</w:t>
      </w:r>
      <w:r>
        <w:t>.</w:t>
      </w:r>
    </w:p>
    <w:p w14:paraId="59EF735F" w14:textId="77777777" w:rsidR="00300099" w:rsidRPr="00300099" w:rsidRDefault="00300099" w:rsidP="00300099"/>
    <w:p w14:paraId="3E680F39" w14:textId="77777777" w:rsidR="00CC6E53" w:rsidRPr="007156E4" w:rsidRDefault="00CC6E53" w:rsidP="00CC6E53">
      <w:pPr>
        <w:spacing w:after="0" w:line="240" w:lineRule="auto"/>
        <w:rPr>
          <w:rFonts w:ascii="Times New Roman" w:eastAsia="Times New Roman" w:hAnsi="Times New Roman" w:cs="Times New Roman"/>
        </w:rPr>
      </w:pPr>
    </w:p>
    <w:p w14:paraId="391CE1BD" w14:textId="77777777" w:rsidR="00CC6E53" w:rsidRDefault="00CC6E53" w:rsidP="00CC6E53"/>
    <w:p w14:paraId="70518E4C" w14:textId="35DE0A27" w:rsidR="0098782C" w:rsidRPr="00AB41F9" w:rsidRDefault="0098782C" w:rsidP="0098782C"/>
    <w:p w14:paraId="723C3F2D" w14:textId="010DD587" w:rsidR="00972BEC" w:rsidRPr="00972BEC" w:rsidRDefault="00972BEC" w:rsidP="00972BEC"/>
    <w:sectPr w:rsidR="00972BEC" w:rsidRPr="00972B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FF045" w14:textId="77777777" w:rsidR="00475B6F" w:rsidRDefault="00475B6F" w:rsidP="00066D2C">
      <w:pPr>
        <w:spacing w:after="0" w:line="240" w:lineRule="auto"/>
      </w:pPr>
      <w:r>
        <w:separator/>
      </w:r>
    </w:p>
  </w:endnote>
  <w:endnote w:type="continuationSeparator" w:id="0">
    <w:p w14:paraId="16DD01E9" w14:textId="77777777" w:rsidR="00475B6F" w:rsidRDefault="00475B6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B52DC" w14:textId="77777777" w:rsidR="00475B6F" w:rsidRDefault="00475B6F" w:rsidP="00066D2C">
      <w:pPr>
        <w:spacing w:after="0" w:line="240" w:lineRule="auto"/>
      </w:pPr>
      <w:r>
        <w:separator/>
      </w:r>
    </w:p>
  </w:footnote>
  <w:footnote w:type="continuationSeparator" w:id="0">
    <w:p w14:paraId="7B3263E9" w14:textId="77777777" w:rsidR="00475B6F" w:rsidRDefault="00475B6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nan Gupta"/>
    <w:docVar w:name="OS" w:val="Windows NT"/>
    <w:docVar w:name="OSVersion" w:val="10.0"/>
    <w:docVar w:name="RibbonPointer" w:val="321688408"/>
    <w:docVar w:name="Team" w:val="Harker"/>
    <w:docVar w:name="VerbatimVersion" w:val="6.0.0"/>
    <w:docVar w:name="WordVersion" w:val="16.0"/>
  </w:docVars>
  <w:rsids>
    <w:rsidRoot w:val="00972BEC"/>
    <w:rsid w:val="00001C7E"/>
    <w:rsid w:val="0000487C"/>
    <w:rsid w:val="00011C50"/>
    <w:rsid w:val="00011FEF"/>
    <w:rsid w:val="000137DA"/>
    <w:rsid w:val="00013C8B"/>
    <w:rsid w:val="00023AEF"/>
    <w:rsid w:val="000250CA"/>
    <w:rsid w:val="000271EF"/>
    <w:rsid w:val="00032119"/>
    <w:rsid w:val="000427BD"/>
    <w:rsid w:val="00043C82"/>
    <w:rsid w:val="00050713"/>
    <w:rsid w:val="00053D0F"/>
    <w:rsid w:val="00055B33"/>
    <w:rsid w:val="00056966"/>
    <w:rsid w:val="000615B0"/>
    <w:rsid w:val="00063921"/>
    <w:rsid w:val="00064584"/>
    <w:rsid w:val="000657E9"/>
    <w:rsid w:val="00066D2C"/>
    <w:rsid w:val="0007328F"/>
    <w:rsid w:val="00074F1E"/>
    <w:rsid w:val="0007573B"/>
    <w:rsid w:val="0007578B"/>
    <w:rsid w:val="000768C4"/>
    <w:rsid w:val="0007692C"/>
    <w:rsid w:val="00076EA7"/>
    <w:rsid w:val="00080E37"/>
    <w:rsid w:val="00080F27"/>
    <w:rsid w:val="000912B1"/>
    <w:rsid w:val="00093AB9"/>
    <w:rsid w:val="00094DF4"/>
    <w:rsid w:val="000961CD"/>
    <w:rsid w:val="000A0198"/>
    <w:rsid w:val="000A0585"/>
    <w:rsid w:val="000A1F44"/>
    <w:rsid w:val="000A218A"/>
    <w:rsid w:val="000A239C"/>
    <w:rsid w:val="000A4AE6"/>
    <w:rsid w:val="000A5EE1"/>
    <w:rsid w:val="000B3425"/>
    <w:rsid w:val="000B5FBB"/>
    <w:rsid w:val="000B6974"/>
    <w:rsid w:val="000B6B3E"/>
    <w:rsid w:val="000C137E"/>
    <w:rsid w:val="000D0D08"/>
    <w:rsid w:val="000D64A6"/>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5F3"/>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84E"/>
    <w:rsid w:val="00163574"/>
    <w:rsid w:val="001645D4"/>
    <w:rsid w:val="0016567B"/>
    <w:rsid w:val="0016568A"/>
    <w:rsid w:val="00170A72"/>
    <w:rsid w:val="00171A2A"/>
    <w:rsid w:val="001723BA"/>
    <w:rsid w:val="00175A0C"/>
    <w:rsid w:val="00180A4E"/>
    <w:rsid w:val="00181F58"/>
    <w:rsid w:val="00182502"/>
    <w:rsid w:val="00186B65"/>
    <w:rsid w:val="00190CDA"/>
    <w:rsid w:val="00196816"/>
    <w:rsid w:val="0019779A"/>
    <w:rsid w:val="001977CD"/>
    <w:rsid w:val="0019782C"/>
    <w:rsid w:val="001A07A2"/>
    <w:rsid w:val="001A1422"/>
    <w:rsid w:val="001A3079"/>
    <w:rsid w:val="001A4D9A"/>
    <w:rsid w:val="001A5A87"/>
    <w:rsid w:val="001A648D"/>
    <w:rsid w:val="001A6960"/>
    <w:rsid w:val="001B1595"/>
    <w:rsid w:val="001B1762"/>
    <w:rsid w:val="001B18CF"/>
    <w:rsid w:val="001B2C27"/>
    <w:rsid w:val="001C0A69"/>
    <w:rsid w:val="001C34CA"/>
    <w:rsid w:val="001C48D7"/>
    <w:rsid w:val="001D1994"/>
    <w:rsid w:val="001D6D5C"/>
    <w:rsid w:val="001D7A6D"/>
    <w:rsid w:val="001E4A64"/>
    <w:rsid w:val="001E61F5"/>
    <w:rsid w:val="001F0C01"/>
    <w:rsid w:val="001F1F4D"/>
    <w:rsid w:val="001F68DC"/>
    <w:rsid w:val="002005AF"/>
    <w:rsid w:val="00200C1A"/>
    <w:rsid w:val="002052E3"/>
    <w:rsid w:val="00210DC2"/>
    <w:rsid w:val="002110D6"/>
    <w:rsid w:val="002152F9"/>
    <w:rsid w:val="0021530A"/>
    <w:rsid w:val="002212A9"/>
    <w:rsid w:val="002234FB"/>
    <w:rsid w:val="00225409"/>
    <w:rsid w:val="00225437"/>
    <w:rsid w:val="002263A1"/>
    <w:rsid w:val="00232746"/>
    <w:rsid w:val="00236207"/>
    <w:rsid w:val="00236707"/>
    <w:rsid w:val="0023720C"/>
    <w:rsid w:val="00241116"/>
    <w:rsid w:val="0024328E"/>
    <w:rsid w:val="002508CB"/>
    <w:rsid w:val="002514A7"/>
    <w:rsid w:val="00253733"/>
    <w:rsid w:val="00255D2D"/>
    <w:rsid w:val="00256AC0"/>
    <w:rsid w:val="002573AF"/>
    <w:rsid w:val="00263CC5"/>
    <w:rsid w:val="0026601A"/>
    <w:rsid w:val="00271866"/>
    <w:rsid w:val="002764DE"/>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74F"/>
    <w:rsid w:val="002C0B33"/>
    <w:rsid w:val="002C30D9"/>
    <w:rsid w:val="002C6C7D"/>
    <w:rsid w:val="002C708A"/>
    <w:rsid w:val="002C769C"/>
    <w:rsid w:val="002D1EF5"/>
    <w:rsid w:val="002D2594"/>
    <w:rsid w:val="002D3647"/>
    <w:rsid w:val="002D418C"/>
    <w:rsid w:val="002E3FC7"/>
    <w:rsid w:val="002E663F"/>
    <w:rsid w:val="002F0384"/>
    <w:rsid w:val="002F276B"/>
    <w:rsid w:val="002F28CE"/>
    <w:rsid w:val="002F2CFC"/>
    <w:rsid w:val="002F37D1"/>
    <w:rsid w:val="002F5A47"/>
    <w:rsid w:val="002F636E"/>
    <w:rsid w:val="00300099"/>
    <w:rsid w:val="00300F2F"/>
    <w:rsid w:val="00304257"/>
    <w:rsid w:val="00304A78"/>
    <w:rsid w:val="00306FDE"/>
    <w:rsid w:val="00307FBA"/>
    <w:rsid w:val="003106D9"/>
    <w:rsid w:val="00311112"/>
    <w:rsid w:val="00311C1F"/>
    <w:rsid w:val="0031266A"/>
    <w:rsid w:val="0031761F"/>
    <w:rsid w:val="00323E50"/>
    <w:rsid w:val="003264E7"/>
    <w:rsid w:val="00331311"/>
    <w:rsid w:val="003318D7"/>
    <w:rsid w:val="00333A69"/>
    <w:rsid w:val="003352D6"/>
    <w:rsid w:val="00345BF2"/>
    <w:rsid w:val="00347131"/>
    <w:rsid w:val="003479B5"/>
    <w:rsid w:val="003500B6"/>
    <w:rsid w:val="00352622"/>
    <w:rsid w:val="00355B45"/>
    <w:rsid w:val="00361FA0"/>
    <w:rsid w:val="0036535D"/>
    <w:rsid w:val="003662DB"/>
    <w:rsid w:val="00367D96"/>
    <w:rsid w:val="003706D8"/>
    <w:rsid w:val="00373B7F"/>
    <w:rsid w:val="003753F6"/>
    <w:rsid w:val="003779C8"/>
    <w:rsid w:val="00382DF7"/>
    <w:rsid w:val="0039157C"/>
    <w:rsid w:val="00392D93"/>
    <w:rsid w:val="00393EF2"/>
    <w:rsid w:val="00394F71"/>
    <w:rsid w:val="00396D52"/>
    <w:rsid w:val="003A46B4"/>
    <w:rsid w:val="003A53E5"/>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D91"/>
    <w:rsid w:val="00414EB4"/>
    <w:rsid w:val="004208C6"/>
    <w:rsid w:val="00425531"/>
    <w:rsid w:val="00425A83"/>
    <w:rsid w:val="00426CC6"/>
    <w:rsid w:val="00431905"/>
    <w:rsid w:val="004326E6"/>
    <w:rsid w:val="00432F5F"/>
    <w:rsid w:val="004331B1"/>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3AF6"/>
    <w:rsid w:val="00474720"/>
    <w:rsid w:val="00475B6F"/>
    <w:rsid w:val="004800FA"/>
    <w:rsid w:val="00480A40"/>
    <w:rsid w:val="004827C9"/>
    <w:rsid w:val="00484409"/>
    <w:rsid w:val="00486F5E"/>
    <w:rsid w:val="004875B9"/>
    <w:rsid w:val="00491C5F"/>
    <w:rsid w:val="0049341D"/>
    <w:rsid w:val="00493AA8"/>
    <w:rsid w:val="004959BD"/>
    <w:rsid w:val="004964D4"/>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68F"/>
    <w:rsid w:val="004F16CA"/>
    <w:rsid w:val="004F4139"/>
    <w:rsid w:val="004F682B"/>
    <w:rsid w:val="00500F93"/>
    <w:rsid w:val="005015BF"/>
    <w:rsid w:val="00503593"/>
    <w:rsid w:val="005036B1"/>
    <w:rsid w:val="00511177"/>
    <w:rsid w:val="005125C9"/>
    <w:rsid w:val="00515BDD"/>
    <w:rsid w:val="00521B9F"/>
    <w:rsid w:val="005268F8"/>
    <w:rsid w:val="0053626E"/>
    <w:rsid w:val="0053721C"/>
    <w:rsid w:val="00537EE7"/>
    <w:rsid w:val="00544936"/>
    <w:rsid w:val="005449A8"/>
    <w:rsid w:val="0055242A"/>
    <w:rsid w:val="005525AE"/>
    <w:rsid w:val="005546C5"/>
    <w:rsid w:val="00554A3C"/>
    <w:rsid w:val="005558FC"/>
    <w:rsid w:val="00557B59"/>
    <w:rsid w:val="00562F76"/>
    <w:rsid w:val="00565142"/>
    <w:rsid w:val="00567D6A"/>
    <w:rsid w:val="00567D90"/>
    <w:rsid w:val="00575723"/>
    <w:rsid w:val="00581E77"/>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099D"/>
    <w:rsid w:val="005D3400"/>
    <w:rsid w:val="005D35B6"/>
    <w:rsid w:val="005D3778"/>
    <w:rsid w:val="005D388F"/>
    <w:rsid w:val="005D45F4"/>
    <w:rsid w:val="005D700C"/>
    <w:rsid w:val="005D779F"/>
    <w:rsid w:val="005E0F22"/>
    <w:rsid w:val="005E43F7"/>
    <w:rsid w:val="005E5941"/>
    <w:rsid w:val="005E78A2"/>
    <w:rsid w:val="005F2BC2"/>
    <w:rsid w:val="005F5E14"/>
    <w:rsid w:val="00600072"/>
    <w:rsid w:val="00600FD4"/>
    <w:rsid w:val="00602A26"/>
    <w:rsid w:val="00606DC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2988"/>
    <w:rsid w:val="006633F4"/>
    <w:rsid w:val="00665211"/>
    <w:rsid w:val="0066638E"/>
    <w:rsid w:val="00666CC0"/>
    <w:rsid w:val="00673C22"/>
    <w:rsid w:val="0067482D"/>
    <w:rsid w:val="0067732F"/>
    <w:rsid w:val="00681007"/>
    <w:rsid w:val="0068122B"/>
    <w:rsid w:val="00681DD9"/>
    <w:rsid w:val="00682252"/>
    <w:rsid w:val="00682F5C"/>
    <w:rsid w:val="00687555"/>
    <w:rsid w:val="00690E39"/>
    <w:rsid w:val="00691448"/>
    <w:rsid w:val="00691FF9"/>
    <w:rsid w:val="0069285F"/>
    <w:rsid w:val="0069752C"/>
    <w:rsid w:val="006A0DE5"/>
    <w:rsid w:val="006A0F5C"/>
    <w:rsid w:val="006A3677"/>
    <w:rsid w:val="006A5B27"/>
    <w:rsid w:val="006B075F"/>
    <w:rsid w:val="006B1653"/>
    <w:rsid w:val="006B49A5"/>
    <w:rsid w:val="006B4E4E"/>
    <w:rsid w:val="006B5952"/>
    <w:rsid w:val="006B6C5F"/>
    <w:rsid w:val="006B7E39"/>
    <w:rsid w:val="006C2072"/>
    <w:rsid w:val="006C277E"/>
    <w:rsid w:val="006C43E7"/>
    <w:rsid w:val="006C4820"/>
    <w:rsid w:val="006C5872"/>
    <w:rsid w:val="006C60E0"/>
    <w:rsid w:val="006C676D"/>
    <w:rsid w:val="006C69E2"/>
    <w:rsid w:val="006C7825"/>
    <w:rsid w:val="006D469F"/>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1D3"/>
    <w:rsid w:val="00735AA7"/>
    <w:rsid w:val="00735B1F"/>
    <w:rsid w:val="00737502"/>
    <w:rsid w:val="00740B3A"/>
    <w:rsid w:val="00740C8B"/>
    <w:rsid w:val="00743263"/>
    <w:rsid w:val="007454B6"/>
    <w:rsid w:val="0074789B"/>
    <w:rsid w:val="00754ABD"/>
    <w:rsid w:val="00754D3B"/>
    <w:rsid w:val="00760D6A"/>
    <w:rsid w:val="0076343C"/>
    <w:rsid w:val="00764C12"/>
    <w:rsid w:val="00773806"/>
    <w:rsid w:val="007750DF"/>
    <w:rsid w:val="00777C19"/>
    <w:rsid w:val="00782487"/>
    <w:rsid w:val="00784C8D"/>
    <w:rsid w:val="00785E47"/>
    <w:rsid w:val="007873F5"/>
    <w:rsid w:val="0078760F"/>
    <w:rsid w:val="0079100D"/>
    <w:rsid w:val="0079136A"/>
    <w:rsid w:val="00792AD8"/>
    <w:rsid w:val="00792D84"/>
    <w:rsid w:val="00795030"/>
    <w:rsid w:val="00795A26"/>
    <w:rsid w:val="007A00CB"/>
    <w:rsid w:val="007A312F"/>
    <w:rsid w:val="007A7EAB"/>
    <w:rsid w:val="007B155B"/>
    <w:rsid w:val="007B5238"/>
    <w:rsid w:val="007C03A4"/>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E38"/>
    <w:rsid w:val="007E530C"/>
    <w:rsid w:val="007F1998"/>
    <w:rsid w:val="007F2034"/>
    <w:rsid w:val="007F4683"/>
    <w:rsid w:val="007F55A4"/>
    <w:rsid w:val="007F7C5E"/>
    <w:rsid w:val="00800BF1"/>
    <w:rsid w:val="0080587F"/>
    <w:rsid w:val="00806B14"/>
    <w:rsid w:val="008114D4"/>
    <w:rsid w:val="0081234D"/>
    <w:rsid w:val="00812D2D"/>
    <w:rsid w:val="00815075"/>
    <w:rsid w:val="00817A64"/>
    <w:rsid w:val="008202F7"/>
    <w:rsid w:val="008247A4"/>
    <w:rsid w:val="00825D47"/>
    <w:rsid w:val="008272A6"/>
    <w:rsid w:val="00827623"/>
    <w:rsid w:val="00827A73"/>
    <w:rsid w:val="0083258C"/>
    <w:rsid w:val="00833D6C"/>
    <w:rsid w:val="00841328"/>
    <w:rsid w:val="00841CCC"/>
    <w:rsid w:val="00844377"/>
    <w:rsid w:val="008443EF"/>
    <w:rsid w:val="00846F90"/>
    <w:rsid w:val="00852FB9"/>
    <w:rsid w:val="008536B7"/>
    <w:rsid w:val="00860F34"/>
    <w:rsid w:val="008618D8"/>
    <w:rsid w:val="00862AC4"/>
    <w:rsid w:val="0086319B"/>
    <w:rsid w:val="008674A6"/>
    <w:rsid w:val="0087210F"/>
    <w:rsid w:val="0087564D"/>
    <w:rsid w:val="00876000"/>
    <w:rsid w:val="00880646"/>
    <w:rsid w:val="0089108B"/>
    <w:rsid w:val="00892EE6"/>
    <w:rsid w:val="008931B4"/>
    <w:rsid w:val="008973A2"/>
    <w:rsid w:val="008A0E76"/>
    <w:rsid w:val="008A42FE"/>
    <w:rsid w:val="008A4F23"/>
    <w:rsid w:val="008A713B"/>
    <w:rsid w:val="008A766A"/>
    <w:rsid w:val="008B4FBE"/>
    <w:rsid w:val="008B6039"/>
    <w:rsid w:val="008C1655"/>
    <w:rsid w:val="008C2555"/>
    <w:rsid w:val="008C29FB"/>
    <w:rsid w:val="008C5151"/>
    <w:rsid w:val="008C5B87"/>
    <w:rsid w:val="008D0448"/>
    <w:rsid w:val="008D0677"/>
    <w:rsid w:val="008D0C9E"/>
    <w:rsid w:val="008D1908"/>
    <w:rsid w:val="008D2F03"/>
    <w:rsid w:val="008D6762"/>
    <w:rsid w:val="008E30D8"/>
    <w:rsid w:val="008E447C"/>
    <w:rsid w:val="008E596E"/>
    <w:rsid w:val="008E6741"/>
    <w:rsid w:val="008F04C5"/>
    <w:rsid w:val="008F125D"/>
    <w:rsid w:val="00901E9C"/>
    <w:rsid w:val="00906F79"/>
    <w:rsid w:val="00907369"/>
    <w:rsid w:val="00910B12"/>
    <w:rsid w:val="00912404"/>
    <w:rsid w:val="00915461"/>
    <w:rsid w:val="00920B9A"/>
    <w:rsid w:val="009249C5"/>
    <w:rsid w:val="0092545D"/>
    <w:rsid w:val="00925558"/>
    <w:rsid w:val="00925B25"/>
    <w:rsid w:val="009263C9"/>
    <w:rsid w:val="00930B2A"/>
    <w:rsid w:val="009318D1"/>
    <w:rsid w:val="00936F03"/>
    <w:rsid w:val="0094018B"/>
    <w:rsid w:val="009418E3"/>
    <w:rsid w:val="009435BB"/>
    <w:rsid w:val="00943B02"/>
    <w:rsid w:val="00953429"/>
    <w:rsid w:val="009539A4"/>
    <w:rsid w:val="009569E3"/>
    <w:rsid w:val="00960035"/>
    <w:rsid w:val="0096040F"/>
    <w:rsid w:val="0096145A"/>
    <w:rsid w:val="009632EF"/>
    <w:rsid w:val="00963367"/>
    <w:rsid w:val="00972BEC"/>
    <w:rsid w:val="00973D8A"/>
    <w:rsid w:val="009804B4"/>
    <w:rsid w:val="00980709"/>
    <w:rsid w:val="0098278C"/>
    <w:rsid w:val="0098782C"/>
    <w:rsid w:val="00991819"/>
    <w:rsid w:val="00992BBB"/>
    <w:rsid w:val="00995235"/>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C7BF8"/>
    <w:rsid w:val="009D399A"/>
    <w:rsid w:val="009D4A50"/>
    <w:rsid w:val="009D5FD0"/>
    <w:rsid w:val="009D66BC"/>
    <w:rsid w:val="009E53AF"/>
    <w:rsid w:val="009E6132"/>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4098"/>
    <w:rsid w:val="00A250AA"/>
    <w:rsid w:val="00A26F96"/>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40A4"/>
    <w:rsid w:val="00A90163"/>
    <w:rsid w:val="00A933C8"/>
    <w:rsid w:val="00AA1AC0"/>
    <w:rsid w:val="00AA349C"/>
    <w:rsid w:val="00AA3B66"/>
    <w:rsid w:val="00AA479A"/>
    <w:rsid w:val="00AA5803"/>
    <w:rsid w:val="00AA584F"/>
    <w:rsid w:val="00AA795F"/>
    <w:rsid w:val="00AB2843"/>
    <w:rsid w:val="00AB3118"/>
    <w:rsid w:val="00AB41F9"/>
    <w:rsid w:val="00AB6F32"/>
    <w:rsid w:val="00AC0CED"/>
    <w:rsid w:val="00AC46C7"/>
    <w:rsid w:val="00AC5B71"/>
    <w:rsid w:val="00AC5F18"/>
    <w:rsid w:val="00AC6ED5"/>
    <w:rsid w:val="00AD2AB6"/>
    <w:rsid w:val="00AD6A36"/>
    <w:rsid w:val="00AE00AE"/>
    <w:rsid w:val="00AE12A8"/>
    <w:rsid w:val="00AE56E1"/>
    <w:rsid w:val="00AE6C9A"/>
    <w:rsid w:val="00AE7716"/>
    <w:rsid w:val="00AF0843"/>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A35"/>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46B"/>
    <w:rsid w:val="00B837F0"/>
    <w:rsid w:val="00B83896"/>
    <w:rsid w:val="00B860A9"/>
    <w:rsid w:val="00B86ABB"/>
    <w:rsid w:val="00B97264"/>
    <w:rsid w:val="00BA0143"/>
    <w:rsid w:val="00BA1D3D"/>
    <w:rsid w:val="00BA227A"/>
    <w:rsid w:val="00BA4C69"/>
    <w:rsid w:val="00BA4DFF"/>
    <w:rsid w:val="00BA61AF"/>
    <w:rsid w:val="00BB1630"/>
    <w:rsid w:val="00BB6860"/>
    <w:rsid w:val="00BC3256"/>
    <w:rsid w:val="00BC3592"/>
    <w:rsid w:val="00BC36DF"/>
    <w:rsid w:val="00BC4B41"/>
    <w:rsid w:val="00BC66ED"/>
    <w:rsid w:val="00BD11D3"/>
    <w:rsid w:val="00BD1A2E"/>
    <w:rsid w:val="00BD2B47"/>
    <w:rsid w:val="00BD2CAA"/>
    <w:rsid w:val="00BD3B65"/>
    <w:rsid w:val="00BE1C5C"/>
    <w:rsid w:val="00BE3E67"/>
    <w:rsid w:val="00BE467B"/>
    <w:rsid w:val="00BE50E6"/>
    <w:rsid w:val="00BE61B2"/>
    <w:rsid w:val="00BE6FA4"/>
    <w:rsid w:val="00BE7CC3"/>
    <w:rsid w:val="00BF2B0D"/>
    <w:rsid w:val="00BF4E3B"/>
    <w:rsid w:val="00BF53AE"/>
    <w:rsid w:val="00BF5454"/>
    <w:rsid w:val="00BF7EC9"/>
    <w:rsid w:val="00C00D8A"/>
    <w:rsid w:val="00C016C7"/>
    <w:rsid w:val="00C01C49"/>
    <w:rsid w:val="00C066E6"/>
    <w:rsid w:val="00C11053"/>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378"/>
    <w:rsid w:val="00C669AD"/>
    <w:rsid w:val="00C72510"/>
    <w:rsid w:val="00C731CA"/>
    <w:rsid w:val="00C77A6B"/>
    <w:rsid w:val="00C816E6"/>
    <w:rsid w:val="00C82587"/>
    <w:rsid w:val="00C82E65"/>
    <w:rsid w:val="00C84097"/>
    <w:rsid w:val="00C8414D"/>
    <w:rsid w:val="00C87FA4"/>
    <w:rsid w:val="00C9181A"/>
    <w:rsid w:val="00C9487D"/>
    <w:rsid w:val="00C955CB"/>
    <w:rsid w:val="00C95664"/>
    <w:rsid w:val="00C96E53"/>
    <w:rsid w:val="00CA1597"/>
    <w:rsid w:val="00CA25CC"/>
    <w:rsid w:val="00CA2BA2"/>
    <w:rsid w:val="00CA3ACE"/>
    <w:rsid w:val="00CA5FFF"/>
    <w:rsid w:val="00CA7F86"/>
    <w:rsid w:val="00CB012B"/>
    <w:rsid w:val="00CB32EF"/>
    <w:rsid w:val="00CB6BD8"/>
    <w:rsid w:val="00CC1BDF"/>
    <w:rsid w:val="00CC21EC"/>
    <w:rsid w:val="00CC482B"/>
    <w:rsid w:val="00CC6E53"/>
    <w:rsid w:val="00CD105E"/>
    <w:rsid w:val="00CD2E9F"/>
    <w:rsid w:val="00CD4AE6"/>
    <w:rsid w:val="00CD5211"/>
    <w:rsid w:val="00CD57F9"/>
    <w:rsid w:val="00CD5CD1"/>
    <w:rsid w:val="00CD7791"/>
    <w:rsid w:val="00CE0BB8"/>
    <w:rsid w:val="00CE54E0"/>
    <w:rsid w:val="00CE5835"/>
    <w:rsid w:val="00CE6FA1"/>
    <w:rsid w:val="00CF1938"/>
    <w:rsid w:val="00CF24CD"/>
    <w:rsid w:val="00D01F0A"/>
    <w:rsid w:val="00D13012"/>
    <w:rsid w:val="00D14159"/>
    <w:rsid w:val="00D14716"/>
    <w:rsid w:val="00D14990"/>
    <w:rsid w:val="00D24268"/>
    <w:rsid w:val="00D25BE6"/>
    <w:rsid w:val="00D30C6D"/>
    <w:rsid w:val="00D321DB"/>
    <w:rsid w:val="00D32460"/>
    <w:rsid w:val="00D32EBF"/>
    <w:rsid w:val="00D343B3"/>
    <w:rsid w:val="00D35073"/>
    <w:rsid w:val="00D36085"/>
    <w:rsid w:val="00D421D9"/>
    <w:rsid w:val="00D43801"/>
    <w:rsid w:val="00D47529"/>
    <w:rsid w:val="00D47713"/>
    <w:rsid w:val="00D51103"/>
    <w:rsid w:val="00D53B1C"/>
    <w:rsid w:val="00D54A46"/>
    <w:rsid w:val="00D55A7A"/>
    <w:rsid w:val="00D568D5"/>
    <w:rsid w:val="00D56B6F"/>
    <w:rsid w:val="00D57878"/>
    <w:rsid w:val="00D60AB7"/>
    <w:rsid w:val="00D6226F"/>
    <w:rsid w:val="00D70E15"/>
    <w:rsid w:val="00D714E5"/>
    <w:rsid w:val="00D7546D"/>
    <w:rsid w:val="00D75C54"/>
    <w:rsid w:val="00D8244B"/>
    <w:rsid w:val="00D839C5"/>
    <w:rsid w:val="00D84043"/>
    <w:rsid w:val="00D91348"/>
    <w:rsid w:val="00D93E62"/>
    <w:rsid w:val="00D9566D"/>
    <w:rsid w:val="00DA0C95"/>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5F32"/>
    <w:rsid w:val="00DD7497"/>
    <w:rsid w:val="00DD782F"/>
    <w:rsid w:val="00DE0414"/>
    <w:rsid w:val="00DE0982"/>
    <w:rsid w:val="00DE1D11"/>
    <w:rsid w:val="00DE28ED"/>
    <w:rsid w:val="00DE419E"/>
    <w:rsid w:val="00DE44C3"/>
    <w:rsid w:val="00DE4D5E"/>
    <w:rsid w:val="00DF139C"/>
    <w:rsid w:val="00DF7D53"/>
    <w:rsid w:val="00E02B8D"/>
    <w:rsid w:val="00E04C1E"/>
    <w:rsid w:val="00E05587"/>
    <w:rsid w:val="00E12F22"/>
    <w:rsid w:val="00E16008"/>
    <w:rsid w:val="00E165FC"/>
    <w:rsid w:val="00E168D7"/>
    <w:rsid w:val="00E23A47"/>
    <w:rsid w:val="00E23E0E"/>
    <w:rsid w:val="00E2482B"/>
    <w:rsid w:val="00E2592B"/>
    <w:rsid w:val="00E25D98"/>
    <w:rsid w:val="00E264F8"/>
    <w:rsid w:val="00E30C52"/>
    <w:rsid w:val="00E33666"/>
    <w:rsid w:val="00E352B6"/>
    <w:rsid w:val="00E3771A"/>
    <w:rsid w:val="00E40B45"/>
    <w:rsid w:val="00E41637"/>
    <w:rsid w:val="00E50C30"/>
    <w:rsid w:val="00E51410"/>
    <w:rsid w:val="00E515E7"/>
    <w:rsid w:val="00E5580D"/>
    <w:rsid w:val="00E56402"/>
    <w:rsid w:val="00E56785"/>
    <w:rsid w:val="00E56CB5"/>
    <w:rsid w:val="00E61828"/>
    <w:rsid w:val="00E65E56"/>
    <w:rsid w:val="00E664D0"/>
    <w:rsid w:val="00E66F94"/>
    <w:rsid w:val="00E670E5"/>
    <w:rsid w:val="00E6767D"/>
    <w:rsid w:val="00E717C1"/>
    <w:rsid w:val="00E71E63"/>
    <w:rsid w:val="00E75987"/>
    <w:rsid w:val="00E76D4C"/>
    <w:rsid w:val="00E81786"/>
    <w:rsid w:val="00E85DE5"/>
    <w:rsid w:val="00E90EC0"/>
    <w:rsid w:val="00E944C1"/>
    <w:rsid w:val="00E964A4"/>
    <w:rsid w:val="00E97D8B"/>
    <w:rsid w:val="00EA5878"/>
    <w:rsid w:val="00EA7F55"/>
    <w:rsid w:val="00EB09E2"/>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60E3"/>
    <w:rsid w:val="00F00A14"/>
    <w:rsid w:val="00F0685D"/>
    <w:rsid w:val="00F06A5D"/>
    <w:rsid w:val="00F0700E"/>
    <w:rsid w:val="00F14A61"/>
    <w:rsid w:val="00F17B58"/>
    <w:rsid w:val="00F24B23"/>
    <w:rsid w:val="00F25A3F"/>
    <w:rsid w:val="00F27353"/>
    <w:rsid w:val="00F2753D"/>
    <w:rsid w:val="00F31B7D"/>
    <w:rsid w:val="00F32A17"/>
    <w:rsid w:val="00F349CE"/>
    <w:rsid w:val="00F34BAA"/>
    <w:rsid w:val="00F35345"/>
    <w:rsid w:val="00F355CA"/>
    <w:rsid w:val="00F355FB"/>
    <w:rsid w:val="00F40C6B"/>
    <w:rsid w:val="00F41113"/>
    <w:rsid w:val="00F44385"/>
    <w:rsid w:val="00F45C61"/>
    <w:rsid w:val="00F51138"/>
    <w:rsid w:val="00F52F45"/>
    <w:rsid w:val="00F5306F"/>
    <w:rsid w:val="00F532A6"/>
    <w:rsid w:val="00F569D6"/>
    <w:rsid w:val="00F57FCC"/>
    <w:rsid w:val="00F61907"/>
    <w:rsid w:val="00F61AB2"/>
    <w:rsid w:val="00F65464"/>
    <w:rsid w:val="00F65521"/>
    <w:rsid w:val="00F66893"/>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956"/>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5C8022"/>
  <w15:chartTrackingRefBased/>
  <w15:docId w15:val="{B8310DF0-D56D-1D42-8A95-E38387276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C0CED"/>
    <w:rPr>
      <w:rFonts w:ascii="Calibri" w:hAnsi="Calibri" w:cs="Calibri"/>
    </w:rPr>
  </w:style>
  <w:style w:type="paragraph" w:styleId="Heading1">
    <w:name w:val="heading 1"/>
    <w:aliases w:val="Pocket"/>
    <w:basedOn w:val="Normal"/>
    <w:next w:val="Normal"/>
    <w:link w:val="Heading1Char"/>
    <w:qFormat/>
    <w:rsid w:val="00AC0C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C0C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C0C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AC0CE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C0CE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C0C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0CED"/>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
    <w:basedOn w:val="DefaultParagraphFont"/>
    <w:link w:val="textbold"/>
    <w:uiPriority w:val="8"/>
    <w:qFormat/>
    <w:rsid w:val="00AC0CE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C0CED"/>
    <w:rPr>
      <w:color w:val="auto"/>
      <w:u w:val="none"/>
    </w:rPr>
  </w:style>
  <w:style w:type="character" w:customStyle="1" w:styleId="Heading1Char">
    <w:name w:val="Heading 1 Char"/>
    <w:aliases w:val="Pocket Char"/>
    <w:basedOn w:val="DefaultParagraphFont"/>
    <w:link w:val="Heading1"/>
    <w:rsid w:val="00AC0CE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C0CE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C0CED"/>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AC0CE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AC0CE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Bold Cite Char,ci,c,cite,Bo,9.5 ,Title Cha"/>
    <w:basedOn w:val="DefaultParagraphFont"/>
    <w:uiPriority w:val="7"/>
    <w:qFormat/>
    <w:rsid w:val="00AC0CED"/>
    <w:rPr>
      <w:b w:val="0"/>
      <w:sz w:val="22"/>
      <w:u w:val="single"/>
    </w:rPr>
  </w:style>
  <w:style w:type="character" w:styleId="Strong">
    <w:name w:val="Strong"/>
    <w:basedOn w:val="DefaultParagraphFont"/>
    <w:uiPriority w:val="22"/>
    <w:qFormat/>
    <w:rsid w:val="00AC0CED"/>
    <w:rPr>
      <w:b/>
      <w:bCs/>
    </w:rPr>
  </w:style>
  <w:style w:type="character" w:styleId="BookTitle">
    <w:name w:val="Book Title"/>
    <w:basedOn w:val="DefaultParagraphFont"/>
    <w:uiPriority w:val="33"/>
    <w:semiHidden/>
    <w:qFormat/>
    <w:rsid w:val="00AC0CED"/>
    <w:rPr>
      <w:b/>
      <w:bCs/>
      <w:i/>
      <w:iCs/>
      <w:spacing w:val="5"/>
    </w:rPr>
  </w:style>
  <w:style w:type="character" w:customStyle="1" w:styleId="Heading5Char">
    <w:name w:val="Heading 5 Char"/>
    <w:basedOn w:val="DefaultParagraphFont"/>
    <w:link w:val="Heading5"/>
    <w:uiPriority w:val="9"/>
    <w:semiHidden/>
    <w:rsid w:val="00AC0CE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C0CED"/>
  </w:style>
  <w:style w:type="paragraph" w:styleId="Header">
    <w:name w:val="header"/>
    <w:basedOn w:val="Normal"/>
    <w:link w:val="HeaderChar"/>
    <w:uiPriority w:val="99"/>
    <w:semiHidden/>
    <w:rsid w:val="00AC0C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C0CED"/>
    <w:rPr>
      <w:rFonts w:ascii="Calibri" w:hAnsi="Calibri" w:cs="Calibri"/>
    </w:rPr>
  </w:style>
  <w:style w:type="paragraph" w:styleId="Footer">
    <w:name w:val="footer"/>
    <w:basedOn w:val="Normal"/>
    <w:link w:val="FooterChar"/>
    <w:uiPriority w:val="99"/>
    <w:semiHidden/>
    <w:rsid w:val="00AC0C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C0CED"/>
    <w:rPr>
      <w:rFonts w:ascii="Calibri" w:hAnsi="Calibri" w:cs="Calibri"/>
    </w:rPr>
  </w:style>
  <w:style w:type="paragraph" w:styleId="BodyText">
    <w:name w:val="Body Text"/>
    <w:basedOn w:val="Normal"/>
    <w:link w:val="BodyTextChar"/>
    <w:uiPriority w:val="99"/>
    <w:semiHidden/>
    <w:unhideWhenUsed/>
    <w:rsid w:val="00AC0CED"/>
    <w:pPr>
      <w:spacing w:after="120"/>
    </w:pPr>
  </w:style>
  <w:style w:type="character" w:customStyle="1" w:styleId="BodyTextChar">
    <w:name w:val="Body Text Char"/>
    <w:basedOn w:val="DefaultParagraphFont"/>
    <w:link w:val="BodyText"/>
    <w:uiPriority w:val="99"/>
    <w:semiHidden/>
    <w:rsid w:val="00AC0CED"/>
    <w:rPr>
      <w:rFonts w:ascii="Calibri" w:hAnsi="Calibri" w:cs="Calibri"/>
    </w:rPr>
  </w:style>
  <w:style w:type="paragraph" w:styleId="NoSpacing">
    <w:name w:val="No Spacing"/>
    <w:link w:val="NoSpacingChar"/>
    <w:uiPriority w:val="99"/>
    <w:semiHidden/>
    <w:unhideWhenUsed/>
    <w:qFormat/>
    <w:rsid w:val="00AC0CE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C0CE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NoSpacing61"/>
    <w:uiPriority w:val="99"/>
    <w:unhideWhenUsed/>
    <w:rsid w:val="00AC0CED"/>
    <w:rPr>
      <w:color w:val="0563C1" w:themeColor="hyperlink"/>
      <w:u w:val="single"/>
    </w:rPr>
  </w:style>
  <w:style w:type="character" w:styleId="UnresolvedMention">
    <w:name w:val="Unresolved Mention"/>
    <w:basedOn w:val="DefaultParagraphFont"/>
    <w:uiPriority w:val="99"/>
    <w:semiHidden/>
    <w:unhideWhenUsed/>
    <w:rsid w:val="00AC0CED"/>
    <w:rPr>
      <w:color w:val="605E5C"/>
      <w:shd w:val="clear" w:color="auto" w:fill="E1DFDD"/>
    </w:rPr>
  </w:style>
  <w:style w:type="paragraph" w:styleId="NormalWeb">
    <w:name w:val="Normal (Web)"/>
    <w:basedOn w:val="Normal"/>
    <w:uiPriority w:val="99"/>
    <w:semiHidden/>
    <w:unhideWhenUsed/>
    <w:rsid w:val="00F2753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Spacing61">
    <w:name w:val="No Spacing61"/>
    <w:basedOn w:val="Heading1"/>
    <w:next w:val="NoSpacing"/>
    <w:link w:val="Hyperlink"/>
    <w:autoRedefine/>
    <w:uiPriority w:val="99"/>
    <w:qFormat/>
    <w:rsid w:val="00554A3C"/>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A24098"/>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sis.org/blogs/perspectives-innovation/how-regulators-endanger-us-and-eu-technology-leadership-globa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dsupra.com/legalnews/the-ftc-s-magnuson-moss-rulemaking-7757749/" TargetMode="External"/><Relationship Id="rId5" Type="http://schemas.openxmlformats.org/officeDocument/2006/relationships/webSettings" Target="webSettings.xml"/><Relationship Id="rId10" Type="http://schemas.openxmlformats.org/officeDocument/2006/relationships/hyperlink" Target="https://www.morganlewis.com/pubs/2023/01/new-legislation-dramatically-increases-funding-to-us-antitrust-agencies-over-five-years-ensuring-aggressive-enforcement" TargetMode="External"/><Relationship Id="rId4" Type="http://schemas.openxmlformats.org/officeDocument/2006/relationships/settings" Target="settings.xml"/><Relationship Id="rId9" Type="http://schemas.openxmlformats.org/officeDocument/2006/relationships/hyperlink" Target="https://www.cfr.org/blog/overlooked-military-implications-5g-deb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n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44</TotalTime>
  <Pages>24</Pages>
  <Words>12489</Words>
  <Characters>70851</Characters>
  <Application>Microsoft Office Word</Application>
  <DocSecurity>0</DocSecurity>
  <Lines>781</Lines>
  <Paragraphs>203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Manan Gupta</dc:creator>
  <cp:keywords>6.0.0</cp:keywords>
  <dc:description/>
  <cp:lastModifiedBy>27MananGupta</cp:lastModifiedBy>
  <cp:revision>436</cp:revision>
  <dcterms:created xsi:type="dcterms:W3CDTF">2026-02-16T02:00:00Z</dcterms:created>
  <dcterms:modified xsi:type="dcterms:W3CDTF">2026-02-25T21:48:00Z</dcterms:modified>
</cp:coreProperties>
</file>