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7DD94" w14:textId="77777777" w:rsidR="00C53359" w:rsidRPr="006213A3" w:rsidRDefault="00C53359" w:rsidP="00C53359">
      <w:pPr>
        <w:pStyle w:val="Heading4"/>
        <w:tabs>
          <w:tab w:val="num" w:pos="720"/>
        </w:tabs>
        <w:rPr>
          <w:rFonts w:cs="Arial"/>
        </w:rPr>
      </w:pPr>
      <w:r w:rsidRPr="006213A3">
        <w:rPr>
          <w:rFonts w:cs="Arial"/>
          <w:u w:val="single"/>
        </w:rPr>
        <w:t>Existential</w:t>
      </w:r>
      <w:r w:rsidRPr="006213A3">
        <w:rPr>
          <w:rFonts w:cs="Arial"/>
        </w:rPr>
        <w:t xml:space="preserve"> fears need not be </w:t>
      </w:r>
      <w:r w:rsidRPr="006213A3">
        <w:rPr>
          <w:rFonts w:cs="Arial"/>
          <w:u w:val="single"/>
        </w:rPr>
        <w:t>settler</w:t>
      </w:r>
      <w:r w:rsidRPr="006213A3">
        <w:rPr>
          <w:rFonts w:cs="Arial"/>
        </w:rPr>
        <w:t xml:space="preserve"> projections of demise but can be </w:t>
      </w:r>
      <w:r w:rsidRPr="006213A3">
        <w:rPr>
          <w:rFonts w:cs="Arial"/>
          <w:u w:val="single"/>
        </w:rPr>
        <w:t>contingently</w:t>
      </w:r>
      <w:r w:rsidRPr="006213A3">
        <w:rPr>
          <w:rFonts w:cs="Arial"/>
        </w:rPr>
        <w:t xml:space="preserve"> appropriated to </w:t>
      </w:r>
      <w:r w:rsidRPr="006213A3">
        <w:rPr>
          <w:rFonts w:cs="Arial"/>
          <w:u w:val="single"/>
        </w:rPr>
        <w:t>reverse</w:t>
      </w:r>
      <w:r w:rsidRPr="006213A3">
        <w:rPr>
          <w:rFonts w:cs="Arial"/>
        </w:rPr>
        <w:t xml:space="preserve"> indigenous erasure.</w:t>
      </w:r>
    </w:p>
    <w:p w14:paraId="1BCC5CF8" w14:textId="77777777" w:rsidR="00C53359" w:rsidRPr="002743A6" w:rsidRDefault="00C53359" w:rsidP="00C53359">
      <w:pPr>
        <w:rPr>
          <w:szCs w:val="16"/>
        </w:rPr>
      </w:pPr>
      <w:r w:rsidRPr="002743A6">
        <w:rPr>
          <w:rStyle w:val="Style13ptBold"/>
        </w:rPr>
        <w:t>Weiss 15</w:t>
      </w:r>
      <w:r w:rsidRPr="002743A6">
        <w:rPr>
          <w:szCs w:val="16"/>
        </w:rPr>
        <w:t>—Ph.D. candidate, Anthropology, University of Chicago (Joseph, “UNSETTLING FUTURES: HAIDA FUTURE-MAKING, POLITICS AND MOBILITY IN THE SETTLER COLONIAL PRESENT,” Dissertation submitted to the Faculty of the Division of Social Sciences, Department of Anthropology, University of Chicago, December 2015, 223-232, dml)</w:t>
      </w:r>
    </w:p>
    <w:p w14:paraId="0A1766A5" w14:textId="77777777" w:rsidR="00C53359" w:rsidRPr="002743A6" w:rsidRDefault="00C53359" w:rsidP="00C53359">
      <w:pPr>
        <w:rPr>
          <w:rStyle w:val="StyleUnderline"/>
        </w:rPr>
      </w:pPr>
      <w:r w:rsidRPr="002743A6">
        <w:t xml:space="preserve">And yet, something has changed in this landscape from the initial erasures of Native futurity we drew out in the first chapter. In the narratives of colonial actors like Duncan Campbell Scott, it was absolutely clear that “Indians” were disappearing because their social worlds were being superseded by more “civilized” ways of living and being, ones that these Native subjects would also, inevitably, in the end, adopt (or failing that, perish outright). There was a future. It was simply a settler one. But the </w:t>
      </w:r>
      <w:r w:rsidRPr="002743A6">
        <w:rPr>
          <w:rStyle w:val="Emphasis"/>
          <w:highlight w:val="cyan"/>
        </w:rPr>
        <w:t>nightmare futures</w:t>
      </w:r>
      <w:r w:rsidRPr="002743A6">
        <w:t xml:space="preserve"> of that my Haida interlocutors ward against in their own future-making reach beyond Haida life alone. Environmental collapse, most dramatically, </w:t>
      </w:r>
      <w:r w:rsidRPr="002743A6">
        <w:rPr>
          <w:rStyle w:val="Emphasis"/>
          <w:highlight w:val="cyan"/>
        </w:rPr>
        <w:t>threatens</w:t>
      </w:r>
      <w:r w:rsidRPr="002743A6">
        <w:rPr>
          <w:rStyle w:val="Emphasis"/>
        </w:rPr>
        <w:t xml:space="preserve"> the </w:t>
      </w:r>
      <w:r w:rsidRPr="002743A6">
        <w:rPr>
          <w:rStyle w:val="Emphasis"/>
          <w:highlight w:val="cyan"/>
        </w:rPr>
        <w:t>sustainability of</w:t>
      </w:r>
      <w:r w:rsidRPr="002743A6">
        <w:rPr>
          <w:rStyle w:val="Emphasis"/>
        </w:rPr>
        <w:t xml:space="preserve"> all </w:t>
      </w:r>
      <w:r w:rsidRPr="002743A6">
        <w:rPr>
          <w:rStyle w:val="Emphasis"/>
          <w:highlight w:val="cyan"/>
        </w:rPr>
        <w:t>life</w:t>
      </w:r>
      <w:r w:rsidRPr="002743A6">
        <w:rPr>
          <w:rStyle w:val="StyleUnderline"/>
        </w:rPr>
        <w:t xml:space="preserve">; toxins in the land and the waters </w:t>
      </w:r>
      <w:r w:rsidRPr="002743A6">
        <w:rPr>
          <w:rStyle w:val="Emphasis"/>
        </w:rPr>
        <w:t xml:space="preserve">threaten human lives </w:t>
      </w:r>
      <w:r w:rsidRPr="002743A6">
        <w:rPr>
          <w:rStyle w:val="Emphasis"/>
          <w:highlight w:val="cyan"/>
        </w:rPr>
        <w:t>regardless of</w:t>
      </w:r>
      <w:r w:rsidRPr="002743A6">
        <w:rPr>
          <w:rStyle w:val="Emphasis"/>
        </w:rPr>
        <w:t xml:space="preserve"> their relative </w:t>
      </w:r>
      <w:r w:rsidRPr="002743A6">
        <w:rPr>
          <w:rStyle w:val="Emphasis"/>
          <w:highlight w:val="cyan"/>
        </w:rPr>
        <w:t>indigeneity</w:t>
      </w:r>
      <w:r w:rsidRPr="002743A6">
        <w:rPr>
          <w:rStyle w:val="StyleUnderline"/>
        </w:rPr>
        <w:t xml:space="preserve">, </w:t>
      </w:r>
      <w:r w:rsidRPr="002743A6">
        <w:rPr>
          <w:rStyle w:val="Emphasis"/>
        </w:rPr>
        <w:t>race</w:t>
      </w:r>
      <w:r w:rsidRPr="002743A6">
        <w:rPr>
          <w:rStyle w:val="StyleUnderline"/>
        </w:rPr>
        <w:t xml:space="preserve">, or </w:t>
      </w:r>
      <w:r w:rsidRPr="002743A6">
        <w:rPr>
          <w:rStyle w:val="Emphasis"/>
        </w:rPr>
        <w:t>gender</w:t>
      </w:r>
      <w:r w:rsidRPr="002743A6">
        <w:t xml:space="preserve"> (e.g. Choy 2011; Crate 2011). Put another way, </w:t>
      </w:r>
      <w:r w:rsidRPr="002743A6">
        <w:rPr>
          <w:rStyle w:val="StyleUnderline"/>
        </w:rPr>
        <w:t>the impetus for</w:t>
      </w:r>
      <w:r w:rsidRPr="002743A6">
        <w:t xml:space="preserve"> non-Haida (and </w:t>
      </w:r>
      <w:r w:rsidRPr="002743A6">
        <w:rPr>
          <w:rStyle w:val="StyleUnderline"/>
        </w:rPr>
        <w:t>non-First Nations subjects</w:t>
      </w:r>
      <w:r w:rsidRPr="002743A6">
        <w:t xml:space="preserve"> more generally) </w:t>
      </w:r>
      <w:r w:rsidRPr="002743A6">
        <w:rPr>
          <w:rStyle w:val="StyleUnderline"/>
        </w:rPr>
        <w:t>to be</w:t>
      </w:r>
      <w:r w:rsidRPr="002743A6">
        <w:t xml:space="preserve"> “</w:t>
      </w:r>
      <w:r w:rsidRPr="002743A6">
        <w:rPr>
          <w:rStyle w:val="Emphasis"/>
        </w:rPr>
        <w:t>united</w:t>
      </w:r>
      <w:r w:rsidRPr="002743A6">
        <w:t xml:space="preserve"> against Enbridge” </w:t>
      </w:r>
      <w:r w:rsidRPr="002743A6">
        <w:rPr>
          <w:rStyle w:val="StyleUnderline"/>
        </w:rPr>
        <w:t>with their indigenous neighbours comes</w:t>
      </w:r>
      <w:r w:rsidRPr="002743A6">
        <w:t xml:space="preserve"> in no small part </w:t>
      </w:r>
      <w:r w:rsidRPr="002743A6">
        <w:rPr>
          <w:rStyle w:val="StyleUnderline"/>
        </w:rPr>
        <w:t>because</w:t>
      </w:r>
      <w:r w:rsidRPr="002743A6">
        <w:t xml:space="preserve"> an oil spill also profoundly threatens the lives and livelihoods of non-Aboriginal coastal residents,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w:t>
      </w:r>
      <w:r w:rsidRPr="002743A6">
        <w:rPr>
          <w:rStyle w:val="StyleUnderline"/>
        </w:rPr>
        <w:t>the</w:t>
      </w:r>
      <w:r w:rsidRPr="002743A6">
        <w:t xml:space="preserve"> globe. The </w:t>
      </w:r>
      <w:r w:rsidRPr="002743A6">
        <w:rPr>
          <w:rStyle w:val="StyleUnderline"/>
        </w:rPr>
        <w:t xml:space="preserve">nightmare futures that Haida people constitute alternative futures to ward against are </w:t>
      </w:r>
      <w:r w:rsidRPr="002743A6">
        <w:rPr>
          <w:rStyle w:val="Emphasis"/>
        </w:rPr>
        <w:t>not just future of indigenous erasure</w:t>
      </w:r>
      <w:r w:rsidRPr="002743A6">
        <w:rPr>
          <w:rStyle w:val="StyleUnderline"/>
        </w:rPr>
        <w:t xml:space="preserve"> under settler colonialism. They are </w:t>
      </w:r>
      <w:r w:rsidRPr="002743A6">
        <w:rPr>
          <w:rStyle w:val="Emphasis"/>
        </w:rPr>
        <w:t>erasures of settler society itself</w:t>
      </w:r>
      <w:r w:rsidRPr="002743A6">
        <w:rPr>
          <w:rStyle w:val="StyleUnderline"/>
        </w:rPr>
        <w:t xml:space="preserve">. </w:t>
      </w:r>
    </w:p>
    <w:p w14:paraId="3EC98588" w14:textId="77777777" w:rsidR="00C53359" w:rsidRPr="004F7C4E" w:rsidRDefault="00C53359" w:rsidP="00C53359">
      <w:r w:rsidRPr="002743A6">
        <w:rPr>
          <w:rStyle w:val="StyleUnderline"/>
        </w:rPr>
        <w:t xml:space="preserve">There is thus an </w:t>
      </w:r>
      <w:r w:rsidRPr="002743A6">
        <w:rPr>
          <w:rStyle w:val="Emphasis"/>
        </w:rPr>
        <w:t>extraordinary political claim</w:t>
      </w:r>
      <w:r w:rsidRPr="002743A6">
        <w:rPr>
          <w:rStyle w:val="StyleUnderline"/>
        </w:rPr>
        <w:t xml:space="preserve"> embedded in</w:t>
      </w:r>
      <w:r w:rsidRPr="002743A6">
        <w:t xml:space="preserve"> Haida </w:t>
      </w:r>
      <w:r w:rsidRPr="002743A6">
        <w:rPr>
          <w:rStyle w:val="StyleUnderline"/>
        </w:rPr>
        <w:t>future-making</w:t>
      </w:r>
      <w:r w:rsidRPr="002743A6">
        <w:t xml:space="preserve">, a claim </w:t>
      </w:r>
      <w:r w:rsidRPr="002743A6">
        <w:rPr>
          <w:rStyle w:val="StyleUnderline"/>
        </w:rPr>
        <w:t xml:space="preserve">which gains its power </w:t>
      </w:r>
      <w:r w:rsidRPr="002743A6">
        <w:rPr>
          <w:rStyle w:val="Emphasis"/>
        </w:rPr>
        <w:t>precisely because</w:t>
      </w:r>
      <w:r w:rsidRPr="002743A6">
        <w:t xml:space="preserve"> Haida </w:t>
      </w:r>
      <w:r w:rsidRPr="002743A6">
        <w:rPr>
          <w:rStyle w:val="StyleUnderline"/>
        </w:rPr>
        <w:t>future-making</w:t>
      </w:r>
      <w:r w:rsidRPr="002743A6">
        <w:t xml:space="preserve"> as we have seen it </w:t>
      </w:r>
      <w:r w:rsidRPr="002743A6">
        <w:rPr>
          <w:rStyle w:val="Emphasis"/>
        </w:rPr>
        <w:t>does not</w:t>
      </w:r>
      <w:r w:rsidRPr="002743A6">
        <w:rPr>
          <w:rStyle w:val="StyleUnderline"/>
        </w:rPr>
        <w:t xml:space="preserve"> (perhaps </w:t>
      </w:r>
      <w:r w:rsidRPr="002743A6">
        <w:rPr>
          <w:rStyle w:val="Emphasis"/>
        </w:rPr>
        <w:t>cannot</w:t>
      </w:r>
      <w:r w:rsidRPr="002743A6">
        <w:rPr>
          <w:rStyle w:val="StyleUnderline"/>
        </w:rPr>
        <w:t xml:space="preserve">) </w:t>
      </w:r>
      <w:r w:rsidRPr="002743A6">
        <w:rPr>
          <w:rStyle w:val="Emphasis"/>
        </w:rPr>
        <w:t>escape</w:t>
      </w:r>
      <w:r w:rsidRPr="002743A6">
        <w:rPr>
          <w:rStyle w:val="StyleUnderline"/>
        </w:rPr>
        <w:t xml:space="preserve"> from the </w:t>
      </w:r>
      <w:r w:rsidRPr="002743A6">
        <w:rPr>
          <w:rStyle w:val="Emphasis"/>
        </w:rPr>
        <w:t>larger field of settler-colonial determination</w:t>
      </w:r>
      <w:r w:rsidRPr="002743A6">
        <w:t xml:space="preserve">. Instead, in Haida future-making </w:t>
      </w:r>
      <w:r w:rsidRPr="002743A6">
        <w:rPr>
          <w:rStyle w:val="StyleUnderline"/>
        </w:rPr>
        <w:t xml:space="preserve">we find the </w:t>
      </w:r>
      <w:r w:rsidRPr="002743A6">
        <w:rPr>
          <w:rStyle w:val="Emphasis"/>
        </w:rPr>
        <w:t>implicit assertion</w:t>
      </w:r>
      <w:r w:rsidRPr="002743A6">
        <w:rPr>
          <w:rStyle w:val="StyleUnderline"/>
        </w:rPr>
        <w:t xml:space="preserve"> that </w:t>
      </w:r>
      <w:r w:rsidRPr="002743A6">
        <w:rPr>
          <w:rStyle w:val="StyleUnderline"/>
          <w:highlight w:val="cyan"/>
        </w:rPr>
        <w:t>Haida people</w:t>
      </w:r>
      <w:r w:rsidRPr="002743A6">
        <w:rPr>
          <w:rStyle w:val="StyleUnderline"/>
        </w:rPr>
        <w:t xml:space="preserve"> can </w:t>
      </w:r>
      <w:r w:rsidRPr="002743A6">
        <w:rPr>
          <w:rStyle w:val="StyleUnderline"/>
          <w:highlight w:val="cyan"/>
        </w:rPr>
        <w:t>make futures</w:t>
      </w:r>
      <w:r w:rsidRPr="002743A6">
        <w:rPr>
          <w:rStyle w:val="StyleUnderline"/>
        </w:rPr>
        <w:t xml:space="preserve"> that address the dilemmas </w:t>
      </w:r>
      <w:r w:rsidRPr="002743A6">
        <w:rPr>
          <w:rStyle w:val="StyleUnderline"/>
          <w:highlight w:val="cyan"/>
        </w:rPr>
        <w:t xml:space="preserve">of </w:t>
      </w:r>
      <w:r w:rsidRPr="002743A6">
        <w:rPr>
          <w:rStyle w:val="Emphasis"/>
          <w:highlight w:val="cyan"/>
        </w:rPr>
        <w:t>Haida</w:t>
      </w:r>
      <w:r w:rsidRPr="002743A6">
        <w:rPr>
          <w:rStyle w:val="StyleUnderline"/>
          <w:highlight w:val="cyan"/>
        </w:rPr>
        <w:t xml:space="preserve"> and </w:t>
      </w:r>
      <w:r w:rsidRPr="002743A6">
        <w:rPr>
          <w:rStyle w:val="Emphasis"/>
          <w:highlight w:val="cyan"/>
        </w:rPr>
        <w:t>settler life</w:t>
      </w:r>
      <w:r w:rsidRPr="002743A6">
        <w:rPr>
          <w:rStyle w:val="Emphasis"/>
        </w:rPr>
        <w:t xml:space="preserve"> alike</w:t>
      </w:r>
      <w:r w:rsidRPr="002743A6">
        <w:rPr>
          <w:rStyle w:val="StyleUnderline"/>
        </w:rPr>
        <w:t>, ones that can at least “</w:t>
      </w:r>
      <w:r w:rsidRPr="002743A6">
        <w:rPr>
          <w:rStyle w:val="Emphasis"/>
        </w:rPr>
        <w:t>navigate</w:t>
      </w:r>
      <w:r w:rsidRPr="002743A6">
        <w:rPr>
          <w:rStyle w:val="StyleUnderline"/>
        </w:rPr>
        <w:t>,”</w:t>
      </w:r>
      <w:r w:rsidRPr="002743A6">
        <w:t xml:space="preserve"> to borrow Appadurai’s phrasing, </w:t>
      </w:r>
      <w:r w:rsidRPr="002743A6">
        <w:rPr>
          <w:rStyle w:val="StyleUnderline"/>
        </w:rPr>
        <w:t xml:space="preserve">towards possible futures </w:t>
      </w:r>
      <w:r w:rsidRPr="002743A6">
        <w:rPr>
          <w:rStyle w:val="StyleUnderline"/>
          <w:highlight w:val="cyan"/>
        </w:rPr>
        <w:t xml:space="preserve">that </w:t>
      </w:r>
      <w:r w:rsidRPr="002743A6">
        <w:rPr>
          <w:rStyle w:val="Emphasis"/>
          <w:highlight w:val="cyan"/>
        </w:rPr>
        <w:t>do not end in</w:t>
      </w:r>
      <w:r w:rsidRPr="002743A6">
        <w:rPr>
          <w:rStyle w:val="Emphasis"/>
        </w:rPr>
        <w:t xml:space="preserve"> absolute </w:t>
      </w:r>
      <w:r w:rsidRPr="002743A6">
        <w:rPr>
          <w:rStyle w:val="Emphasis"/>
          <w:highlight w:val="cyan"/>
        </w:rPr>
        <w:t>erasure</w:t>
      </w:r>
      <w:r w:rsidRPr="002743A6">
        <w:t xml:space="preserve">. </w:t>
      </w:r>
      <w:r w:rsidRPr="002743A6">
        <w:rPr>
          <w:rStyle w:val="StyleUnderline"/>
        </w:rPr>
        <w:t>If</w:t>
      </w:r>
      <w:r w:rsidRPr="002743A6">
        <w:t xml:space="preserve"> Povinelli and Byrd are correct and </w:t>
      </w:r>
      <w:r w:rsidRPr="002743A6">
        <w:rPr>
          <w:rStyle w:val="StyleUnderline"/>
          <w:highlight w:val="cyan"/>
        </w:rPr>
        <w:t>settler</w:t>
      </w:r>
      <w:r w:rsidRPr="002743A6">
        <w:rPr>
          <w:rStyle w:val="StyleUnderline"/>
        </w:rPr>
        <w:t xml:space="preserve"> liberal </w:t>
      </w:r>
      <w:r w:rsidRPr="002743A6">
        <w:rPr>
          <w:rStyle w:val="StyleUnderline"/>
          <w:highlight w:val="cyan"/>
        </w:rPr>
        <w:t xml:space="preserve">governance </w:t>
      </w:r>
      <w:r w:rsidRPr="002743A6">
        <w:rPr>
          <w:rStyle w:val="Emphasis"/>
          <w:highlight w:val="cyan"/>
        </w:rPr>
        <w:t>makes itself possible</w:t>
      </w:r>
      <w:r w:rsidRPr="002743A6">
        <w:rPr>
          <w:rStyle w:val="StyleUnderline"/>
        </w:rPr>
        <w:t xml:space="preserve"> and </w:t>
      </w:r>
      <w:r w:rsidRPr="002743A6">
        <w:rPr>
          <w:rStyle w:val="Emphasis"/>
        </w:rPr>
        <w:t>legitimate</w:t>
      </w:r>
      <w:r w:rsidRPr="002743A6">
        <w:rPr>
          <w:rStyle w:val="StyleUnderline"/>
        </w:rPr>
        <w:t xml:space="preserve"> </w:t>
      </w:r>
      <w:r w:rsidRPr="002743A6">
        <w:rPr>
          <w:rStyle w:val="StyleUnderline"/>
          <w:highlight w:val="cyan"/>
        </w:rPr>
        <w:t>through</w:t>
      </w:r>
      <w:r w:rsidRPr="002743A6">
        <w:rPr>
          <w:rStyle w:val="StyleUnderline"/>
        </w:rPr>
        <w:t xml:space="preserve"> a </w:t>
      </w:r>
      <w:r w:rsidRPr="002743A6">
        <w:rPr>
          <w:rStyle w:val="Emphasis"/>
        </w:rPr>
        <w:t xml:space="preserve">perpetual </w:t>
      </w:r>
      <w:r w:rsidRPr="002743A6">
        <w:rPr>
          <w:rStyle w:val="Emphasis"/>
          <w:highlight w:val="cyan"/>
        </w:rPr>
        <w:t>deferral</w:t>
      </w:r>
      <w:r w:rsidRPr="002743A6">
        <w:rPr>
          <w:rStyle w:val="StyleUnderline"/>
          <w:highlight w:val="cyan"/>
        </w:rPr>
        <w:t xml:space="preserve"> of</w:t>
      </w:r>
      <w:r w:rsidRPr="002743A6">
        <w:rPr>
          <w:rStyle w:val="StyleUnderline"/>
        </w:rPr>
        <w:t xml:space="preserve"> the problems of </w:t>
      </w:r>
      <w:r w:rsidRPr="002743A6">
        <w:rPr>
          <w:rStyle w:val="StyleUnderline"/>
          <w:highlight w:val="cyan"/>
        </w:rPr>
        <w:t>the present</w:t>
      </w:r>
      <w:r w:rsidRPr="002743A6">
        <w:rPr>
          <w:rStyle w:val="StyleUnderline"/>
        </w:rPr>
        <w:t>, then part of the power of</w:t>
      </w:r>
      <w:r w:rsidRPr="002743A6">
        <w:t xml:space="preserve"> Haida </w:t>
      </w:r>
      <w:r w:rsidRPr="002743A6">
        <w:rPr>
          <w:rStyle w:val="StyleUnderline"/>
          <w:highlight w:val="cyan"/>
        </w:rPr>
        <w:t>future-making</w:t>
      </w:r>
      <w:r w:rsidRPr="002743A6">
        <w:rPr>
          <w:rStyle w:val="StyleUnderline"/>
        </w:rPr>
        <w:t xml:space="preserve"> is to </w:t>
      </w:r>
      <w:r w:rsidRPr="002743A6">
        <w:rPr>
          <w:rStyle w:val="Emphasis"/>
          <w:highlight w:val="cyan"/>
        </w:rPr>
        <w:t>expose</w:t>
      </w:r>
      <w:r w:rsidRPr="002743A6">
        <w:rPr>
          <w:rStyle w:val="Emphasis"/>
        </w:rPr>
        <w:t xml:space="preserve"> the </w:t>
      </w:r>
      <w:r w:rsidRPr="002743A6">
        <w:rPr>
          <w:rStyle w:val="Emphasis"/>
          <w:highlight w:val="cyan"/>
        </w:rPr>
        <w:t>threatening non-futures</w:t>
      </w:r>
      <w:r w:rsidRPr="002743A6">
        <w:rPr>
          <w:rStyle w:val="StyleUnderline"/>
        </w:rPr>
        <w:t xml:space="preserve"> that might emerge out of this bracketed present</w:t>
      </w:r>
      <w:r w:rsidRPr="002743A6">
        <w:t xml:space="preserve">, to expose as lie the liberal promise of a good life always yet to come and to attempt to constitute alternatives. </w:t>
      </w:r>
    </w:p>
    <w:p w14:paraId="79AB40D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1817B" w14:textId="77777777" w:rsidR="00B9005A" w:rsidRDefault="00B9005A" w:rsidP="00066D2C">
      <w:pPr>
        <w:spacing w:after="0" w:line="240" w:lineRule="auto"/>
      </w:pPr>
      <w:r>
        <w:separator/>
      </w:r>
    </w:p>
  </w:endnote>
  <w:endnote w:type="continuationSeparator" w:id="0">
    <w:p w14:paraId="2C6F2BE6" w14:textId="77777777" w:rsidR="00B9005A" w:rsidRDefault="00B9005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32D2B" w14:textId="77777777" w:rsidR="00B9005A" w:rsidRDefault="00B9005A" w:rsidP="00066D2C">
      <w:pPr>
        <w:spacing w:after="0" w:line="240" w:lineRule="auto"/>
      </w:pPr>
      <w:r>
        <w:separator/>
      </w:r>
    </w:p>
  </w:footnote>
  <w:footnote w:type="continuationSeparator" w:id="0">
    <w:p w14:paraId="217CD309" w14:textId="77777777" w:rsidR="00B9005A" w:rsidRDefault="00B9005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92F0A"/>
    <w:multiLevelType w:val="hybridMultilevel"/>
    <w:tmpl w:val="5DCCF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904057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53359"/>
    <w:rsid w:val="00001C7E"/>
    <w:rsid w:val="0000487C"/>
    <w:rsid w:val="00007189"/>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47"/>
    <w:rsid w:val="00B77754"/>
    <w:rsid w:val="00B81054"/>
    <w:rsid w:val="00B820DB"/>
    <w:rsid w:val="00B837F0"/>
    <w:rsid w:val="00B83896"/>
    <w:rsid w:val="00B860A9"/>
    <w:rsid w:val="00B9005A"/>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359"/>
    <w:rsid w:val="00C56008"/>
    <w:rsid w:val="00C56CBC"/>
    <w:rsid w:val="00C617B0"/>
    <w:rsid w:val="00C62D2B"/>
    <w:rsid w:val="00C6344F"/>
    <w:rsid w:val="00C659E2"/>
    <w:rsid w:val="00C669AD"/>
    <w:rsid w:val="00C72510"/>
    <w:rsid w:val="00C731CA"/>
    <w:rsid w:val="00C76502"/>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17F"/>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10BB"/>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2D6B90"/>
  <w15:chartTrackingRefBased/>
  <w15:docId w15:val="{9464C2F7-C00E-6543-BDE8-8EE3E01F3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3359"/>
    <w:rPr>
      <w:rFonts w:ascii="Arial" w:hAnsi="Arial" w:cs="Arial"/>
    </w:rPr>
  </w:style>
  <w:style w:type="paragraph" w:styleId="Heading1">
    <w:name w:val="heading 1"/>
    <w:aliases w:val="Pocket"/>
    <w:basedOn w:val="Normal"/>
    <w:next w:val="Normal"/>
    <w:link w:val="Heading1Char"/>
    <w:qFormat/>
    <w:rsid w:val="00C533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533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533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No Spacing11111"/>
    <w:basedOn w:val="Normal"/>
    <w:next w:val="Normal"/>
    <w:link w:val="Heading4Char"/>
    <w:uiPriority w:val="3"/>
    <w:qFormat/>
    <w:rsid w:val="00C533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5335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533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335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C53359"/>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C53359"/>
    <w:rPr>
      <w:color w:val="auto"/>
      <w:u w:val="none"/>
    </w:rPr>
  </w:style>
  <w:style w:type="character" w:customStyle="1" w:styleId="Heading1Char">
    <w:name w:val="Heading 1 Char"/>
    <w:aliases w:val="Pocket Char"/>
    <w:basedOn w:val="DefaultParagraphFont"/>
    <w:link w:val="Heading1"/>
    <w:rsid w:val="00C53359"/>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53359"/>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C53359"/>
    <w:rPr>
      <w:rFonts w:ascii="Arial" w:eastAsiaTheme="majorEastAsia" w:hAnsi="Arial"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C53359"/>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53359"/>
    <w:rPr>
      <w:b/>
      <w:bCs/>
      <w:sz w:val="22"/>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8"/>
    <w:basedOn w:val="DefaultParagraphFont"/>
    <w:uiPriority w:val="7"/>
    <w:qFormat/>
    <w:rsid w:val="00C53359"/>
    <w:rPr>
      <w:b w:val="0"/>
      <w:sz w:val="22"/>
      <w:u w:val="single"/>
    </w:rPr>
  </w:style>
  <w:style w:type="character" w:styleId="Strong">
    <w:name w:val="Strong"/>
    <w:basedOn w:val="DefaultParagraphFont"/>
    <w:uiPriority w:val="22"/>
    <w:semiHidden/>
    <w:qFormat/>
    <w:rsid w:val="00C53359"/>
    <w:rPr>
      <w:b/>
      <w:bCs/>
    </w:rPr>
  </w:style>
  <w:style w:type="character" w:styleId="BookTitle">
    <w:name w:val="Book Title"/>
    <w:basedOn w:val="DefaultParagraphFont"/>
    <w:uiPriority w:val="33"/>
    <w:semiHidden/>
    <w:qFormat/>
    <w:rsid w:val="00C53359"/>
    <w:rPr>
      <w:b/>
      <w:bCs/>
      <w:i/>
      <w:iCs/>
      <w:spacing w:val="5"/>
    </w:rPr>
  </w:style>
  <w:style w:type="character" w:customStyle="1" w:styleId="Heading5Char">
    <w:name w:val="Heading 5 Char"/>
    <w:basedOn w:val="DefaultParagraphFont"/>
    <w:link w:val="Heading5"/>
    <w:uiPriority w:val="9"/>
    <w:semiHidden/>
    <w:rsid w:val="00C533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53359"/>
  </w:style>
  <w:style w:type="paragraph" w:styleId="Header">
    <w:name w:val="header"/>
    <w:basedOn w:val="Normal"/>
    <w:link w:val="HeaderChar"/>
    <w:uiPriority w:val="99"/>
    <w:semiHidden/>
    <w:rsid w:val="00C533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53359"/>
    <w:rPr>
      <w:rFonts w:ascii="Arial" w:hAnsi="Arial" w:cs="Arial"/>
    </w:rPr>
  </w:style>
  <w:style w:type="paragraph" w:styleId="Footer">
    <w:name w:val="footer"/>
    <w:basedOn w:val="Normal"/>
    <w:link w:val="FooterChar"/>
    <w:uiPriority w:val="99"/>
    <w:semiHidden/>
    <w:rsid w:val="00C533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53359"/>
    <w:rPr>
      <w:rFonts w:ascii="Arial" w:hAnsi="Arial" w:cs="Arial"/>
    </w:rPr>
  </w:style>
  <w:style w:type="paragraph" w:styleId="BodyText">
    <w:name w:val="Body Text"/>
    <w:basedOn w:val="Normal"/>
    <w:link w:val="BodyTextChar"/>
    <w:uiPriority w:val="99"/>
    <w:semiHidden/>
    <w:unhideWhenUsed/>
    <w:rsid w:val="00C53359"/>
    <w:pPr>
      <w:spacing w:after="120"/>
    </w:pPr>
  </w:style>
  <w:style w:type="character" w:customStyle="1" w:styleId="BodyTextChar">
    <w:name w:val="Body Text Char"/>
    <w:basedOn w:val="DefaultParagraphFont"/>
    <w:link w:val="BodyText"/>
    <w:uiPriority w:val="99"/>
    <w:semiHidden/>
    <w:rsid w:val="00C53359"/>
    <w:rPr>
      <w:rFonts w:ascii="Arial" w:hAnsi="Arial" w:cs="Arial"/>
    </w:rPr>
  </w:style>
  <w:style w:type="paragraph" w:styleId="NoSpacing">
    <w:name w:val="No Spacing"/>
    <w:link w:val="NoSpacingChar"/>
    <w:uiPriority w:val="99"/>
    <w:semiHidden/>
    <w:unhideWhenUsed/>
    <w:qFormat/>
    <w:rsid w:val="00C5335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53359"/>
    <w:rPr>
      <w:rFonts w:ascii="Calibri" w:hAnsi="Calibri" w:cs="Calibri"/>
    </w:rPr>
  </w:style>
  <w:style w:type="character" w:styleId="Hyperlink">
    <w:name w:val="Hyperlink"/>
    <w:basedOn w:val="DefaultParagraphFont"/>
    <w:uiPriority w:val="99"/>
    <w:unhideWhenUsed/>
    <w:rsid w:val="00C53359"/>
    <w:rPr>
      <w:color w:val="0563C1" w:themeColor="hyperlink"/>
      <w:u w:val="single"/>
    </w:rPr>
  </w:style>
  <w:style w:type="character" w:styleId="UnresolvedMention">
    <w:name w:val="Unresolved Mention"/>
    <w:basedOn w:val="DefaultParagraphFont"/>
    <w:uiPriority w:val="99"/>
    <w:semiHidden/>
    <w:unhideWhenUsed/>
    <w:rsid w:val="00C53359"/>
    <w:rPr>
      <w:color w:val="605E5C"/>
      <w:shd w:val="clear" w:color="auto" w:fill="E1DFDD"/>
    </w:rPr>
  </w:style>
  <w:style w:type="paragraph" w:customStyle="1" w:styleId="Emphasis1">
    <w:name w:val="Emphasis1"/>
    <w:basedOn w:val="Normal"/>
    <w:link w:val="Emphasis"/>
    <w:autoRedefine/>
    <w:uiPriority w:val="8"/>
    <w:qFormat/>
    <w:rsid w:val="00C5335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cekess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Kessler, Grace</cp:lastModifiedBy>
  <cp:revision>1</cp:revision>
  <dcterms:created xsi:type="dcterms:W3CDTF">2024-02-24T20:31:00Z</dcterms:created>
  <dcterms:modified xsi:type="dcterms:W3CDTF">2024-02-24T20:31:00Z</dcterms:modified>
</cp:coreProperties>
</file>