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FA8F2" w14:textId="09CFA791" w:rsidR="005D388F" w:rsidRDefault="00583C07" w:rsidP="00583C07">
      <w:pPr>
        <w:pStyle w:val="Heading1"/>
      </w:pPr>
      <w:r>
        <w:t xml:space="preserve">February 2025---Indigeneity </w:t>
      </w:r>
      <w:r w:rsidR="00136B4B">
        <w:t>DA</w:t>
      </w:r>
      <w:r>
        <w:t>---Manan</w:t>
      </w:r>
    </w:p>
    <w:p w14:paraId="61B92348" w14:textId="3CFA1E4F" w:rsidR="00583C07" w:rsidRDefault="00136B4B" w:rsidP="00583C07">
      <w:pPr>
        <w:pStyle w:val="Heading2"/>
      </w:pPr>
      <w:r>
        <w:t>OFF</w:t>
      </w:r>
    </w:p>
    <w:p w14:paraId="2A2647D5" w14:textId="07342425" w:rsidR="00583C07" w:rsidRDefault="00583C07" w:rsidP="00583C07">
      <w:pPr>
        <w:pStyle w:val="Heading3"/>
      </w:pPr>
      <w:r>
        <w:t>Indigeneity---1</w:t>
      </w:r>
      <w:r w:rsidR="00136B4B">
        <w:t>N</w:t>
      </w:r>
      <w:r>
        <w:t>C</w:t>
      </w:r>
    </w:p>
    <w:p w14:paraId="53C5AB8B" w14:textId="41113106" w:rsidR="00B53152" w:rsidRPr="00B53152" w:rsidRDefault="004D5D21" w:rsidP="00B53152">
      <w:pPr>
        <w:pStyle w:val="Heading4"/>
      </w:pPr>
      <w:r>
        <w:t>Tribes</w:t>
      </w:r>
      <w:r w:rsidR="00496937">
        <w:t xml:space="preserve"> have struck a </w:t>
      </w:r>
      <w:r w:rsidR="00496937" w:rsidRPr="00EE0CD0">
        <w:rPr>
          <w:u w:val="single"/>
        </w:rPr>
        <w:t>constructive balance</w:t>
      </w:r>
      <w:r w:rsidR="00496937">
        <w:t xml:space="preserve"> with states over betting regulations.</w:t>
      </w:r>
    </w:p>
    <w:p w14:paraId="38A52614" w14:textId="111AE53D" w:rsidR="00ED6EE4" w:rsidRPr="00AA7CBF" w:rsidRDefault="00ED6EE4" w:rsidP="00AF5055">
      <w:r w:rsidRPr="005A2CE3">
        <w:rPr>
          <w:rStyle w:val="Style13ptBold"/>
        </w:rPr>
        <w:t>Davis ’25</w:t>
      </w:r>
      <w:r>
        <w:t xml:space="preserve"> [Martha F; She</w:t>
      </w:r>
      <w:r w:rsidRPr="00ED6EE4">
        <w:t xml:space="preserve"> is a university distinguished professor at the Northeastern University School of Law</w:t>
      </w:r>
      <w:r>
        <w:t>; “</w:t>
      </w:r>
      <w:r w:rsidRPr="00ED6EE4">
        <w:t>American Indians and Indigenous Peoples in State Constitutions</w:t>
      </w:r>
      <w:r>
        <w:t xml:space="preserve">”; Published 08/05/25; </w:t>
      </w:r>
      <w:r w:rsidRPr="00B53152">
        <w:t>https://statecourtreport.org/our-work/analysis-opinion/american-indians-and-indigenous-peoples-state-constitutions</w:t>
      </w:r>
      <w:r>
        <w:t>; DOA 01/28/26] $m</w:t>
      </w:r>
    </w:p>
    <w:p w14:paraId="763D9D4D" w14:textId="515C6DDC" w:rsidR="00E97E1C" w:rsidRPr="00AA7CBF" w:rsidRDefault="00E97E1C" w:rsidP="00E97E1C">
      <w:pPr>
        <w:rPr>
          <w:sz w:val="14"/>
        </w:rPr>
      </w:pPr>
      <w:r w:rsidRPr="00843A78">
        <w:rPr>
          <w:highlight w:val="green"/>
          <w:u w:val="single"/>
        </w:rPr>
        <w:t>Gaming</w:t>
      </w:r>
      <w:r w:rsidRPr="00E97E1C">
        <w:rPr>
          <w:u w:val="single"/>
        </w:rPr>
        <w:t xml:space="preserve"> on American Indian lands is </w:t>
      </w:r>
      <w:r w:rsidRPr="00843A78">
        <w:rPr>
          <w:highlight w:val="green"/>
          <w:u w:val="single"/>
        </w:rPr>
        <w:t>governed by</w:t>
      </w:r>
      <w:r w:rsidRPr="00E97E1C">
        <w:rPr>
          <w:u w:val="single"/>
        </w:rPr>
        <w:t xml:space="preserve"> the federal </w:t>
      </w:r>
      <w:r w:rsidRPr="00843A78">
        <w:rPr>
          <w:rStyle w:val="Emphasis"/>
          <w:highlight w:val="green"/>
        </w:rPr>
        <w:t>I</w:t>
      </w:r>
      <w:r w:rsidRPr="00E97E1C">
        <w:rPr>
          <w:u w:val="single"/>
        </w:rPr>
        <w:t xml:space="preserve">ndian </w:t>
      </w:r>
      <w:r w:rsidRPr="00843A78">
        <w:rPr>
          <w:rStyle w:val="Emphasis"/>
          <w:highlight w:val="green"/>
        </w:rPr>
        <w:t>G</w:t>
      </w:r>
      <w:r w:rsidRPr="00E97E1C">
        <w:rPr>
          <w:u w:val="single"/>
        </w:rPr>
        <w:t xml:space="preserve">aming </w:t>
      </w:r>
      <w:r w:rsidRPr="00843A78">
        <w:rPr>
          <w:rStyle w:val="Emphasis"/>
          <w:highlight w:val="green"/>
        </w:rPr>
        <w:t>R</w:t>
      </w:r>
      <w:r w:rsidRPr="00E97E1C">
        <w:rPr>
          <w:u w:val="single"/>
        </w:rPr>
        <w:t xml:space="preserve">egulatory </w:t>
      </w:r>
      <w:r w:rsidRPr="00843A78">
        <w:rPr>
          <w:rStyle w:val="Emphasis"/>
          <w:highlight w:val="green"/>
        </w:rPr>
        <w:t>A</w:t>
      </w:r>
      <w:r w:rsidRPr="00E97E1C">
        <w:rPr>
          <w:u w:val="single"/>
        </w:rPr>
        <w:t>ct of 1988</w:t>
      </w:r>
      <w:r w:rsidRPr="00AA7CBF">
        <w:rPr>
          <w:sz w:val="14"/>
        </w:rPr>
        <w:t xml:space="preserve">. The act </w:t>
      </w:r>
      <w:r w:rsidRPr="00843A78">
        <w:rPr>
          <w:highlight w:val="green"/>
          <w:u w:val="single"/>
        </w:rPr>
        <w:t xml:space="preserve">recognizes tribes’ </w:t>
      </w:r>
      <w:r w:rsidRPr="00843A78">
        <w:rPr>
          <w:rStyle w:val="Emphasis"/>
          <w:highlight w:val="green"/>
        </w:rPr>
        <w:t>sovereignty</w:t>
      </w:r>
      <w:r w:rsidRPr="00E97E1C">
        <w:rPr>
          <w:u w:val="single"/>
        </w:rPr>
        <w:t xml:space="preserve"> over their lands but requires tribes to negotiate</w:t>
      </w:r>
      <w:r w:rsidRPr="00AA7CBF">
        <w:rPr>
          <w:sz w:val="14"/>
        </w:rPr>
        <w:t xml:space="preserve"> tribal-state compacts </w:t>
      </w:r>
      <w:proofErr w:type="gramStart"/>
      <w:r w:rsidRPr="00AA7CBF">
        <w:rPr>
          <w:sz w:val="14"/>
        </w:rPr>
        <w:t>in order to</w:t>
      </w:r>
      <w:proofErr w:type="gramEnd"/>
      <w:r w:rsidRPr="00AA7CBF">
        <w:rPr>
          <w:sz w:val="14"/>
        </w:rPr>
        <w:t xml:space="preserve"> offer casino-style games. </w:t>
      </w:r>
      <w:r w:rsidRPr="00843A78">
        <w:rPr>
          <w:highlight w:val="green"/>
          <w:u w:val="single"/>
        </w:rPr>
        <w:t>State</w:t>
      </w:r>
      <w:r w:rsidRPr="00113BA1">
        <w:rPr>
          <w:u w:val="single"/>
        </w:rPr>
        <w:t xml:space="preserve"> government</w:t>
      </w:r>
      <w:r w:rsidRPr="00843A78">
        <w:rPr>
          <w:highlight w:val="green"/>
          <w:u w:val="single"/>
        </w:rPr>
        <w:t>s</w:t>
      </w:r>
      <w:r w:rsidRPr="00AA7CBF">
        <w:rPr>
          <w:sz w:val="14"/>
        </w:rPr>
        <w:t xml:space="preserve"> have a role in setting these parameters, and several state constitutions </w:t>
      </w:r>
      <w:r w:rsidRPr="00843A78">
        <w:rPr>
          <w:highlight w:val="green"/>
          <w:u w:val="single"/>
        </w:rPr>
        <w:t>acknowledge tribal</w:t>
      </w:r>
      <w:r w:rsidRPr="00E97E1C">
        <w:rPr>
          <w:u w:val="single"/>
        </w:rPr>
        <w:t xml:space="preserve"> </w:t>
      </w:r>
      <w:r w:rsidRPr="00E97E1C">
        <w:rPr>
          <w:rStyle w:val="Emphasis"/>
        </w:rPr>
        <w:t xml:space="preserve">gaming </w:t>
      </w:r>
      <w:r w:rsidRPr="00843A78">
        <w:rPr>
          <w:rStyle w:val="Emphasis"/>
          <w:highlight w:val="green"/>
        </w:rPr>
        <w:t>rights</w:t>
      </w:r>
      <w:r w:rsidRPr="00AA7CBF">
        <w:rPr>
          <w:sz w:val="14"/>
        </w:rPr>
        <w:t xml:space="preserve">. For example, the </w:t>
      </w:r>
      <w:r w:rsidRPr="00843A78">
        <w:rPr>
          <w:highlight w:val="green"/>
          <w:u w:val="single"/>
        </w:rPr>
        <w:t>California</w:t>
      </w:r>
      <w:r w:rsidRPr="00AA7CBF">
        <w:rPr>
          <w:sz w:val="14"/>
        </w:rPr>
        <w:t xml:space="preserve"> Constitution </w:t>
      </w:r>
      <w:r w:rsidRPr="00E97E1C">
        <w:rPr>
          <w:u w:val="single"/>
        </w:rPr>
        <w:t>spells out</w:t>
      </w:r>
      <w:r w:rsidRPr="00AA7CBF">
        <w:rPr>
          <w:sz w:val="14"/>
        </w:rPr>
        <w:t xml:space="preserve"> that “</w:t>
      </w:r>
      <w:r w:rsidRPr="00E97E1C">
        <w:rPr>
          <w:u w:val="single"/>
        </w:rPr>
        <w:t xml:space="preserve">machines, lottery games, and banking and percentage card games </w:t>
      </w:r>
      <w:proofErr w:type="gramStart"/>
      <w:r w:rsidRPr="00E97E1C">
        <w:rPr>
          <w:u w:val="single"/>
        </w:rPr>
        <w:t>are .</w:t>
      </w:r>
      <w:proofErr w:type="gramEnd"/>
      <w:r w:rsidRPr="00E97E1C">
        <w:rPr>
          <w:u w:val="single"/>
        </w:rPr>
        <w:t> </w:t>
      </w:r>
      <w:proofErr w:type="gramStart"/>
      <w:r w:rsidRPr="00E97E1C">
        <w:rPr>
          <w:u w:val="single"/>
        </w:rPr>
        <w:t>. .</w:t>
      </w:r>
      <w:proofErr w:type="gramEnd"/>
      <w:r w:rsidRPr="00E97E1C">
        <w:rPr>
          <w:u w:val="single"/>
        </w:rPr>
        <w:t xml:space="preserve"> permitted to be conducted and operated on tribal lands</w:t>
      </w:r>
      <w:r w:rsidRPr="00AA7CBF">
        <w:rPr>
          <w:sz w:val="14"/>
        </w:rPr>
        <w:t>” subject to compacts negotiated between the governor and American Indian tribes and approved by the legislature. The constitutions of </w:t>
      </w:r>
      <w:r w:rsidRPr="00843A78">
        <w:rPr>
          <w:highlight w:val="green"/>
          <w:u w:val="single"/>
        </w:rPr>
        <w:t>Colorado</w:t>
      </w:r>
      <w:r w:rsidRPr="00AA7CBF">
        <w:rPr>
          <w:sz w:val="14"/>
        </w:rPr>
        <w:t>, </w:t>
      </w:r>
      <w:r w:rsidRPr="00843A78">
        <w:rPr>
          <w:highlight w:val="green"/>
          <w:u w:val="single"/>
        </w:rPr>
        <w:t>Florida</w:t>
      </w:r>
      <w:r w:rsidRPr="00AA7CBF">
        <w:rPr>
          <w:sz w:val="14"/>
        </w:rPr>
        <w:t>, and </w:t>
      </w:r>
      <w:r w:rsidRPr="00843A78">
        <w:rPr>
          <w:highlight w:val="green"/>
          <w:u w:val="single"/>
        </w:rPr>
        <w:t>Michigan</w:t>
      </w:r>
      <w:r w:rsidRPr="00AA7CBF">
        <w:rPr>
          <w:sz w:val="14"/>
        </w:rPr>
        <w:t xml:space="preserve"> specifically </w:t>
      </w:r>
      <w:r w:rsidRPr="00843A78">
        <w:rPr>
          <w:rStyle w:val="Emphasis"/>
          <w:highlight w:val="green"/>
        </w:rPr>
        <w:t>exempt</w:t>
      </w:r>
      <w:r w:rsidRPr="00843A78">
        <w:rPr>
          <w:highlight w:val="green"/>
          <w:u w:val="single"/>
        </w:rPr>
        <w:t xml:space="preserve"> Indian lands from</w:t>
      </w:r>
      <w:r w:rsidRPr="00113BA1">
        <w:rPr>
          <w:u w:val="single"/>
        </w:rPr>
        <w:t xml:space="preserve"> the states’ generally </w:t>
      </w:r>
      <w:r w:rsidRPr="00843A78">
        <w:rPr>
          <w:highlight w:val="green"/>
          <w:u w:val="single"/>
        </w:rPr>
        <w:t>applicable gaming laws</w:t>
      </w:r>
      <w:r w:rsidRPr="00AA7CBF">
        <w:rPr>
          <w:sz w:val="14"/>
        </w:rPr>
        <w:t xml:space="preserve">, </w:t>
      </w:r>
      <w:r w:rsidRPr="00843A78">
        <w:rPr>
          <w:rStyle w:val="Emphasis"/>
          <w:highlight w:val="green"/>
        </w:rPr>
        <w:t>clearing</w:t>
      </w:r>
      <w:r w:rsidRPr="00843A78">
        <w:rPr>
          <w:highlight w:val="green"/>
          <w:u w:val="single"/>
        </w:rPr>
        <w:t xml:space="preserve"> the way for</w:t>
      </w:r>
      <w:r w:rsidRPr="00113BA1">
        <w:rPr>
          <w:u w:val="single"/>
        </w:rPr>
        <w:t xml:space="preserve"> the </w:t>
      </w:r>
      <w:r w:rsidRPr="00843A78">
        <w:rPr>
          <w:highlight w:val="green"/>
          <w:u w:val="single"/>
        </w:rPr>
        <w:t>fed</w:t>
      </w:r>
      <w:r w:rsidRPr="00B53152">
        <w:rPr>
          <w:u w:val="single"/>
        </w:rPr>
        <w:t>eral</w:t>
      </w:r>
      <w:r w:rsidRPr="00113BA1">
        <w:rPr>
          <w:u w:val="single"/>
        </w:rPr>
        <w:t xml:space="preserve"> gaming </w:t>
      </w:r>
      <w:r w:rsidRPr="00843A78">
        <w:rPr>
          <w:highlight w:val="green"/>
          <w:u w:val="single"/>
        </w:rPr>
        <w:t>act</w:t>
      </w:r>
      <w:r w:rsidRPr="00113BA1">
        <w:rPr>
          <w:u w:val="single"/>
        </w:rPr>
        <w:t>’s application</w:t>
      </w:r>
      <w:r w:rsidRPr="00AA7CBF">
        <w:rPr>
          <w:sz w:val="14"/>
        </w:rPr>
        <w:t>. Because of federal authority in this arena, the act and tribal-state compacts are the primary source of tribal gaming arrangements in every state regardless of these state constitutional provisions. </w:t>
      </w:r>
    </w:p>
    <w:p w14:paraId="49F3FBA9" w14:textId="4D6797DD" w:rsidR="00C3436E" w:rsidRDefault="00E97E1C" w:rsidP="00B55654">
      <w:pPr>
        <w:rPr>
          <w:sz w:val="14"/>
        </w:rPr>
      </w:pPr>
      <w:r w:rsidRPr="00AA7CBF">
        <w:rPr>
          <w:sz w:val="14"/>
        </w:rPr>
        <w:t>New Mexico’s constitution retains an antiquated provision referencing long-repealed federal laws that barred the introduction of liquor on Indian reservation lands. Federal prohibition of alcohol on Native American lands was lifted in 1953, though those lands remain subject to state liquor laws.</w:t>
      </w:r>
    </w:p>
    <w:p w14:paraId="4174E776" w14:textId="77777777" w:rsidR="00722066" w:rsidRDefault="00722066" w:rsidP="00B55654">
      <w:pPr>
        <w:rPr>
          <w:sz w:val="14"/>
        </w:rPr>
      </w:pPr>
    </w:p>
    <w:p w14:paraId="370C439A" w14:textId="0D9CE338" w:rsidR="00962BF3" w:rsidRPr="00962BF3" w:rsidRDefault="00962BF3" w:rsidP="00962BF3">
      <w:pPr>
        <w:pStyle w:val="Heading4"/>
      </w:pPr>
      <w:r>
        <w:t>FTC regulation undermine</w:t>
      </w:r>
      <w:r w:rsidR="009E6896">
        <w:t>s</w:t>
      </w:r>
      <w:r>
        <w:t xml:space="preserve"> </w:t>
      </w:r>
      <w:r w:rsidRPr="00962BF3">
        <w:rPr>
          <w:u w:val="single"/>
        </w:rPr>
        <w:t>tribal exclusivity</w:t>
      </w:r>
      <w:r>
        <w:t xml:space="preserve">, collapse </w:t>
      </w:r>
      <w:r w:rsidRPr="00962BF3">
        <w:rPr>
          <w:u w:val="single"/>
        </w:rPr>
        <w:t>compact revenue</w:t>
      </w:r>
      <w:r>
        <w:t xml:space="preserve">, and destabilize </w:t>
      </w:r>
      <w:r w:rsidRPr="009F7D45">
        <w:rPr>
          <w:u w:val="single"/>
        </w:rPr>
        <w:t>state</w:t>
      </w:r>
      <w:r w:rsidR="009F7D45">
        <w:rPr>
          <w:u w:val="single"/>
        </w:rPr>
        <w:t>-</w:t>
      </w:r>
      <w:r w:rsidRPr="009F7D45">
        <w:rPr>
          <w:u w:val="single"/>
        </w:rPr>
        <w:t>tribal governance</w:t>
      </w:r>
    </w:p>
    <w:p w14:paraId="38A3043E" w14:textId="08B418CB" w:rsidR="00C3436E" w:rsidRPr="00C3436E" w:rsidRDefault="00C3436E" w:rsidP="00C3436E">
      <w:r w:rsidRPr="00C3436E">
        <w:rPr>
          <w:rStyle w:val="Style13ptBold"/>
        </w:rPr>
        <w:t>Hoffman ’21</w:t>
      </w:r>
      <w:r>
        <w:t xml:space="preserve"> [Hillary M; She</w:t>
      </w:r>
      <w:r w:rsidRPr="00C3436E">
        <w:t xml:space="preserve"> is the 2020-2021 Richard Brooks Distinguished Scholar and a professor of law at Vermont Law School. Her scholarship focuses on federal Indian law, natural resources law, and public lands law</w:t>
      </w:r>
      <w:r>
        <w:t>; “</w:t>
      </w:r>
      <w:r w:rsidRPr="00C3436E">
        <w:t>The Constitutionality of Federal Regulation in Indian Country</w:t>
      </w:r>
      <w:r>
        <w:t xml:space="preserve">”; Published 03/24/21; </w:t>
      </w:r>
      <w:r w:rsidRPr="00C3436E">
        <w:t>https://www.theregreview.org/2021/03/24/hoffmann-constitutionality-federal-regulation-indian-country/</w:t>
      </w:r>
      <w:r>
        <w:t xml:space="preserve">; DOA 01/28/26] </w:t>
      </w:r>
      <w:r w:rsidR="00E97E1C">
        <w:t>$m</w:t>
      </w:r>
    </w:p>
    <w:p w14:paraId="67E693F5" w14:textId="77777777" w:rsidR="002236EB" w:rsidRPr="004C77A3" w:rsidRDefault="002236EB" w:rsidP="002236EB">
      <w:pPr>
        <w:rPr>
          <w:sz w:val="16"/>
        </w:rPr>
      </w:pPr>
      <w:r w:rsidRPr="004C77A3">
        <w:rPr>
          <w:sz w:val="16"/>
        </w:rPr>
        <w:t xml:space="preserve">This statement is interesting when read in isolation, but when examined against the </w:t>
      </w:r>
      <w:r w:rsidRPr="00126B17">
        <w:rPr>
          <w:u w:val="single"/>
        </w:rPr>
        <w:t xml:space="preserve">Court’s </w:t>
      </w:r>
      <w:r w:rsidRPr="00126B17">
        <w:rPr>
          <w:rStyle w:val="Emphasis"/>
        </w:rPr>
        <w:t>150</w:t>
      </w:r>
      <w:r w:rsidRPr="00126B17">
        <w:rPr>
          <w:u w:val="single"/>
        </w:rPr>
        <w:t xml:space="preserve">-year history of constitutional analysis of congressional delegations regarding </w:t>
      </w:r>
      <w:r w:rsidRPr="00E97E1C">
        <w:rPr>
          <w:rStyle w:val="Emphasis"/>
        </w:rPr>
        <w:t>Tribes</w:t>
      </w:r>
      <w:r w:rsidRPr="004C77A3">
        <w:rPr>
          <w:sz w:val="16"/>
        </w:rPr>
        <w:t>, it becomes quite intriguing.</w:t>
      </w:r>
    </w:p>
    <w:p w14:paraId="13C702A3" w14:textId="126C3755" w:rsidR="002236EB" w:rsidRPr="004C77A3" w:rsidRDefault="002236EB" w:rsidP="002236EB">
      <w:pPr>
        <w:rPr>
          <w:sz w:val="16"/>
        </w:rPr>
      </w:pPr>
      <w:r w:rsidRPr="004C77A3">
        <w:rPr>
          <w:sz w:val="16"/>
        </w:rPr>
        <w:t>In very plain text, the </w:t>
      </w:r>
      <w:r w:rsidRPr="00126B17">
        <w:rPr>
          <w:u w:val="single"/>
        </w:rPr>
        <w:t xml:space="preserve">U.S. Constitution contains </w:t>
      </w:r>
      <w:r w:rsidRPr="00126B17">
        <w:rPr>
          <w:rStyle w:val="Emphasis"/>
        </w:rPr>
        <w:t>two</w:t>
      </w:r>
      <w:r w:rsidRPr="00126B17">
        <w:rPr>
          <w:u w:val="single"/>
        </w:rPr>
        <w:t xml:space="preserve"> references to Indigenous peoples and Tribes</w:t>
      </w:r>
      <w:r w:rsidRPr="004C77A3">
        <w:rPr>
          <w:sz w:val="16"/>
        </w:rPr>
        <w:t xml:space="preserve">. The first is in Article 1, Section 2, which excludes “Indians not taxed” from the enumeration of state residents for the purposes of apportionment of representatives in Congress. The second is the so-called </w:t>
      </w:r>
      <w:r w:rsidRPr="00843A78">
        <w:rPr>
          <w:highlight w:val="green"/>
          <w:u w:val="single"/>
        </w:rPr>
        <w:t>Indian Commerce Clause</w:t>
      </w:r>
      <w:r w:rsidRPr="004C77A3">
        <w:rPr>
          <w:sz w:val="16"/>
        </w:rPr>
        <w:t xml:space="preserve">, found in </w:t>
      </w:r>
      <w:r w:rsidRPr="00126B17">
        <w:rPr>
          <w:u w:val="single"/>
        </w:rPr>
        <w:t>Article 1</w:t>
      </w:r>
      <w:r w:rsidRPr="004C77A3">
        <w:rPr>
          <w:sz w:val="16"/>
        </w:rPr>
        <w:t xml:space="preserve">, </w:t>
      </w:r>
      <w:r w:rsidRPr="00126B17">
        <w:rPr>
          <w:u w:val="single"/>
        </w:rPr>
        <w:t>Section 8</w:t>
      </w:r>
      <w:r w:rsidRPr="004C77A3">
        <w:rPr>
          <w:sz w:val="16"/>
        </w:rPr>
        <w:t xml:space="preserve">, </w:t>
      </w:r>
      <w:r w:rsidRPr="00126B17">
        <w:rPr>
          <w:u w:val="single"/>
        </w:rPr>
        <w:t>Clause 3</w:t>
      </w:r>
      <w:r w:rsidRPr="004C77A3">
        <w:rPr>
          <w:sz w:val="16"/>
        </w:rPr>
        <w:t>, which </w:t>
      </w:r>
      <w:r w:rsidRPr="00843A78">
        <w:rPr>
          <w:highlight w:val="green"/>
          <w:u w:val="single"/>
        </w:rPr>
        <w:t>confers</w:t>
      </w:r>
      <w:r w:rsidRPr="00126B17">
        <w:rPr>
          <w:u w:val="single"/>
        </w:rPr>
        <w:t xml:space="preserve"> authority </w:t>
      </w:r>
      <w:r w:rsidRPr="00843A78">
        <w:rPr>
          <w:highlight w:val="green"/>
          <w:u w:val="single"/>
        </w:rPr>
        <w:t xml:space="preserve">on Congress to </w:t>
      </w:r>
      <w:r w:rsidRPr="00843A78">
        <w:rPr>
          <w:rStyle w:val="Emphasis"/>
          <w:highlight w:val="green"/>
        </w:rPr>
        <w:t>regulate</w:t>
      </w:r>
      <w:r w:rsidRPr="00126B17">
        <w:rPr>
          <w:u w:val="single"/>
        </w:rPr>
        <w:t xml:space="preserve"> interstate commerce and commerce</w:t>
      </w:r>
      <w:r w:rsidRPr="004C77A3">
        <w:rPr>
          <w:sz w:val="16"/>
        </w:rPr>
        <w:t xml:space="preserve"> “</w:t>
      </w:r>
      <w:r w:rsidRPr="00126B17">
        <w:rPr>
          <w:u w:val="single"/>
        </w:rPr>
        <w:t xml:space="preserve">with the </w:t>
      </w:r>
      <w:r w:rsidRPr="00843A78">
        <w:rPr>
          <w:highlight w:val="green"/>
          <w:u w:val="single"/>
        </w:rPr>
        <w:t>Indian Tribes</w:t>
      </w:r>
      <w:r w:rsidRPr="004C77A3">
        <w:rPr>
          <w:sz w:val="16"/>
        </w:rPr>
        <w:t>.”</w:t>
      </w:r>
    </w:p>
    <w:p w14:paraId="54BCD884" w14:textId="679073C7" w:rsidR="002236EB" w:rsidRPr="004C77A3" w:rsidRDefault="002236EB" w:rsidP="002236EB">
      <w:pPr>
        <w:rPr>
          <w:sz w:val="16"/>
        </w:rPr>
      </w:pPr>
      <w:r w:rsidRPr="004C77A3">
        <w:rPr>
          <w:sz w:val="16"/>
        </w:rPr>
        <w:t>Those are the sole constitutional references regarding Indigenous peoples, and, although they are brief, they offer some hints about the Framers’ intent in drafting the Constitution.</w:t>
      </w:r>
    </w:p>
    <w:p w14:paraId="6BCB2DB9" w14:textId="467763E9" w:rsidR="002236EB" w:rsidRPr="004C77A3" w:rsidRDefault="002236EB" w:rsidP="002236EB">
      <w:pPr>
        <w:rPr>
          <w:sz w:val="16"/>
        </w:rPr>
      </w:pPr>
      <w:r w:rsidRPr="004C77A3">
        <w:rPr>
          <w:sz w:val="16"/>
        </w:rPr>
        <w:t>As previous scholars have noted, these provisions can be interpreted as a reflection of the Framers’ understanding that Indigenous peoples were not citizens of states for purposes of apportionment and that Tribes were separate sovereign entities with which the federal government would be engaging in regulated commerce.</w:t>
      </w:r>
    </w:p>
    <w:p w14:paraId="6CA5F004" w14:textId="6339DFC4" w:rsidR="002236EB" w:rsidRPr="004C77A3" w:rsidRDefault="002236EB" w:rsidP="002236EB">
      <w:pPr>
        <w:rPr>
          <w:sz w:val="16"/>
        </w:rPr>
      </w:pPr>
      <w:r w:rsidRPr="004C77A3">
        <w:rPr>
          <w:sz w:val="16"/>
        </w:rPr>
        <w:t>Yet, from these limited references, Congress has claimed general legislative authority over Indigenous peoples and Tribes dating back nearly 200 years. When Tribes have challenged these unilateral assumptions of regulatory authority, courts have nearly always deferred to Congress, citing the Indian Commerce Clause, alone or in combination with any number of circumstances that appear to justify federal regulation.</w:t>
      </w:r>
    </w:p>
    <w:p w14:paraId="34F5B32E" w14:textId="68277A4B" w:rsidR="002236EB" w:rsidRPr="004C77A3" w:rsidRDefault="002236EB" w:rsidP="002236EB">
      <w:pPr>
        <w:rPr>
          <w:sz w:val="16"/>
        </w:rPr>
      </w:pPr>
      <w:r w:rsidRPr="00843A78">
        <w:rPr>
          <w:highlight w:val="green"/>
          <w:u w:val="single"/>
        </w:rPr>
        <w:t>Congress</w:t>
      </w:r>
      <w:r w:rsidRPr="00126B17">
        <w:rPr>
          <w:u w:val="single"/>
        </w:rPr>
        <w:t xml:space="preserve"> has </w:t>
      </w:r>
      <w:r w:rsidRPr="00843A78">
        <w:rPr>
          <w:highlight w:val="green"/>
          <w:u w:val="single"/>
        </w:rPr>
        <w:t>chose</w:t>
      </w:r>
      <w:r w:rsidRPr="00126B17">
        <w:rPr>
          <w:u w:val="single"/>
        </w:rPr>
        <w:t xml:space="preserve">n </w:t>
      </w:r>
      <w:r w:rsidRPr="00843A78">
        <w:rPr>
          <w:highlight w:val="green"/>
          <w:u w:val="single"/>
        </w:rPr>
        <w:t xml:space="preserve">to </w:t>
      </w:r>
      <w:r w:rsidRPr="00843A78">
        <w:rPr>
          <w:rStyle w:val="Emphasis"/>
          <w:highlight w:val="green"/>
        </w:rPr>
        <w:t>extend</w:t>
      </w:r>
      <w:r w:rsidRPr="00126B17">
        <w:rPr>
          <w:u w:val="single"/>
        </w:rPr>
        <w:t xml:space="preserve"> its </w:t>
      </w:r>
      <w:r w:rsidRPr="00843A78">
        <w:rPr>
          <w:highlight w:val="green"/>
          <w:u w:val="single"/>
        </w:rPr>
        <w:t xml:space="preserve">legislative authority </w:t>
      </w:r>
      <w:r w:rsidRPr="00843A78">
        <w:rPr>
          <w:rStyle w:val="Emphasis"/>
          <w:highlight w:val="green"/>
        </w:rPr>
        <w:t>far beyond</w:t>
      </w:r>
      <w:r w:rsidRPr="00126B17">
        <w:rPr>
          <w:u w:val="single"/>
        </w:rPr>
        <w:t xml:space="preserve"> what </w:t>
      </w:r>
      <w:r w:rsidRPr="00843A78">
        <w:rPr>
          <w:highlight w:val="green"/>
          <w:u w:val="single"/>
        </w:rPr>
        <w:t>the Constitution</w:t>
      </w:r>
      <w:r w:rsidRPr="00126B17">
        <w:rPr>
          <w:u w:val="single"/>
        </w:rPr>
        <w:t xml:space="preserve"> originally contemplated</w:t>
      </w:r>
      <w:r w:rsidRPr="004C77A3">
        <w:rPr>
          <w:sz w:val="16"/>
        </w:rPr>
        <w:t xml:space="preserve">, </w:t>
      </w:r>
      <w:r w:rsidRPr="00843A78">
        <w:rPr>
          <w:highlight w:val="green"/>
          <w:u w:val="single"/>
        </w:rPr>
        <w:t>into</w:t>
      </w:r>
      <w:r w:rsidRPr="00126B17">
        <w:rPr>
          <w:u w:val="single"/>
        </w:rPr>
        <w:t xml:space="preserve"> areas such as criminal jurisdiction, child welfare, and on-reservation </w:t>
      </w:r>
      <w:r w:rsidRPr="00843A78">
        <w:rPr>
          <w:rStyle w:val="Emphasis"/>
          <w:highlight w:val="green"/>
        </w:rPr>
        <w:t>gaming</w:t>
      </w:r>
      <w:r w:rsidRPr="004C77A3">
        <w:rPr>
          <w:sz w:val="16"/>
        </w:rPr>
        <w:t>. Congress has also directly regulated tribal governmental structure and other internal affairs, tribal environmental quality, and the use, consumption, and conservation of natural resources by and affecting Indigenous peoples.</w:t>
      </w:r>
    </w:p>
    <w:p w14:paraId="50E7AA93" w14:textId="77777777" w:rsidR="002236EB" w:rsidRPr="004C77A3" w:rsidRDefault="002236EB" w:rsidP="002236EB">
      <w:pPr>
        <w:rPr>
          <w:sz w:val="16"/>
        </w:rPr>
      </w:pPr>
      <w:r w:rsidRPr="00126B17">
        <w:rPr>
          <w:u w:val="single"/>
        </w:rPr>
        <w:t xml:space="preserve">Congress undertook </w:t>
      </w:r>
      <w:proofErr w:type="gramStart"/>
      <w:r w:rsidRPr="00126B17">
        <w:rPr>
          <w:u w:val="single"/>
        </w:rPr>
        <w:t>all of</w:t>
      </w:r>
      <w:proofErr w:type="gramEnd"/>
      <w:r w:rsidRPr="00126B17">
        <w:rPr>
          <w:u w:val="single"/>
        </w:rPr>
        <w:t xml:space="preserve"> this regulation </w:t>
      </w:r>
      <w:r w:rsidRPr="00843A78">
        <w:rPr>
          <w:rStyle w:val="Emphasis"/>
          <w:highlight w:val="green"/>
        </w:rPr>
        <w:t>without</w:t>
      </w:r>
      <w:r w:rsidRPr="00126B17">
        <w:rPr>
          <w:u w:val="single"/>
        </w:rPr>
        <w:t xml:space="preserve"> a solid </w:t>
      </w:r>
      <w:r w:rsidRPr="00843A78">
        <w:rPr>
          <w:highlight w:val="green"/>
          <w:u w:val="single"/>
        </w:rPr>
        <w:t>explanation</w:t>
      </w:r>
      <w:r w:rsidRPr="004C77A3">
        <w:rPr>
          <w:sz w:val="16"/>
        </w:rPr>
        <w:t xml:space="preserve">—or examination—by the </w:t>
      </w:r>
      <w:r w:rsidRPr="00126B17">
        <w:rPr>
          <w:u w:val="single"/>
        </w:rPr>
        <w:t>Supreme Court of its legal foundations</w:t>
      </w:r>
      <w:r w:rsidRPr="004C77A3">
        <w:rPr>
          <w:sz w:val="16"/>
        </w:rPr>
        <w:t xml:space="preserve">, </w:t>
      </w:r>
      <w:r w:rsidRPr="00843A78">
        <w:rPr>
          <w:highlight w:val="green"/>
          <w:u w:val="single"/>
        </w:rPr>
        <w:t>including</w:t>
      </w:r>
      <w:r w:rsidRPr="00126B17">
        <w:rPr>
          <w:u w:val="single"/>
        </w:rPr>
        <w:t xml:space="preserve"> the core question of </w:t>
      </w:r>
      <w:r w:rsidRPr="00843A78">
        <w:rPr>
          <w:highlight w:val="green"/>
          <w:u w:val="single"/>
        </w:rPr>
        <w:t xml:space="preserve">whether it is </w:t>
      </w:r>
      <w:r w:rsidRPr="00843A78">
        <w:rPr>
          <w:rStyle w:val="Emphasis"/>
          <w:highlight w:val="green"/>
        </w:rPr>
        <w:t>constitutional</w:t>
      </w:r>
      <w:r w:rsidRPr="00126B17">
        <w:rPr>
          <w:u w:val="single"/>
        </w:rPr>
        <w:t xml:space="preserve"> for Congress </w:t>
      </w:r>
      <w:r w:rsidRPr="00843A78">
        <w:rPr>
          <w:highlight w:val="green"/>
          <w:u w:val="single"/>
        </w:rPr>
        <w:t>to legislate</w:t>
      </w:r>
      <w:r w:rsidRPr="004C77A3">
        <w:rPr>
          <w:sz w:val="16"/>
        </w:rPr>
        <w:t xml:space="preserve"> regarding Indigenous peoples, the internal affairs of Tribes, and other </w:t>
      </w:r>
      <w:r w:rsidRPr="00843A78">
        <w:rPr>
          <w:highlight w:val="green"/>
          <w:u w:val="single"/>
        </w:rPr>
        <w:t>matters affecting</w:t>
      </w:r>
      <w:r w:rsidRPr="00126B17">
        <w:rPr>
          <w:u w:val="single"/>
        </w:rPr>
        <w:t xml:space="preserve"> Indian Country and </w:t>
      </w:r>
      <w:r w:rsidRPr="00843A78">
        <w:rPr>
          <w:highlight w:val="green"/>
          <w:u w:val="single"/>
        </w:rPr>
        <w:t>Indigenous lands</w:t>
      </w:r>
      <w:r w:rsidRPr="004C77A3">
        <w:rPr>
          <w:sz w:val="16"/>
        </w:rPr>
        <w:t>.</w:t>
      </w:r>
    </w:p>
    <w:p w14:paraId="6287B273" w14:textId="1AA07D43" w:rsidR="002236EB" w:rsidRPr="004C77A3" w:rsidRDefault="002236EB" w:rsidP="002236EB">
      <w:pPr>
        <w:rPr>
          <w:sz w:val="16"/>
        </w:rPr>
      </w:pPr>
      <w:r w:rsidRPr="004C77A3">
        <w:rPr>
          <w:sz w:val="16"/>
        </w:rPr>
        <w:t xml:space="preserve">The Supreme Court has sanctioned Congress’s ever encroaching legislative fervor under the dubiously established doctrine of federal plenary power. But whether this authority is constitutional is still hotly debated, more than 200 years after Congress first employed it. And if the exercise of congressional plenary power is unconstitutional, that </w:t>
      </w:r>
      <w:r w:rsidRPr="00843A78">
        <w:rPr>
          <w:highlight w:val="green"/>
          <w:u w:val="single"/>
        </w:rPr>
        <w:t>raises</w:t>
      </w:r>
      <w:r w:rsidRPr="00126B17">
        <w:rPr>
          <w:u w:val="single"/>
        </w:rPr>
        <w:t xml:space="preserve"> serious </w:t>
      </w:r>
      <w:r w:rsidRPr="00843A78">
        <w:rPr>
          <w:highlight w:val="green"/>
          <w:u w:val="single"/>
        </w:rPr>
        <w:t>questions about</w:t>
      </w:r>
      <w:r w:rsidRPr="00126B17">
        <w:rPr>
          <w:u w:val="single"/>
        </w:rPr>
        <w:t xml:space="preserve"> the </w:t>
      </w:r>
      <w:r w:rsidRPr="00843A78">
        <w:rPr>
          <w:highlight w:val="green"/>
          <w:u w:val="single"/>
        </w:rPr>
        <w:t xml:space="preserve">constitutionality of </w:t>
      </w:r>
      <w:r w:rsidRPr="00843A78">
        <w:rPr>
          <w:rStyle w:val="Emphasis"/>
          <w:highlight w:val="green"/>
        </w:rPr>
        <w:t>congressional delegations</w:t>
      </w:r>
      <w:r w:rsidRPr="00843A78">
        <w:rPr>
          <w:highlight w:val="green"/>
          <w:u w:val="single"/>
        </w:rPr>
        <w:t xml:space="preserve"> authorizing</w:t>
      </w:r>
      <w:r w:rsidRPr="00126B17">
        <w:rPr>
          <w:u w:val="single"/>
        </w:rPr>
        <w:t xml:space="preserve"> the </w:t>
      </w:r>
      <w:r w:rsidRPr="00843A78">
        <w:rPr>
          <w:rStyle w:val="Emphasis"/>
          <w:highlight w:val="green"/>
        </w:rPr>
        <w:t>regulation</w:t>
      </w:r>
      <w:r w:rsidRPr="00126B17">
        <w:rPr>
          <w:u w:val="single"/>
        </w:rPr>
        <w:t xml:space="preserve"> of Indigenous peoples and Tribes</w:t>
      </w:r>
      <w:r w:rsidRPr="004C77A3">
        <w:rPr>
          <w:sz w:val="16"/>
        </w:rPr>
        <w:t>.</w:t>
      </w:r>
    </w:p>
    <w:p w14:paraId="0AD5D8F2" w14:textId="75E0A9CC" w:rsidR="002236EB" w:rsidRPr="004C77A3" w:rsidRDefault="002236EB" w:rsidP="002236EB">
      <w:pPr>
        <w:rPr>
          <w:sz w:val="16"/>
        </w:rPr>
      </w:pPr>
      <w:r w:rsidRPr="004C77A3">
        <w:rPr>
          <w:sz w:val="16"/>
        </w:rPr>
        <w:t xml:space="preserve">The Supreme Court first examined the constitutionality of a delegation of authority from Congress to a Tribe in United States v. </w:t>
      </w:r>
      <w:proofErr w:type="spellStart"/>
      <w:r w:rsidRPr="004C77A3">
        <w:rPr>
          <w:sz w:val="16"/>
        </w:rPr>
        <w:t>Mazurie</w:t>
      </w:r>
      <w:proofErr w:type="spellEnd"/>
      <w:r w:rsidRPr="004C77A3">
        <w:rPr>
          <w:sz w:val="16"/>
        </w:rPr>
        <w:t>, a 1974 case involving a federal liquor control statute. Under the framework the statute created, Tribes could seek approval from the Secretary of Interior and receive permission to enforce federal liquor control laws on tribal lands.</w:t>
      </w:r>
    </w:p>
    <w:p w14:paraId="48F0765C" w14:textId="2D94714C" w:rsidR="002236EB" w:rsidRPr="004C77A3" w:rsidRDefault="002236EB" w:rsidP="002236EB">
      <w:pPr>
        <w:rPr>
          <w:sz w:val="16"/>
        </w:rPr>
      </w:pPr>
      <w:r w:rsidRPr="004C77A3">
        <w:rPr>
          <w:sz w:val="16"/>
        </w:rPr>
        <w:t xml:space="preserve">In the face of a constitutional challenge to this framework, the Supreme Court held that it was within Congress’s Indian Commerce Clause authority. Congressional </w:t>
      </w:r>
      <w:r w:rsidRPr="00843A78">
        <w:rPr>
          <w:highlight w:val="green"/>
          <w:u w:val="single"/>
        </w:rPr>
        <w:t>delegations</w:t>
      </w:r>
      <w:r w:rsidRPr="00126B17">
        <w:rPr>
          <w:u w:val="single"/>
        </w:rPr>
        <w:t xml:space="preserve"> of authority to the executive branch over Indigenous peoples, Tribes, and Indian Country are more </w:t>
      </w:r>
      <w:r w:rsidRPr="00843A78">
        <w:rPr>
          <w:rStyle w:val="Emphasis"/>
          <w:highlight w:val="green"/>
        </w:rPr>
        <w:t>elusive</w:t>
      </w:r>
      <w:r w:rsidRPr="004C77A3">
        <w:rPr>
          <w:sz w:val="16"/>
        </w:rPr>
        <w:t>, but they are also routinely upheld by the Supreme Court under the Indian Commerce Clause.</w:t>
      </w:r>
    </w:p>
    <w:p w14:paraId="4BF974F9" w14:textId="05F7C718" w:rsidR="002236EB" w:rsidRPr="004C77A3" w:rsidRDefault="002236EB" w:rsidP="002236EB">
      <w:pPr>
        <w:rPr>
          <w:sz w:val="16"/>
        </w:rPr>
      </w:pPr>
      <w:r w:rsidRPr="004C77A3">
        <w:rPr>
          <w:sz w:val="16"/>
        </w:rPr>
        <w:t xml:space="preserve">This history is what makes the Court’s recent statement in McGirt about Congress’s enactment of the Major Crimes Act—and its application within Creek Nation lands—so intriguing. If </w:t>
      </w:r>
      <w:proofErr w:type="gramStart"/>
      <w:r w:rsidRPr="004C77A3">
        <w:rPr>
          <w:sz w:val="16"/>
        </w:rPr>
        <w:t>a majority of</w:t>
      </w:r>
      <w:proofErr w:type="gramEnd"/>
      <w:r w:rsidRPr="004C77A3">
        <w:rPr>
          <w:sz w:val="16"/>
        </w:rPr>
        <w:t xml:space="preserve"> the Justices on the Supreme Court are finally willing to consider the constitutionality of a statute such as the Major Crimes Act—which has been federal law for 136 years—such review would raise a series of questions about the constitutionality of all congressional acts based on the Indian Commerce Clause.</w:t>
      </w:r>
    </w:p>
    <w:p w14:paraId="3C094E39" w14:textId="574C1EC3" w:rsidR="002236EB" w:rsidRPr="004C77A3" w:rsidRDefault="002236EB" w:rsidP="002236EB">
      <w:pPr>
        <w:rPr>
          <w:sz w:val="16"/>
        </w:rPr>
      </w:pPr>
      <w:r w:rsidRPr="004C77A3">
        <w:rPr>
          <w:sz w:val="16"/>
        </w:rPr>
        <w:t>Among these questions are whether the Court’s willingness to review such acts is conditioned upon treaty promises, including promises made to the Creek Nation, which were of great importance to the majority in McGirt.</w:t>
      </w:r>
    </w:p>
    <w:p w14:paraId="4C0AAB69" w14:textId="77777777" w:rsidR="002236EB" w:rsidRPr="004C77A3" w:rsidRDefault="002236EB" w:rsidP="002236EB">
      <w:pPr>
        <w:rPr>
          <w:sz w:val="16"/>
        </w:rPr>
      </w:pPr>
      <w:r w:rsidRPr="004C77A3">
        <w:rPr>
          <w:sz w:val="16"/>
        </w:rPr>
        <w:t xml:space="preserve">It also may now be an open question whether it is </w:t>
      </w:r>
      <w:r w:rsidRPr="00843A78">
        <w:rPr>
          <w:highlight w:val="green"/>
          <w:u w:val="single"/>
        </w:rPr>
        <w:t xml:space="preserve">inherently </w:t>
      </w:r>
      <w:r w:rsidRPr="00843A78">
        <w:rPr>
          <w:rStyle w:val="Emphasis"/>
          <w:highlight w:val="green"/>
        </w:rPr>
        <w:t>unconstitutional</w:t>
      </w:r>
      <w:r w:rsidRPr="00126B17">
        <w:rPr>
          <w:u w:val="single"/>
        </w:rPr>
        <w:t xml:space="preserve"> for Congress </w:t>
      </w:r>
      <w:r w:rsidRPr="00843A78">
        <w:rPr>
          <w:highlight w:val="green"/>
          <w:u w:val="single"/>
        </w:rPr>
        <w:t xml:space="preserve">to pass </w:t>
      </w:r>
      <w:r w:rsidRPr="00843A78">
        <w:rPr>
          <w:rStyle w:val="Emphasis"/>
          <w:highlight w:val="green"/>
        </w:rPr>
        <w:t>legislation</w:t>
      </w:r>
      <w:r w:rsidRPr="004C77A3">
        <w:rPr>
          <w:sz w:val="16"/>
        </w:rPr>
        <w:t xml:space="preserve"> on matters unrelated to commerce with Tribes, </w:t>
      </w:r>
      <w:r w:rsidRPr="00843A78">
        <w:rPr>
          <w:rStyle w:val="Emphasis"/>
          <w:highlight w:val="green"/>
        </w:rPr>
        <w:t>regardless</w:t>
      </w:r>
      <w:r w:rsidRPr="00843A78">
        <w:rPr>
          <w:highlight w:val="green"/>
          <w:u w:val="single"/>
        </w:rPr>
        <w:t xml:space="preserve"> of</w:t>
      </w:r>
      <w:r w:rsidRPr="00126B17">
        <w:rPr>
          <w:u w:val="single"/>
        </w:rPr>
        <w:t xml:space="preserve"> prior treaties and the </w:t>
      </w:r>
      <w:r w:rsidRPr="00843A78">
        <w:rPr>
          <w:rStyle w:val="Emphasis"/>
          <w:highlight w:val="green"/>
        </w:rPr>
        <w:t>Supremacy Clause</w:t>
      </w:r>
      <w:r w:rsidRPr="004C77A3">
        <w:rPr>
          <w:sz w:val="16"/>
        </w:rPr>
        <w:t>. An affirmative answer would render some legislation unconstitutional regardless of the form of the sovereign guarantee an individual Tribe had received in any prior treaty.</w:t>
      </w:r>
    </w:p>
    <w:p w14:paraId="505EB8A8" w14:textId="43AB8427" w:rsidR="002236EB" w:rsidRPr="004C77A3" w:rsidRDefault="002236EB" w:rsidP="002236EB">
      <w:pPr>
        <w:rPr>
          <w:sz w:val="16"/>
        </w:rPr>
      </w:pPr>
      <w:r w:rsidRPr="004C77A3">
        <w:rPr>
          <w:sz w:val="16"/>
        </w:rPr>
        <w:t>In addition, many of Congress’s delegation structures, such as the one at issue in </w:t>
      </w:r>
      <w:proofErr w:type="spellStart"/>
      <w:r w:rsidRPr="004C77A3">
        <w:rPr>
          <w:sz w:val="16"/>
        </w:rPr>
        <w:t>Mazurie</w:t>
      </w:r>
      <w:proofErr w:type="spellEnd"/>
      <w:r w:rsidRPr="004C77A3">
        <w:rPr>
          <w:sz w:val="16"/>
        </w:rPr>
        <w:t xml:space="preserve">, contemplate a </w:t>
      </w:r>
      <w:r w:rsidRPr="00843A78">
        <w:rPr>
          <w:highlight w:val="green"/>
          <w:u w:val="single"/>
        </w:rPr>
        <w:t>tribal</w:t>
      </w:r>
      <w:r w:rsidRPr="00126B17">
        <w:rPr>
          <w:u w:val="single"/>
        </w:rPr>
        <w:t xml:space="preserve"> assumption of </w:t>
      </w:r>
      <w:r w:rsidRPr="00843A78">
        <w:rPr>
          <w:highlight w:val="green"/>
          <w:u w:val="single"/>
        </w:rPr>
        <w:t>regulatory authority</w:t>
      </w:r>
      <w:r w:rsidRPr="00126B17">
        <w:rPr>
          <w:u w:val="single"/>
        </w:rPr>
        <w:t xml:space="preserve"> only upon </w:t>
      </w:r>
      <w:r w:rsidRPr="00843A78">
        <w:rPr>
          <w:highlight w:val="green"/>
          <w:u w:val="single"/>
        </w:rPr>
        <w:t>receiv</w:t>
      </w:r>
      <w:r w:rsidRPr="00126B17">
        <w:rPr>
          <w:u w:val="single"/>
        </w:rPr>
        <w:t xml:space="preserve">ing </w:t>
      </w:r>
      <w:r w:rsidRPr="00843A78">
        <w:rPr>
          <w:highlight w:val="green"/>
          <w:u w:val="single"/>
        </w:rPr>
        <w:t>permission from</w:t>
      </w:r>
      <w:r w:rsidRPr="00126B17">
        <w:rPr>
          <w:u w:val="single"/>
        </w:rPr>
        <w:t xml:space="preserve"> the U.S. Department of the Interior or another </w:t>
      </w:r>
      <w:r w:rsidRPr="00843A78">
        <w:rPr>
          <w:rStyle w:val="Emphasis"/>
          <w:highlight w:val="green"/>
        </w:rPr>
        <w:t>federal agency</w:t>
      </w:r>
      <w:r w:rsidRPr="00126B17">
        <w:rPr>
          <w:u w:val="single"/>
        </w:rPr>
        <w:t xml:space="preserve"> official</w:t>
      </w:r>
      <w:r w:rsidRPr="004C77A3">
        <w:rPr>
          <w:sz w:val="16"/>
        </w:rPr>
        <w:t>—even as these delegation structures purport to recognize the inherent sovereign authority of Tribes to govern themselves.</w:t>
      </w:r>
    </w:p>
    <w:p w14:paraId="6B4CF760" w14:textId="0EEEC35A" w:rsidR="002236EB" w:rsidRDefault="002236EB" w:rsidP="002236EB">
      <w:pPr>
        <w:rPr>
          <w:sz w:val="16"/>
        </w:rPr>
      </w:pPr>
      <w:r w:rsidRPr="004C77A3">
        <w:rPr>
          <w:sz w:val="16"/>
        </w:rPr>
        <w:t xml:space="preserve">Allowing this level of </w:t>
      </w:r>
      <w:r w:rsidRPr="00843A78">
        <w:rPr>
          <w:highlight w:val="green"/>
          <w:u w:val="single"/>
        </w:rPr>
        <w:t>federal oversight</w:t>
      </w:r>
      <w:r w:rsidRPr="00126B17">
        <w:rPr>
          <w:u w:val="single"/>
        </w:rPr>
        <w:t xml:space="preserve"> does </w:t>
      </w:r>
      <w:r w:rsidRPr="00843A78">
        <w:rPr>
          <w:rStyle w:val="Emphasis"/>
          <w:highlight w:val="green"/>
        </w:rPr>
        <w:t>not</w:t>
      </w:r>
      <w:r w:rsidRPr="00126B17">
        <w:rPr>
          <w:u w:val="single"/>
        </w:rPr>
        <w:t xml:space="preserve"> seem consistent with the role that the Framers envisioned for Congress or the executive branch in the Constitution</w:t>
      </w:r>
      <w:r w:rsidRPr="004C77A3">
        <w:rPr>
          <w:sz w:val="16"/>
        </w:rPr>
        <w:t xml:space="preserve">, </w:t>
      </w:r>
      <w:r w:rsidRPr="00126B17">
        <w:rPr>
          <w:u w:val="single"/>
        </w:rPr>
        <w:t xml:space="preserve">nor is it </w:t>
      </w:r>
      <w:r w:rsidRPr="00843A78">
        <w:rPr>
          <w:highlight w:val="green"/>
          <w:u w:val="single"/>
        </w:rPr>
        <w:t xml:space="preserve">consistent with federal </w:t>
      </w:r>
      <w:r w:rsidRPr="00843A78">
        <w:rPr>
          <w:rStyle w:val="Emphasis"/>
          <w:highlight w:val="green"/>
        </w:rPr>
        <w:t>promises</w:t>
      </w:r>
      <w:r w:rsidRPr="00126B17">
        <w:rPr>
          <w:u w:val="single"/>
        </w:rPr>
        <w:t> made </w:t>
      </w:r>
      <w:r w:rsidRPr="00843A78">
        <w:rPr>
          <w:highlight w:val="green"/>
          <w:u w:val="single"/>
        </w:rPr>
        <w:t>to</w:t>
      </w:r>
      <w:r w:rsidRPr="00126B17">
        <w:rPr>
          <w:u w:val="single"/>
        </w:rPr>
        <w:t xml:space="preserve"> so many </w:t>
      </w:r>
      <w:r w:rsidRPr="00843A78">
        <w:rPr>
          <w:highlight w:val="green"/>
          <w:u w:val="single"/>
        </w:rPr>
        <w:t>Tribes</w:t>
      </w:r>
      <w:r w:rsidRPr="004C77A3">
        <w:rPr>
          <w:sz w:val="16"/>
        </w:rPr>
        <w:t>, including the Creek Nation, that they would be forever “free to govern themselves.”</w:t>
      </w:r>
    </w:p>
    <w:p w14:paraId="547B0544" w14:textId="77777777" w:rsidR="00722066" w:rsidRPr="004C77A3" w:rsidRDefault="00722066" w:rsidP="002236EB">
      <w:pPr>
        <w:rPr>
          <w:sz w:val="16"/>
        </w:rPr>
      </w:pPr>
    </w:p>
    <w:p w14:paraId="527A5BE2" w14:textId="04208BC5" w:rsidR="00583C07" w:rsidRPr="00B31306" w:rsidRDefault="00B07DC4" w:rsidP="00B07DC4">
      <w:pPr>
        <w:pStyle w:val="Heading4"/>
      </w:pPr>
      <w:r w:rsidRPr="00B34A5A">
        <w:rPr>
          <w:u w:val="single"/>
        </w:rPr>
        <w:t>Any</w:t>
      </w:r>
      <w:r>
        <w:t xml:space="preserve"> deviation from the status quo </w:t>
      </w:r>
      <w:r w:rsidR="00420365">
        <w:t>kills</w:t>
      </w:r>
      <w:r>
        <w:t xml:space="preserve"> </w:t>
      </w:r>
      <w:r w:rsidRPr="00420365">
        <w:rPr>
          <w:u w:val="single"/>
        </w:rPr>
        <w:t>revenue</w:t>
      </w:r>
      <w:r>
        <w:t xml:space="preserve">, </w:t>
      </w:r>
      <w:r w:rsidR="00420365">
        <w:t xml:space="preserve">bulldozes </w:t>
      </w:r>
      <w:r w:rsidRPr="00420365">
        <w:rPr>
          <w:u w:val="single"/>
        </w:rPr>
        <w:t>sovereignty</w:t>
      </w:r>
      <w:r>
        <w:t xml:space="preserve">, and </w:t>
      </w:r>
      <w:r w:rsidR="00661E9E">
        <w:t xml:space="preserve">disrupts </w:t>
      </w:r>
      <w:r w:rsidRPr="00661E9E">
        <w:rPr>
          <w:u w:val="single"/>
        </w:rPr>
        <w:t>state-tribal relations</w:t>
      </w:r>
      <w:r w:rsidR="003837F7">
        <w:t xml:space="preserve">. </w:t>
      </w:r>
      <w:r w:rsidR="003837F7" w:rsidRPr="003837F7">
        <w:rPr>
          <w:b w:val="0"/>
          <w:bCs/>
        </w:rPr>
        <w:t>Only we cite authoritative, credible evidence.</w:t>
      </w:r>
    </w:p>
    <w:p w14:paraId="5E2C259B" w14:textId="6CA56E1A" w:rsidR="00B53E20" w:rsidRPr="00B31306" w:rsidRDefault="00B31306" w:rsidP="00B31306">
      <w:r w:rsidRPr="00AB6EF9">
        <w:rPr>
          <w:rStyle w:val="Style13ptBold"/>
        </w:rPr>
        <w:t>Pham ’25</w:t>
      </w:r>
      <w:r w:rsidRPr="00B31306">
        <w:t xml:space="preserve"> [Carolina and Matthew L Morgan; </w:t>
      </w:r>
      <w:r>
        <w:t xml:space="preserve">OIGA; </w:t>
      </w:r>
      <w:r w:rsidRPr="00B31306">
        <w:t>They are the acting and official chairpersons of the Oklahoma gaming association respectively, a non-profit organization of Oklahoma tribes engaged in gaming activity which aims to advance the welfare of Native Americans economically, socially, and politically</w:t>
      </w:r>
      <w:r>
        <w:t xml:space="preserve">; “Re: Prediction Markets Roundtable: Oklahoma Indian Gaming Association Comments Regarding Sports-Related Events Contracts”; </w:t>
      </w:r>
      <w:r w:rsidRPr="00B34A5A">
        <w:rPr>
          <w:color w:val="000000"/>
        </w:rPr>
        <w:t>https://www.cftc.gov/media/11861/OklahomaIndianGamingAssociation022025/download</w:t>
      </w:r>
      <w:r>
        <w:rPr>
          <w:color w:val="000000"/>
        </w:rPr>
        <w:t>; DOA 01/30/26] //AnalyticAhuha + manan</w:t>
      </w:r>
    </w:p>
    <w:p w14:paraId="3CEFC9BF" w14:textId="7B7419E9" w:rsidR="00B53E20" w:rsidRPr="00DE5819" w:rsidRDefault="00B53E20" w:rsidP="00583C07">
      <w:pPr>
        <w:rPr>
          <w:sz w:val="16"/>
        </w:rPr>
      </w:pPr>
      <w:r w:rsidRPr="00DE5819">
        <w:rPr>
          <w:sz w:val="16"/>
        </w:rPr>
        <w:t xml:space="preserve">The </w:t>
      </w:r>
      <w:r w:rsidRPr="00DE5819">
        <w:rPr>
          <w:u w:val="single"/>
        </w:rPr>
        <w:t xml:space="preserve">Oklahoma </w:t>
      </w:r>
      <w:r w:rsidRPr="00843A78">
        <w:rPr>
          <w:highlight w:val="green"/>
          <w:u w:val="single"/>
        </w:rPr>
        <w:t>Indian</w:t>
      </w:r>
      <w:r w:rsidRPr="00DE5819">
        <w:rPr>
          <w:u w:val="single"/>
        </w:rPr>
        <w:t xml:space="preserve"> Gaming </w:t>
      </w:r>
      <w:r w:rsidRPr="00843A78">
        <w:rPr>
          <w:highlight w:val="green"/>
          <w:u w:val="single"/>
        </w:rPr>
        <w:t>Association</w:t>
      </w:r>
      <w:r w:rsidRPr="00DE5819">
        <w:rPr>
          <w:sz w:val="16"/>
        </w:rPr>
        <w:t xml:space="preserve"> ("</w:t>
      </w:r>
      <w:r w:rsidRPr="00DE5819">
        <w:rPr>
          <w:rStyle w:val="Emphasis"/>
        </w:rPr>
        <w:t>OIGA</w:t>
      </w:r>
      <w:r w:rsidRPr="00DE5819">
        <w:rPr>
          <w:sz w:val="16"/>
        </w:rPr>
        <w:t>") welcomes the opportunity to submit feedback and suggestions in advance of the Commodity Futures Trading Commission's ("CFTC") Prediction Markets Roundtable concerning sports-related event contracts ("Sports Contracts"). OIGA is a non-profit organization of Oklahoma Indian tribes engaged in gaming activity which aims to advance the welfare of the Indian peoples economically, socially, and politically through the development of sound policies and practices with respect to the conduct of gaming enterprises in Indian country.</w:t>
      </w:r>
    </w:p>
    <w:p w14:paraId="7939180E" w14:textId="76CFE2D1" w:rsidR="00B53E20" w:rsidRPr="00DE5819" w:rsidRDefault="00B53E20" w:rsidP="00583C07">
      <w:pPr>
        <w:rPr>
          <w:sz w:val="16"/>
        </w:rPr>
      </w:pPr>
      <w:r w:rsidRPr="00DE5819">
        <w:rPr>
          <w:sz w:val="16"/>
        </w:rPr>
        <w:t xml:space="preserve">OIGA strongly </w:t>
      </w:r>
      <w:r w:rsidRPr="00843A78">
        <w:rPr>
          <w:highlight w:val="green"/>
          <w:u w:val="single"/>
        </w:rPr>
        <w:t>urges</w:t>
      </w:r>
      <w:r w:rsidRPr="00DE5819">
        <w:rPr>
          <w:u w:val="single"/>
        </w:rPr>
        <w:t xml:space="preserve"> the CFTC to make it clear that </w:t>
      </w:r>
      <w:r w:rsidRPr="00843A78">
        <w:rPr>
          <w:highlight w:val="green"/>
          <w:u w:val="single"/>
        </w:rPr>
        <w:t>Sports Contracts</w:t>
      </w:r>
      <w:r w:rsidRPr="00DE5819">
        <w:rPr>
          <w:u w:val="single"/>
        </w:rPr>
        <w:t xml:space="preserve"> are </w:t>
      </w:r>
      <w:r w:rsidRPr="00843A78">
        <w:rPr>
          <w:highlight w:val="green"/>
          <w:u w:val="single"/>
        </w:rPr>
        <w:t>prohibited</w:t>
      </w:r>
      <w:r w:rsidRPr="00DE5819">
        <w:rPr>
          <w:u w:val="single"/>
        </w:rPr>
        <w:t xml:space="preserve"> from being listed, or made available, </w:t>
      </w:r>
      <w:r w:rsidRPr="00843A78">
        <w:rPr>
          <w:highlight w:val="green"/>
          <w:u w:val="single"/>
        </w:rPr>
        <w:t>for</w:t>
      </w:r>
      <w:r w:rsidRPr="00DE5819">
        <w:rPr>
          <w:u w:val="single"/>
        </w:rPr>
        <w:t xml:space="preserve"> clearing or </w:t>
      </w:r>
      <w:r w:rsidRPr="00843A78">
        <w:rPr>
          <w:highlight w:val="green"/>
          <w:u w:val="single"/>
        </w:rPr>
        <w:t>trading</w:t>
      </w:r>
      <w:r w:rsidRPr="00DE5819">
        <w:rPr>
          <w:sz w:val="16"/>
        </w:rPr>
        <w:t xml:space="preserve">. Trading of Sports Contracts is gaming, </w:t>
      </w:r>
      <w:r w:rsidRPr="00843A78">
        <w:rPr>
          <w:rStyle w:val="Emphasis"/>
          <w:highlight w:val="green"/>
        </w:rPr>
        <w:t>violates</w:t>
      </w:r>
      <w:r w:rsidRPr="00843A78">
        <w:rPr>
          <w:highlight w:val="green"/>
          <w:u w:val="single"/>
        </w:rPr>
        <w:t xml:space="preserve"> state</w:t>
      </w:r>
      <w:r w:rsidRPr="00DE5819">
        <w:rPr>
          <w:u w:val="single"/>
        </w:rPr>
        <w:t xml:space="preserve"> and federal </w:t>
      </w:r>
      <w:r w:rsidRPr="00843A78">
        <w:rPr>
          <w:highlight w:val="green"/>
          <w:u w:val="single"/>
        </w:rPr>
        <w:t>law</w:t>
      </w:r>
      <w:r w:rsidRPr="00DE5819">
        <w:rPr>
          <w:sz w:val="16"/>
        </w:rPr>
        <w:t xml:space="preserve">, and is </w:t>
      </w:r>
      <w:r w:rsidRPr="00843A78">
        <w:rPr>
          <w:rStyle w:val="Emphasis"/>
          <w:highlight w:val="green"/>
        </w:rPr>
        <w:t>contrary</w:t>
      </w:r>
      <w:r w:rsidRPr="00843A78">
        <w:rPr>
          <w:highlight w:val="green"/>
          <w:u w:val="single"/>
        </w:rPr>
        <w:t xml:space="preserve"> to public policy</w:t>
      </w:r>
      <w:r w:rsidRPr="00DE5819">
        <w:rPr>
          <w:sz w:val="16"/>
        </w:rPr>
        <w:t xml:space="preserve"> for various reasons. Importantly, allowing Sports Contracts to be listed and traded will interfere with the </w:t>
      </w:r>
      <w:r w:rsidRPr="00843A78">
        <w:rPr>
          <w:highlight w:val="green"/>
          <w:u w:val="single"/>
        </w:rPr>
        <w:t>sovereign right of tribes</w:t>
      </w:r>
      <w:r w:rsidRPr="00DE5819">
        <w:rPr>
          <w:u w:val="single"/>
        </w:rPr>
        <w:t xml:space="preserve"> and states </w:t>
      </w:r>
      <w:r w:rsidRPr="00843A78">
        <w:rPr>
          <w:highlight w:val="green"/>
          <w:u w:val="single"/>
        </w:rPr>
        <w:t>to exercise</w:t>
      </w:r>
      <w:r w:rsidRPr="00DE5819">
        <w:rPr>
          <w:u w:val="single"/>
        </w:rPr>
        <w:t xml:space="preserve"> their police </w:t>
      </w:r>
      <w:r w:rsidRPr="00843A78">
        <w:rPr>
          <w:highlight w:val="green"/>
          <w:u w:val="single"/>
        </w:rPr>
        <w:t>power</w:t>
      </w:r>
      <w:r w:rsidRPr="00DE5819">
        <w:rPr>
          <w:u w:val="single"/>
        </w:rPr>
        <w:t xml:space="preserve"> to regulate gaming within their respective territories – a right </w:t>
      </w:r>
      <w:r w:rsidRPr="00843A78">
        <w:rPr>
          <w:highlight w:val="green"/>
          <w:u w:val="single"/>
        </w:rPr>
        <w:t xml:space="preserve">long </w:t>
      </w:r>
      <w:r w:rsidRPr="00843A78">
        <w:rPr>
          <w:rStyle w:val="Emphasis"/>
          <w:highlight w:val="green"/>
        </w:rPr>
        <w:t>recognized</w:t>
      </w:r>
      <w:r w:rsidRPr="00843A78">
        <w:rPr>
          <w:highlight w:val="green"/>
          <w:u w:val="single"/>
        </w:rPr>
        <w:t xml:space="preserve"> by courts</w:t>
      </w:r>
      <w:r w:rsidRPr="00DE5819">
        <w:rPr>
          <w:sz w:val="16"/>
        </w:rPr>
        <w:t xml:space="preserve"> throughout the United States. Additionally, listing and trading Sports Contracts would </w:t>
      </w:r>
      <w:r w:rsidRPr="00843A78">
        <w:rPr>
          <w:rStyle w:val="Emphasis"/>
          <w:highlight w:val="green"/>
        </w:rPr>
        <w:t>decimate</w:t>
      </w:r>
      <w:r w:rsidRPr="00DE5819">
        <w:rPr>
          <w:u w:val="single"/>
        </w:rPr>
        <w:t xml:space="preserve"> the </w:t>
      </w:r>
      <w:r w:rsidRPr="00843A78">
        <w:rPr>
          <w:highlight w:val="green"/>
          <w:u w:val="single"/>
        </w:rPr>
        <w:t>value of</w:t>
      </w:r>
      <w:r w:rsidRPr="00DE5819">
        <w:rPr>
          <w:u w:val="single"/>
        </w:rPr>
        <w:t xml:space="preserve"> the </w:t>
      </w:r>
      <w:r w:rsidRPr="00843A78">
        <w:rPr>
          <w:rStyle w:val="Emphasis"/>
          <w:highlight w:val="green"/>
        </w:rPr>
        <w:t>bargained-for-exchange</w:t>
      </w:r>
      <w:r w:rsidRPr="00843A78">
        <w:rPr>
          <w:highlight w:val="green"/>
          <w:u w:val="single"/>
        </w:rPr>
        <w:t xml:space="preserve"> made</w:t>
      </w:r>
      <w:r w:rsidRPr="00DE5819">
        <w:rPr>
          <w:u w:val="single"/>
        </w:rPr>
        <w:t xml:space="preserve"> between tribes and states in their gaming compacts </w:t>
      </w:r>
      <w:r w:rsidRPr="00843A78">
        <w:rPr>
          <w:highlight w:val="green"/>
          <w:u w:val="single"/>
        </w:rPr>
        <w:t>when tribes agree to share</w:t>
      </w:r>
      <w:r w:rsidRPr="00DE5819">
        <w:rPr>
          <w:u w:val="single"/>
        </w:rPr>
        <w:t xml:space="preserve"> their gaming </w:t>
      </w:r>
      <w:r w:rsidRPr="00843A78">
        <w:rPr>
          <w:highlight w:val="green"/>
          <w:u w:val="single"/>
        </w:rPr>
        <w:t>revenues</w:t>
      </w:r>
      <w:r w:rsidRPr="00DE5819">
        <w:rPr>
          <w:sz w:val="16"/>
        </w:rPr>
        <w:t xml:space="preserve"> – contributing billions to state governments – </w:t>
      </w:r>
      <w:r w:rsidRPr="00843A78">
        <w:rPr>
          <w:highlight w:val="green"/>
          <w:u w:val="single"/>
        </w:rPr>
        <w:t>in exchange for</w:t>
      </w:r>
      <w:r w:rsidRPr="00DE5819">
        <w:rPr>
          <w:u w:val="single"/>
        </w:rPr>
        <w:t xml:space="preserve"> substantial </w:t>
      </w:r>
      <w:r w:rsidRPr="00843A78">
        <w:rPr>
          <w:highlight w:val="green"/>
          <w:u w:val="single"/>
        </w:rPr>
        <w:t>exclusivity</w:t>
      </w:r>
      <w:r w:rsidRPr="00DE5819">
        <w:rPr>
          <w:u w:val="single"/>
        </w:rPr>
        <w:t xml:space="preserve"> over gaming in their state. Lastly, listing and </w:t>
      </w:r>
      <w:r w:rsidRPr="00843A78">
        <w:rPr>
          <w:highlight w:val="green"/>
          <w:u w:val="single"/>
        </w:rPr>
        <w:t>trading</w:t>
      </w:r>
      <w:r w:rsidRPr="00DE5819">
        <w:rPr>
          <w:u w:val="single"/>
        </w:rPr>
        <w:t xml:space="preserve"> Sports Contracts will </w:t>
      </w:r>
      <w:r w:rsidRPr="00843A78">
        <w:rPr>
          <w:highlight w:val="green"/>
          <w:u w:val="single"/>
        </w:rPr>
        <w:t>siphon</w:t>
      </w:r>
      <w:r w:rsidRPr="00DE5819">
        <w:rPr>
          <w:u w:val="single"/>
        </w:rPr>
        <w:t xml:space="preserve"> </w:t>
      </w:r>
      <w:r w:rsidRPr="00DE5819">
        <w:rPr>
          <w:rStyle w:val="Emphasis"/>
        </w:rPr>
        <w:t>critically</w:t>
      </w:r>
      <w:r w:rsidRPr="00DE5819">
        <w:rPr>
          <w:u w:val="single"/>
        </w:rPr>
        <w:t xml:space="preserve"> </w:t>
      </w:r>
      <w:r w:rsidRPr="00843A78">
        <w:rPr>
          <w:highlight w:val="green"/>
          <w:u w:val="single"/>
        </w:rPr>
        <w:t>needed revenue</w:t>
      </w:r>
      <w:r w:rsidRPr="00DE5819">
        <w:rPr>
          <w:sz w:val="16"/>
        </w:rPr>
        <w:t xml:space="preserve"> that supports tribal and state governments, and their citizens, by providing an end-run around tribal and state regulation of sports betting. Moreover, </w:t>
      </w:r>
      <w:r w:rsidRPr="00DE5819">
        <w:rPr>
          <w:u w:val="single"/>
        </w:rPr>
        <w:t xml:space="preserve">Sports Contracts directly </w:t>
      </w:r>
      <w:r w:rsidRPr="00843A78">
        <w:rPr>
          <w:highlight w:val="green"/>
          <w:u w:val="single"/>
        </w:rPr>
        <w:t>violate</w:t>
      </w:r>
      <w:r w:rsidRPr="00DE5819">
        <w:rPr>
          <w:u w:val="single"/>
        </w:rPr>
        <w:t xml:space="preserve"> the Commodity Exchange Act</w:t>
      </w:r>
      <w:r w:rsidRPr="00DE5819">
        <w:rPr>
          <w:sz w:val="16"/>
        </w:rPr>
        <w:t xml:space="preserve"> ("</w:t>
      </w:r>
      <w:r w:rsidRPr="00843A78">
        <w:rPr>
          <w:highlight w:val="green"/>
          <w:u w:val="single"/>
        </w:rPr>
        <w:t>CEA</w:t>
      </w:r>
      <w:r w:rsidRPr="00DE5819">
        <w:rPr>
          <w:sz w:val="16"/>
        </w:rPr>
        <w:t>"), and the plain language of the CTFC's implementing regulations, because they involve gaming and violate state and federal laws. Any determination that Sports Contracts comply with the CEA would therefore run afoul of the plain text of the CEA and its implementing regulations.</w:t>
      </w:r>
    </w:p>
    <w:p w14:paraId="7EFCC5CF" w14:textId="77777777" w:rsidR="00B53E20" w:rsidRPr="00DE5819" w:rsidRDefault="00B53E20" w:rsidP="00583C07">
      <w:pPr>
        <w:rPr>
          <w:sz w:val="16"/>
        </w:rPr>
      </w:pPr>
      <w:proofErr w:type="spellStart"/>
      <w:r w:rsidRPr="00DE5819">
        <w:rPr>
          <w:sz w:val="16"/>
        </w:rPr>
        <w:t>I.Sports</w:t>
      </w:r>
      <w:proofErr w:type="spellEnd"/>
      <w:r w:rsidRPr="00DE5819">
        <w:rPr>
          <w:sz w:val="16"/>
        </w:rPr>
        <w:t xml:space="preserve"> Contracts Violate Public Policy. </w:t>
      </w:r>
    </w:p>
    <w:p w14:paraId="70AFDF3D" w14:textId="2BABF5AD" w:rsidR="00B53E20" w:rsidRPr="00DE5819" w:rsidRDefault="00B53E20" w:rsidP="00583C07">
      <w:pPr>
        <w:rPr>
          <w:sz w:val="16"/>
        </w:rPr>
      </w:pPr>
      <w:r w:rsidRPr="00DE5819">
        <w:rPr>
          <w:sz w:val="16"/>
        </w:rPr>
        <w:t xml:space="preserve">As discussed below, Sports Contracts are categorically contrary to the public interest under 7 U.S.C. § 7a-2(c)(5)(C) and 17 C.F.R. § 40.11(a)(1). In addition to these statutory and regulatory violations, Sports Contracts violate public policy for several reasons. First, Sports Contracts diminish tribal and state sovereignty. Second, Sports Contracts deteriorate the value of </w:t>
      </w:r>
      <w:proofErr w:type="gramStart"/>
      <w:r w:rsidRPr="00DE5819">
        <w:rPr>
          <w:sz w:val="16"/>
        </w:rPr>
        <w:t>tribes'</w:t>
      </w:r>
      <w:proofErr w:type="gramEnd"/>
      <w:r w:rsidRPr="00DE5819">
        <w:rPr>
          <w:sz w:val="16"/>
        </w:rPr>
        <w:t xml:space="preserve"> bargained-for exclusivity to offer sports betting pursuant to compacts under the Indian Gaming Regulatory Act ("IGRA"). Third, Sports Contracts threaten to cut off vital revenue streams from sports betting conducted pursuant to valid gaming compacts that provide funding to tribal and state governments upon which both tribal and state citizens rely. Fourth, unlike sports betting regulated by tribes and states, Sports Contracts do not operate under robust regulations to address problems such as gambling addiction, problem-gambling, or match-fixing, and they do not provide funding for states to mitigate the negative externalities of gaming.</w:t>
      </w:r>
    </w:p>
    <w:p w14:paraId="5129EEDE" w14:textId="078E546B" w:rsidR="00B53E20" w:rsidRPr="00DE5819" w:rsidRDefault="00B53E20" w:rsidP="00583C07">
      <w:pPr>
        <w:rPr>
          <w:sz w:val="16"/>
        </w:rPr>
      </w:pPr>
      <w:r w:rsidRPr="00843A78">
        <w:rPr>
          <w:highlight w:val="green"/>
          <w:u w:val="single"/>
        </w:rPr>
        <w:t>Tribes are</w:t>
      </w:r>
      <w:r w:rsidRPr="0032545C">
        <w:rPr>
          <w:u w:val="single"/>
        </w:rPr>
        <w:t xml:space="preserve"> sovereign </w:t>
      </w:r>
      <w:r w:rsidRPr="00843A78">
        <w:rPr>
          <w:highlight w:val="green"/>
          <w:u w:val="single"/>
        </w:rPr>
        <w:t xml:space="preserve">nations with </w:t>
      </w:r>
      <w:r w:rsidRPr="00843A78">
        <w:rPr>
          <w:rStyle w:val="Emphasis"/>
          <w:highlight w:val="green"/>
        </w:rPr>
        <w:t>primary</w:t>
      </w:r>
      <w:r w:rsidRPr="00843A78">
        <w:rPr>
          <w:highlight w:val="green"/>
          <w:u w:val="single"/>
        </w:rPr>
        <w:t xml:space="preserve"> jurisdiction</w:t>
      </w:r>
      <w:r w:rsidRPr="0032545C">
        <w:rPr>
          <w:u w:val="single"/>
        </w:rPr>
        <w:t xml:space="preserve"> over their lands and citizens</w:t>
      </w:r>
      <w:r w:rsidRPr="00DE5819">
        <w:rPr>
          <w:sz w:val="16"/>
        </w:rPr>
        <w:t xml:space="preserve">, and as such, </w:t>
      </w:r>
      <w:r w:rsidRPr="0032545C">
        <w:rPr>
          <w:u w:val="single"/>
        </w:rPr>
        <w:t xml:space="preserve">they </w:t>
      </w:r>
      <w:r w:rsidRPr="00843A78">
        <w:rPr>
          <w:highlight w:val="green"/>
          <w:u w:val="single"/>
        </w:rPr>
        <w:t>maintain</w:t>
      </w:r>
      <w:r w:rsidRPr="0032545C">
        <w:rPr>
          <w:u w:val="single"/>
        </w:rPr>
        <w:t xml:space="preserve"> the </w:t>
      </w:r>
      <w:r w:rsidRPr="00843A78">
        <w:rPr>
          <w:highlight w:val="green"/>
          <w:u w:val="single"/>
        </w:rPr>
        <w:t>power to establish laws</w:t>
      </w:r>
      <w:r w:rsidRPr="00DE5819">
        <w:rPr>
          <w:sz w:val="16"/>
        </w:rPr>
        <w:t xml:space="preserve">, </w:t>
      </w:r>
      <w:r w:rsidRPr="0032545C">
        <w:rPr>
          <w:u w:val="single"/>
        </w:rPr>
        <w:t xml:space="preserve">regulate activities, and manage resources </w:t>
      </w:r>
      <w:r w:rsidRPr="00843A78">
        <w:rPr>
          <w:rStyle w:val="Emphasis"/>
          <w:highlight w:val="green"/>
        </w:rPr>
        <w:t>without</w:t>
      </w:r>
      <w:r w:rsidRPr="00843A78">
        <w:rPr>
          <w:highlight w:val="green"/>
          <w:u w:val="single"/>
        </w:rPr>
        <w:t xml:space="preserve"> interference</w:t>
      </w:r>
      <w:r w:rsidRPr="00DE5819">
        <w:rPr>
          <w:sz w:val="16"/>
        </w:rPr>
        <w:t xml:space="preserve">, to a certain extent, </w:t>
      </w:r>
      <w:r w:rsidRPr="00843A78">
        <w:rPr>
          <w:highlight w:val="green"/>
          <w:u w:val="single"/>
        </w:rPr>
        <w:t>from</w:t>
      </w:r>
      <w:r w:rsidRPr="0032545C">
        <w:rPr>
          <w:u w:val="single"/>
        </w:rPr>
        <w:t xml:space="preserve"> state or </w:t>
      </w:r>
      <w:r w:rsidRPr="00843A78">
        <w:rPr>
          <w:highlight w:val="green"/>
          <w:u w:val="single"/>
        </w:rPr>
        <w:t>federal governments</w:t>
      </w:r>
      <w:r w:rsidRPr="00DE5819">
        <w:rPr>
          <w:sz w:val="16"/>
        </w:rPr>
        <w:t xml:space="preserve">. In 1987, the Supreme Court recognized tribes' inherent sovereign right to offer gaming on tribal lands. See </w:t>
      </w:r>
      <w:r w:rsidRPr="00843A78">
        <w:rPr>
          <w:highlight w:val="green"/>
          <w:u w:val="single"/>
        </w:rPr>
        <w:t>California v. Cabazon</w:t>
      </w:r>
      <w:r w:rsidRPr="0032545C">
        <w:rPr>
          <w:u w:val="single"/>
        </w:rPr>
        <w:t xml:space="preserve"> Band of Mission Indians</w:t>
      </w:r>
      <w:r w:rsidRPr="00DE5819">
        <w:rPr>
          <w:sz w:val="16"/>
        </w:rPr>
        <w:t xml:space="preserve">, 480 U.S. 202 (1987). In 1988, the </w:t>
      </w:r>
      <w:r w:rsidRPr="00B76600">
        <w:rPr>
          <w:u w:val="single"/>
        </w:rPr>
        <w:t>IGRA</w:t>
      </w:r>
      <w:r w:rsidRPr="00DE5819">
        <w:rPr>
          <w:sz w:val="16"/>
        </w:rPr>
        <w:t xml:space="preserve"> was enacted to </w:t>
      </w:r>
      <w:r w:rsidRPr="00843A78">
        <w:rPr>
          <w:highlight w:val="green"/>
          <w:u w:val="single"/>
        </w:rPr>
        <w:t>facilitate</w:t>
      </w:r>
      <w:r w:rsidRPr="0032545C">
        <w:rPr>
          <w:u w:val="single"/>
        </w:rPr>
        <w:t xml:space="preserve"> </w:t>
      </w:r>
      <w:r w:rsidRPr="00843A78">
        <w:rPr>
          <w:highlight w:val="green"/>
          <w:u w:val="single"/>
        </w:rPr>
        <w:t>gov</w:t>
      </w:r>
      <w:r w:rsidRPr="0032545C">
        <w:rPr>
          <w:u w:val="single"/>
        </w:rPr>
        <w:t>ernment-</w:t>
      </w:r>
      <w:r w:rsidRPr="00843A78">
        <w:rPr>
          <w:highlight w:val="green"/>
          <w:u w:val="single"/>
        </w:rPr>
        <w:t>to</w:t>
      </w:r>
      <w:r w:rsidRPr="0032545C">
        <w:rPr>
          <w:u w:val="single"/>
        </w:rPr>
        <w:t>-</w:t>
      </w:r>
      <w:r w:rsidRPr="00843A78">
        <w:rPr>
          <w:highlight w:val="green"/>
          <w:u w:val="single"/>
        </w:rPr>
        <w:t>gov</w:t>
      </w:r>
      <w:r w:rsidRPr="0032545C">
        <w:rPr>
          <w:u w:val="single"/>
        </w:rPr>
        <w:t xml:space="preserve">ernment </w:t>
      </w:r>
      <w:r w:rsidRPr="00843A78">
        <w:rPr>
          <w:highlight w:val="green"/>
          <w:u w:val="single"/>
        </w:rPr>
        <w:t>relationships</w:t>
      </w:r>
      <w:r w:rsidRPr="00DE5819">
        <w:rPr>
          <w:sz w:val="16"/>
        </w:rPr>
        <w:t xml:space="preserve"> between tribes and states with respect to gaming regulation. 25 U.S.C. § 2701 et seq. </w:t>
      </w:r>
      <w:r w:rsidRPr="0032545C">
        <w:rPr>
          <w:u w:val="single"/>
        </w:rPr>
        <w:t xml:space="preserve">The IGRA also </w:t>
      </w:r>
      <w:r w:rsidRPr="00843A78">
        <w:rPr>
          <w:highlight w:val="green"/>
          <w:u w:val="single"/>
        </w:rPr>
        <w:t>codified</w:t>
      </w:r>
      <w:r w:rsidRPr="0032545C">
        <w:rPr>
          <w:u w:val="single"/>
        </w:rPr>
        <w:t xml:space="preserve"> tribes' "</w:t>
      </w:r>
      <w:r w:rsidRPr="00843A78">
        <w:rPr>
          <w:rStyle w:val="Emphasis"/>
          <w:highlight w:val="green"/>
        </w:rPr>
        <w:t>exclusive</w:t>
      </w:r>
      <w:r w:rsidRPr="00843A78">
        <w:rPr>
          <w:highlight w:val="green"/>
          <w:u w:val="single"/>
        </w:rPr>
        <w:t xml:space="preserve"> right</w:t>
      </w:r>
      <w:r w:rsidRPr="00DE5819">
        <w:rPr>
          <w:sz w:val="16"/>
        </w:rPr>
        <w:t xml:space="preserve"> to regulate gaming activity on Indian lands," id. § 2702, subject to limited exceptions. As for states, gaming regulation has been recognized at the heart of the police powers guaranteed by the </w:t>
      </w:r>
      <w:proofErr w:type="spellStart"/>
      <w:r w:rsidRPr="00DE5819">
        <w:rPr>
          <w:sz w:val="16"/>
        </w:rPr>
        <w:t>TenthAmendment</w:t>
      </w:r>
      <w:proofErr w:type="spellEnd"/>
      <w:r w:rsidRPr="00DE5819">
        <w:rPr>
          <w:sz w:val="16"/>
        </w:rPr>
        <w:t xml:space="preserve"> of the United States Constitution. See, e.g., W. Va. </w:t>
      </w:r>
      <w:proofErr w:type="spellStart"/>
      <w:r w:rsidRPr="00DE5819">
        <w:rPr>
          <w:sz w:val="16"/>
        </w:rPr>
        <w:t>Ass’n</w:t>
      </w:r>
      <w:proofErr w:type="spellEnd"/>
      <w:r w:rsidRPr="00DE5819">
        <w:rPr>
          <w:sz w:val="16"/>
        </w:rPr>
        <w:t xml:space="preserve"> of Club Owners &amp; Fraternal Servs., Inc. v. Musgrave, 553 F.3d 292, 302 (4th Cir. 2009). An essential component of tribal and state sovereignty is the ability to enact laws for the benefit and protection of their citizens – which includes gaming laws. Allowing Sports Contracts to be traded on a </w:t>
      </w:r>
      <w:r w:rsidRPr="00843A78">
        <w:rPr>
          <w:highlight w:val="green"/>
          <w:u w:val="single"/>
        </w:rPr>
        <w:t>national exchange</w:t>
      </w:r>
      <w:r w:rsidRPr="00912A48">
        <w:rPr>
          <w:u w:val="single"/>
        </w:rPr>
        <w:t xml:space="preserve"> would </w:t>
      </w:r>
      <w:r w:rsidRPr="00843A78">
        <w:rPr>
          <w:highlight w:val="green"/>
          <w:u w:val="single"/>
        </w:rPr>
        <w:t>create</w:t>
      </w:r>
      <w:r w:rsidRPr="00912A48">
        <w:rPr>
          <w:u w:val="single"/>
        </w:rPr>
        <w:t xml:space="preserve"> a </w:t>
      </w:r>
      <w:r w:rsidRPr="00843A78">
        <w:rPr>
          <w:highlight w:val="green"/>
          <w:u w:val="single"/>
        </w:rPr>
        <w:t xml:space="preserve">federal </w:t>
      </w:r>
      <w:r w:rsidRPr="00843A78">
        <w:rPr>
          <w:rStyle w:val="Emphasis"/>
          <w:highlight w:val="green"/>
        </w:rPr>
        <w:t>loophole</w:t>
      </w:r>
      <w:r w:rsidRPr="00912A48">
        <w:rPr>
          <w:u w:val="single"/>
        </w:rPr>
        <w:t xml:space="preserve"> to tribal and state sports betting regulations, effectively </w:t>
      </w:r>
      <w:r w:rsidRPr="00843A78">
        <w:rPr>
          <w:highlight w:val="green"/>
          <w:u w:val="single"/>
        </w:rPr>
        <w:t>preempting</w:t>
      </w:r>
      <w:r w:rsidRPr="00DE5819">
        <w:rPr>
          <w:sz w:val="16"/>
        </w:rPr>
        <w:t xml:space="preserve"> a whole swath of </w:t>
      </w:r>
      <w:r w:rsidRPr="00843A78">
        <w:rPr>
          <w:highlight w:val="green"/>
          <w:u w:val="single"/>
        </w:rPr>
        <w:t>laws</w:t>
      </w:r>
      <w:r w:rsidRPr="00912A48">
        <w:rPr>
          <w:u w:val="single"/>
        </w:rPr>
        <w:t xml:space="preserve"> enacted by sovereign governments seeking </w:t>
      </w:r>
      <w:r w:rsidRPr="00843A78">
        <w:rPr>
          <w:highlight w:val="green"/>
          <w:u w:val="single"/>
        </w:rPr>
        <w:t>to protect</w:t>
      </w:r>
      <w:r w:rsidRPr="00912A48">
        <w:rPr>
          <w:u w:val="single"/>
        </w:rPr>
        <w:t xml:space="preserve"> the health, </w:t>
      </w:r>
      <w:r w:rsidRPr="00843A78">
        <w:rPr>
          <w:highlight w:val="green"/>
          <w:u w:val="single"/>
        </w:rPr>
        <w:t>welfare</w:t>
      </w:r>
      <w:r w:rsidRPr="00DE5819">
        <w:rPr>
          <w:sz w:val="16"/>
        </w:rPr>
        <w:t xml:space="preserve">, </w:t>
      </w:r>
      <w:r w:rsidRPr="00843A78">
        <w:rPr>
          <w:highlight w:val="green"/>
          <w:u w:val="single"/>
        </w:rPr>
        <w:t>and</w:t>
      </w:r>
      <w:r w:rsidRPr="00912A48">
        <w:rPr>
          <w:u w:val="single"/>
        </w:rPr>
        <w:t xml:space="preserve"> safety of their citizens</w:t>
      </w:r>
      <w:r w:rsidRPr="00DE5819">
        <w:rPr>
          <w:sz w:val="16"/>
        </w:rPr>
        <w:t xml:space="preserve">. </w:t>
      </w:r>
      <w:r w:rsidRPr="00912A48">
        <w:rPr>
          <w:u w:val="single"/>
        </w:rPr>
        <w:t xml:space="preserve">This would impermissibly infringe on tribal </w:t>
      </w:r>
      <w:r w:rsidRPr="00843A78">
        <w:rPr>
          <w:highlight w:val="green"/>
          <w:u w:val="single"/>
        </w:rPr>
        <w:t>sovereignty</w:t>
      </w:r>
      <w:r w:rsidRPr="00DE5819">
        <w:rPr>
          <w:sz w:val="16"/>
        </w:rPr>
        <w:t xml:space="preserve"> and run afoul of federalism principles enshrined in the Constitution.</w:t>
      </w:r>
    </w:p>
    <w:p w14:paraId="0164BD2A" w14:textId="10B99F7F" w:rsidR="00B53E20" w:rsidRPr="00DE5819" w:rsidRDefault="00B53E20" w:rsidP="00583C07">
      <w:pPr>
        <w:rPr>
          <w:sz w:val="16"/>
        </w:rPr>
      </w:pPr>
      <w:r w:rsidRPr="00DE5819">
        <w:rPr>
          <w:sz w:val="16"/>
        </w:rPr>
        <w:t>During IGRA compact negotiations, tribes have negotiated for substantial exclusivity to offer certain types of Class III gaming. Specifically, OIGA member tribes negotiated the following protection in Oklahoma:</w:t>
      </w:r>
    </w:p>
    <w:p w14:paraId="06D0143A" w14:textId="096F8EF4" w:rsidR="00B53E20" w:rsidRPr="00DE5819" w:rsidRDefault="00B53E20" w:rsidP="00583C07">
      <w:pPr>
        <w:rPr>
          <w:sz w:val="16"/>
        </w:rPr>
      </w:pPr>
      <w:r w:rsidRPr="00DE5819">
        <w:rPr>
          <w:sz w:val="16"/>
        </w:rPr>
        <w:t xml:space="preserve">The parties acknowledge and recognize that this Compact provides tribes with substantial exclusivity and, consistent with the goals of IGRA, special opportunities for tribal economic opportunity through gaming within the external boundaries of Oklahoma in respect to the covered games. In consideration thereof, so long as the state does not change its laws after the effective date of this Compact to permit the operation of any additional form of gaming by any such organization </w:t>
      </w:r>
      <w:proofErr w:type="gramStart"/>
      <w:r w:rsidRPr="00DE5819">
        <w:rPr>
          <w:sz w:val="16"/>
        </w:rPr>
        <w:t>licensee, or</w:t>
      </w:r>
      <w:proofErr w:type="gramEnd"/>
      <w:r w:rsidRPr="00DE5819">
        <w:rPr>
          <w:sz w:val="16"/>
        </w:rPr>
        <w:t xml:space="preserve"> change its laws to permit any additional electronic or machine gaming within Oklahoma, the tribe agrees to pay the following fees.</w:t>
      </w:r>
    </w:p>
    <w:p w14:paraId="05446280" w14:textId="79012F5A" w:rsidR="00B53E20" w:rsidRPr="00DE5819" w:rsidRDefault="00B53E20" w:rsidP="00583C07">
      <w:pPr>
        <w:rPr>
          <w:sz w:val="16"/>
        </w:rPr>
      </w:pPr>
      <w:r w:rsidRPr="00DE5819">
        <w:rPr>
          <w:sz w:val="16"/>
        </w:rPr>
        <w:t xml:space="preserve">Oklahoma Model Tribal-State Gaming Compact ("Model Compact"), Part 11(A) (codified at 3A Okla. Stat. § 281). </w:t>
      </w:r>
      <w:proofErr w:type="gramStart"/>
      <w:r w:rsidRPr="00DE5819">
        <w:rPr>
          <w:sz w:val="16"/>
        </w:rPr>
        <w:t>Generally speaking, exclusivity</w:t>
      </w:r>
      <w:proofErr w:type="gramEnd"/>
      <w:r w:rsidRPr="00DE5819">
        <w:rPr>
          <w:sz w:val="16"/>
        </w:rPr>
        <w:t xml:space="preserve"> in IGRA compacts is a bargained-for benefit, often resulting from years of government-to-government negotiations between sovereigns. By encroaching on the sports betting market, Sports Contracts therefore infringe upon that exclusivity and undermine the sovereign rights of tribes and states, protected by the IGRA, to negotiate mutually beneficial gaming compacts.</w:t>
      </w:r>
    </w:p>
    <w:p w14:paraId="70E58041" w14:textId="025EEED1" w:rsidR="00B53E20" w:rsidRPr="00DE5819" w:rsidRDefault="00B53E20" w:rsidP="00583C07">
      <w:pPr>
        <w:rPr>
          <w:sz w:val="16"/>
        </w:rPr>
      </w:pPr>
      <w:r w:rsidRPr="00DE5819">
        <w:rPr>
          <w:sz w:val="16"/>
        </w:rPr>
        <w:t>Additionally, sports betting conducted pursuant to IGRA compacts, or in accordance with state gaming regulations, afford both tribes and states substantial revenue streams that fund important government services. Sports Contracts, however, diminish the market share for regulated sports betting, which reduces revenues for tribal and state governments. For tribes, this revenue funds essential tribal government services, which directly benefits the lives of their tribal citizens. This revenue is critical for tribal governments because they oftentimes do not have access to revenue sources typically available to sovereign governments, such as taxes or unimpeded land and natural resource development. For states, in addition to receiving revenue under IGRA compacts, the tax revenue from sports betting is significant. For example, in states that have legalized sports betting, at least $1.8 billion in taxes was collected in fiscal year 2023. See Adam Hoffer, Bets on Legal Sports Markets Pay Off Big for States, Sportsbooks, and Consumers, Tax Foundation (Dec. 10, 2024) (accessible here). States generally impose high tax rates on sports betting operators to fund state programs to regulate and mitigate impacts of gaming. See id.; Adam Hoffer, Online Sports Betting Taxes by State, 2024, Tax Foundation (Sept. 17, 2024) (accessible here)</w:t>
      </w:r>
    </w:p>
    <w:p w14:paraId="3BDEFE70" w14:textId="61962FCE" w:rsidR="00B53E20" w:rsidRPr="00DE5819" w:rsidRDefault="00B53E20" w:rsidP="00583C07">
      <w:pPr>
        <w:rPr>
          <w:sz w:val="16"/>
        </w:rPr>
      </w:pPr>
      <w:r w:rsidRPr="00DE5819">
        <w:rPr>
          <w:sz w:val="16"/>
        </w:rPr>
        <w:t>Finally, despite sharing all the hallmarks of gaming, and indeed qualifying as "Class III gaming," as discussed below, Sports Contracts and registered exchanges are not required to provide the same public health and consumer safety measures as lawful gaming operations. Moreover, Sports Contracts and registered exchanges are likewise not required to share revenue with state governments meant to defray the costs of addressing such impacts. Thus, while potentially facilitating certain harmful impacts, Sports Contracts and registered exchanges are not required to help prevent, counteract, or mitigate such impacts in contravention to the public wellbeing. In addition, it is significant that some states have decided not to allow sports betting at all, which means tribes in those states are unable to offer sports betting under the IGRA. Sports Contracts and registered exchanges would impose sports betting without any regard to the public policy determinations made by the elected leaders in those jurisdictions.</w:t>
      </w:r>
    </w:p>
    <w:p w14:paraId="123A2A85" w14:textId="77777777" w:rsidR="00B53E20" w:rsidRPr="00DE5819" w:rsidRDefault="00B53E20" w:rsidP="00583C07">
      <w:pPr>
        <w:rPr>
          <w:sz w:val="16"/>
        </w:rPr>
      </w:pPr>
      <w:r w:rsidRPr="00DE5819">
        <w:rPr>
          <w:sz w:val="16"/>
        </w:rPr>
        <w:t xml:space="preserve">II. Sports Contracts Are Contrary to the Public Interest. </w:t>
      </w:r>
    </w:p>
    <w:p w14:paraId="76F0547A" w14:textId="548F22E2" w:rsidR="00B53E20" w:rsidRPr="00DE5819" w:rsidRDefault="00B53E20" w:rsidP="00583C07">
      <w:pPr>
        <w:rPr>
          <w:sz w:val="16"/>
        </w:rPr>
      </w:pPr>
      <w:r w:rsidRPr="00DE5819">
        <w:rPr>
          <w:sz w:val="16"/>
        </w:rPr>
        <w:t xml:space="preserve">While it is clear, as discussed above, that Sports Contracts are contrary to public policy – particularly </w:t>
      </w:r>
      <w:proofErr w:type="gramStart"/>
      <w:r w:rsidRPr="00DE5819">
        <w:rPr>
          <w:sz w:val="16"/>
        </w:rPr>
        <w:t>with regard to</w:t>
      </w:r>
      <w:proofErr w:type="gramEnd"/>
      <w:r w:rsidRPr="00DE5819">
        <w:rPr>
          <w:sz w:val="16"/>
        </w:rPr>
        <w:t xml:space="preserve"> tribal and state sovereign rights – they are also per se contrary to the public interest. As such, we respectfully urge the CFTC to prohibit Sports Contracts pursuant to its authority under the CEA's "Special Rule."</w:t>
      </w:r>
    </w:p>
    <w:p w14:paraId="3893CA6F" w14:textId="18C9D0C1" w:rsidR="00603DAA" w:rsidRPr="00DE5819" w:rsidRDefault="00603DAA" w:rsidP="00603DAA">
      <w:pPr>
        <w:rPr>
          <w:sz w:val="16"/>
        </w:rPr>
      </w:pPr>
      <w:r w:rsidRPr="00843A78">
        <w:rPr>
          <w:highlight w:val="green"/>
          <w:u w:val="single"/>
        </w:rPr>
        <w:t>Sports Contracts Constitute</w:t>
      </w:r>
      <w:r w:rsidRPr="00912A48">
        <w:rPr>
          <w:u w:val="single"/>
        </w:rPr>
        <w:t xml:space="preserve"> "Class III Gaming" Under the IGRA</w:t>
      </w:r>
      <w:r w:rsidRPr="00DE5819">
        <w:rPr>
          <w:sz w:val="16"/>
        </w:rPr>
        <w:t xml:space="preserve">. </w:t>
      </w:r>
    </w:p>
    <w:p w14:paraId="49843985" w14:textId="039A485F" w:rsidR="00603DAA" w:rsidRPr="00DE5819" w:rsidRDefault="00603DAA" w:rsidP="00603DAA">
      <w:pPr>
        <w:rPr>
          <w:sz w:val="16"/>
        </w:rPr>
      </w:pPr>
      <w:r w:rsidRPr="00DE5819">
        <w:rPr>
          <w:sz w:val="16"/>
        </w:rPr>
        <w:t>Sports Contracts necessarily constitute "</w:t>
      </w:r>
      <w:r w:rsidRPr="00912A48">
        <w:rPr>
          <w:u w:val="single"/>
        </w:rPr>
        <w:t>Class III gaming</w:t>
      </w:r>
      <w:r w:rsidRPr="00DE5819">
        <w:rPr>
          <w:sz w:val="16"/>
        </w:rPr>
        <w:t xml:space="preserve">" </w:t>
      </w:r>
      <w:r w:rsidRPr="00912A48">
        <w:rPr>
          <w:u w:val="single"/>
        </w:rPr>
        <w:t>under the IGRA because they are neither Class I nor Class II gaming, as defined by the act, and they constitute</w:t>
      </w:r>
      <w:r w:rsidRPr="00DE5819">
        <w:rPr>
          <w:sz w:val="16"/>
        </w:rPr>
        <w:t xml:space="preserve"> "</w:t>
      </w:r>
      <w:r w:rsidRPr="00843A78">
        <w:rPr>
          <w:highlight w:val="green"/>
          <w:u w:val="single"/>
        </w:rPr>
        <w:t>sports betting</w:t>
      </w:r>
      <w:r w:rsidRPr="00DE5819">
        <w:rPr>
          <w:sz w:val="16"/>
        </w:rPr>
        <w:t>." In 1988, Congress enacted the IGRA "to provide a statutory basis for the operation of gaming by Indian tribes as a means of promoting tribal economic development, self-sufficiency, and strong tribal governments." 25 U.S.C. § 2702(1). The IGRA established the National Indian Gaming Commission ("NIGC") as an independent Federal regulatory authority "to protect such gaming as a means of generating tribal revenue." 25 U.S.C. § 2702(3). Under the IGRA, Indian gaming is "not only 'a source of substantial revenue' for tribes, but the lifeblood on 'which many tribes ha[</w:t>
      </w:r>
      <w:proofErr w:type="spellStart"/>
      <w:r w:rsidRPr="00DE5819">
        <w:rPr>
          <w:sz w:val="16"/>
        </w:rPr>
        <w:t>ve</w:t>
      </w:r>
      <w:proofErr w:type="spellEnd"/>
      <w:r w:rsidRPr="00DE5819">
        <w:rPr>
          <w:sz w:val="16"/>
        </w:rPr>
        <w:t xml:space="preserve">] come to rely.'" Chicken Ranch Rancheria of Me-Wuk Indians v. California, 42 F.4th 1024, 1032 (9th Cir. 2022) (quoting </w:t>
      </w:r>
      <w:proofErr w:type="gramStart"/>
      <w:r w:rsidRPr="00DE5819">
        <w:rPr>
          <w:sz w:val="16"/>
        </w:rPr>
        <w:t>In</w:t>
      </w:r>
      <w:proofErr w:type="gramEnd"/>
      <w:r w:rsidRPr="00DE5819">
        <w:rPr>
          <w:sz w:val="16"/>
        </w:rPr>
        <w:t xml:space="preserve"> re Indian Gaming Related Cases, 331 F.3d 1094, 1097, 1099–1100 (9th Cir. 2003)). In fact, Indian gaming has become the most successful economic development initiative ever for Indian Country, lifting many tribes out of poverty and providing them with critical funding for education, healthcare, infrastructure, and cultural preservation.</w:t>
      </w:r>
    </w:p>
    <w:p w14:paraId="64F42B46" w14:textId="017692D6" w:rsidR="00603DAA" w:rsidRDefault="00603DAA" w:rsidP="00603DAA">
      <w:pPr>
        <w:rPr>
          <w:sz w:val="16"/>
        </w:rPr>
      </w:pPr>
      <w:r w:rsidRPr="00DE5819">
        <w:rPr>
          <w:sz w:val="16"/>
        </w:rPr>
        <w:t xml:space="preserve">Pursuant to section 2710(d)(3)(A) of the IGRA, Indian tribes and states are authorized to negotiate compacts to regulate "Class III gaming" on a government-to-government basis. Under the IGRA, Class III gaming includes "all forms of gaming that are not [C]lass I </w:t>
      </w:r>
      <w:proofErr w:type="gramStart"/>
      <w:r w:rsidRPr="00DE5819">
        <w:rPr>
          <w:sz w:val="16"/>
        </w:rPr>
        <w:t>gaming</w:t>
      </w:r>
      <w:proofErr w:type="gramEnd"/>
      <w:r w:rsidRPr="00DE5819">
        <w:rPr>
          <w:sz w:val="16"/>
        </w:rPr>
        <w:t xml:space="preserve"> or [C]lass II gaming," which the NIGC has interpreted to mean various casino games, such as slot machines and banked card games, and, importantly here, sports betting. See 25 C.F.R. § 502.4. In fact, </w:t>
      </w:r>
      <w:r w:rsidRPr="00912A48">
        <w:rPr>
          <w:u w:val="single"/>
        </w:rPr>
        <w:t xml:space="preserve">many tribes offer sports betting pursuant to </w:t>
      </w:r>
      <w:r w:rsidRPr="00843A78">
        <w:rPr>
          <w:highlight w:val="green"/>
          <w:u w:val="single"/>
        </w:rPr>
        <w:t>Tribal-State</w:t>
      </w:r>
      <w:r w:rsidRPr="00912A48">
        <w:rPr>
          <w:u w:val="single"/>
        </w:rPr>
        <w:t xml:space="preserve"> Class III </w:t>
      </w:r>
      <w:r w:rsidRPr="00843A78">
        <w:rPr>
          <w:highlight w:val="green"/>
          <w:u w:val="single"/>
        </w:rPr>
        <w:t>gaming compacts</w:t>
      </w:r>
      <w:r w:rsidRPr="00DE5819">
        <w:rPr>
          <w:sz w:val="16"/>
        </w:rPr>
        <w:t xml:space="preserve"> ("IGRA compact(s)"). See e.g., 2021 Seminole Compact, Part III.F(5) (defining term "Covered Games" to include sports betting) (accessible here); Third Amendment to the Lac Courte Oreilles Band of Lake Superior Chippewa Indians and the State of Wisconsin Gaming Compact of 1991, at 1–2, 6–8 (Sept. 14, 2022) (permitting the tribe to, among other things, offer retail sports betting on lands within its reservation under amendments to its IGRA compact) (accessible here); Shoal Water Bay Indian Tribe and the State of Washington Class III Gaming Compact, Appendix S: Sports Wagering, §§ 3.1, 3.3, 4 (Sept. 15, 2021) (permitting the tribe to offer mobile and retail sports wagering within its reservation under its IGRA compact) (accessible here); Tribal / State Compact between the Mississippi Band of Choctaw Indians and the State of Mississippi, § 4.21 (Jan. 29, 1993) ("'Sports pool' means the business of accepting wagers on sporting events by any system or method of wagering other than the system known as the pari-mutuel method of wagering; provided, however, that such wagers shall be allowable under this Compact only if such wagers are allowed on non-Tribal lands under the laws of the State.") (accessible here). While OIGA member tribes have not yet compacted with Oklahoma for Class III sports betting, their current IGRA compact – the Model Compact – explicitly permits supplements, which has occurred previously. See, e.g., 3A Okla. Stat. § 280.1 (providing a Model Compact supplement for ball and dice games</w:t>
      </w:r>
    </w:p>
    <w:p w14:paraId="75182C81" w14:textId="77777777" w:rsidR="00223068" w:rsidRDefault="00223068" w:rsidP="00603DAA">
      <w:pPr>
        <w:rPr>
          <w:sz w:val="16"/>
        </w:rPr>
      </w:pPr>
    </w:p>
    <w:p w14:paraId="493C8330" w14:textId="2B30A9A3" w:rsidR="00843A78" w:rsidRDefault="00843A78" w:rsidP="00843A78">
      <w:pPr>
        <w:pStyle w:val="Heading4"/>
        <w:rPr>
          <w:rFonts w:ascii="Times New Roman" w:hAnsi="Times New Roman" w:cs="Times New Roman"/>
        </w:rPr>
      </w:pPr>
      <w:r>
        <w:rPr>
          <w:rFonts w:cs="Calibri"/>
          <w:color w:val="000000"/>
          <w:szCs w:val="26"/>
        </w:rPr>
        <w:t xml:space="preserve">That undermines </w:t>
      </w:r>
      <w:r w:rsidR="00316ECB">
        <w:rPr>
          <w:rFonts w:cs="Calibri"/>
          <w:color w:val="000000"/>
          <w:szCs w:val="26"/>
        </w:rPr>
        <w:t>all</w:t>
      </w:r>
      <w:r>
        <w:rPr>
          <w:rFonts w:cs="Calibri"/>
          <w:color w:val="000000"/>
          <w:szCs w:val="26"/>
        </w:rPr>
        <w:t xml:space="preserve"> state budget </w:t>
      </w:r>
      <w:r w:rsidRPr="00316ECB">
        <w:rPr>
          <w:rFonts w:cs="Calibri"/>
          <w:color w:val="000000"/>
          <w:szCs w:val="26"/>
          <w:u w:val="single"/>
        </w:rPr>
        <w:t>revenue</w:t>
      </w:r>
      <w:r>
        <w:rPr>
          <w:rFonts w:cs="Calibri"/>
          <w:color w:val="000000"/>
          <w:szCs w:val="26"/>
        </w:rPr>
        <w:t xml:space="preserve">. The profit from wagers </w:t>
      </w:r>
      <w:r>
        <w:rPr>
          <w:rFonts w:cs="Calibri"/>
          <w:color w:val="000000"/>
          <w:szCs w:val="26"/>
          <w:u w:val="single"/>
        </w:rPr>
        <w:t>goes directly</w:t>
      </w:r>
      <w:r>
        <w:rPr>
          <w:rFonts w:cs="Calibri"/>
          <w:color w:val="000000"/>
          <w:szCs w:val="26"/>
        </w:rPr>
        <w:t xml:space="preserve"> to social services.</w:t>
      </w:r>
    </w:p>
    <w:p w14:paraId="31819278" w14:textId="43550754" w:rsidR="00843A78" w:rsidRDefault="00843A78" w:rsidP="00843A78">
      <w:pPr>
        <w:pStyle w:val="NormalWeb"/>
        <w:spacing w:before="0" w:beforeAutospacing="0" w:after="160" w:afterAutospacing="0"/>
      </w:pPr>
      <w:r>
        <w:rPr>
          <w:rFonts w:ascii="Calibri" w:hAnsi="Calibri" w:cs="Calibri"/>
          <w:b/>
          <w:bCs/>
          <w:color w:val="000000"/>
          <w:sz w:val="26"/>
          <w:szCs w:val="26"/>
        </w:rPr>
        <w:t>Spitz ‘20</w:t>
      </w:r>
      <w:r>
        <w:rPr>
          <w:rFonts w:ascii="Calibri" w:hAnsi="Calibri" w:cs="Calibri"/>
          <w:color w:val="000000"/>
          <w:sz w:val="22"/>
          <w:szCs w:val="22"/>
        </w:rPr>
        <w:t xml:space="preserve"> [Daniel J. Spitz, JD, is a professor in the Department of Business Administration at Santa Barbara City College and an adjunct instructor in the Department of Finance and Department of Television and Film at California State University, Los Angeles. Ryan P. Terry, PhD, is an assistant professor in the Department of Management and Marketing at Texas A&amp;M University-Corpus Christi. (“We Can Handle It: Advocating in Support of State Legislation of Legal Sports Gambling post-Murphy v. NCAA,” 26 August 2020, pg. 165-166] recut manan</w:t>
      </w:r>
    </w:p>
    <w:p w14:paraId="52DCCAC0" w14:textId="77777777" w:rsidR="00843A78" w:rsidRPr="009D7CB6" w:rsidRDefault="00843A78" w:rsidP="00843A78">
      <w:pPr>
        <w:rPr>
          <w:sz w:val="16"/>
        </w:rPr>
      </w:pPr>
      <w:r w:rsidRPr="009D7CB6">
        <w:rPr>
          <w:sz w:val="16"/>
        </w:rPr>
        <w:t xml:space="preserve">Unsurprisingly, both </w:t>
      </w:r>
      <w:r w:rsidRPr="00BD23EF">
        <w:rPr>
          <w:u w:val="single"/>
        </w:rPr>
        <w:t>consumers and the AGA have indicated a strong preference for state-level sports gambling</w:t>
      </w:r>
      <w:r w:rsidRPr="009D7CB6">
        <w:rPr>
          <w:sz w:val="16"/>
        </w:rPr>
        <w:t xml:space="preserve">. Pursuant to AGA-commissioned research by the Mellman Group, </w:t>
      </w:r>
      <w:r w:rsidRPr="009D7CB6">
        <w:rPr>
          <w:rStyle w:val="Emphasis"/>
          <w:highlight w:val="green"/>
        </w:rPr>
        <w:t>every</w:t>
      </w:r>
      <w:r w:rsidRPr="00BD23EF">
        <w:rPr>
          <w:u w:val="single"/>
        </w:rPr>
        <w:t xml:space="preserve"> major </w:t>
      </w:r>
      <w:r w:rsidRPr="00BD23EF">
        <w:rPr>
          <w:highlight w:val="green"/>
          <w:u w:val="single"/>
        </w:rPr>
        <w:t>demographic</w:t>
      </w:r>
      <w:r w:rsidRPr="009D7CB6">
        <w:rPr>
          <w:sz w:val="16"/>
        </w:rPr>
        <w:t xml:space="preserve">, education level, </w:t>
      </w:r>
      <w:r w:rsidRPr="00BD23EF">
        <w:rPr>
          <w:highlight w:val="green"/>
          <w:u w:val="single"/>
        </w:rPr>
        <w:t>race</w:t>
      </w:r>
      <w:r w:rsidRPr="009D7CB6">
        <w:rPr>
          <w:sz w:val="16"/>
        </w:rPr>
        <w:t xml:space="preserve">, </w:t>
      </w:r>
      <w:r w:rsidRPr="00BD23EF">
        <w:rPr>
          <w:highlight w:val="green"/>
          <w:u w:val="single"/>
        </w:rPr>
        <w:t>gender</w:t>
      </w:r>
      <w:r w:rsidRPr="009D7CB6">
        <w:rPr>
          <w:sz w:val="16"/>
        </w:rPr>
        <w:t xml:space="preserve">, and </w:t>
      </w:r>
      <w:r w:rsidRPr="00BD23EF">
        <w:rPr>
          <w:u w:val="single"/>
        </w:rPr>
        <w:t xml:space="preserve">political affiliation </w:t>
      </w:r>
      <w:r w:rsidRPr="009D7CB6">
        <w:rPr>
          <w:rStyle w:val="Emphasis"/>
          <w:highlight w:val="green"/>
        </w:rPr>
        <w:t>strongly</w:t>
      </w:r>
      <w:r w:rsidRPr="00BD23EF">
        <w:rPr>
          <w:highlight w:val="green"/>
          <w:u w:val="single"/>
        </w:rPr>
        <w:t xml:space="preserve"> prefers state and tribal</w:t>
      </w:r>
      <w:r w:rsidRPr="00BD23EF">
        <w:rPr>
          <w:u w:val="single"/>
        </w:rPr>
        <w:t xml:space="preserve"> government </w:t>
      </w:r>
      <w:r w:rsidRPr="00BD23EF">
        <w:rPr>
          <w:highlight w:val="green"/>
          <w:u w:val="single"/>
        </w:rPr>
        <w:t>regulation</w:t>
      </w:r>
      <w:r w:rsidRPr="009D7CB6">
        <w:rPr>
          <w:sz w:val="16"/>
        </w:rPr>
        <w:t xml:space="preserve">, </w:t>
      </w:r>
      <w:r w:rsidRPr="00BD23EF">
        <w:rPr>
          <w:u w:val="single"/>
        </w:rPr>
        <w:t xml:space="preserve">with </w:t>
      </w:r>
      <w:r w:rsidRPr="009D7CB6">
        <w:rPr>
          <w:rStyle w:val="Emphasis"/>
        </w:rPr>
        <w:t>66%</w:t>
      </w:r>
      <w:r w:rsidRPr="00BD23EF">
        <w:rPr>
          <w:u w:val="single"/>
        </w:rPr>
        <w:t xml:space="preserve"> of those surveyed in favor versus </w:t>
      </w:r>
      <w:r w:rsidRPr="00BD23EF">
        <w:rPr>
          <w:highlight w:val="green"/>
          <w:u w:val="single"/>
        </w:rPr>
        <w:t xml:space="preserve">only </w:t>
      </w:r>
      <w:r w:rsidRPr="009D7CB6">
        <w:rPr>
          <w:rStyle w:val="Emphasis"/>
          <w:highlight w:val="green"/>
        </w:rPr>
        <w:t>17%</w:t>
      </w:r>
      <w:r w:rsidRPr="00BD23EF">
        <w:rPr>
          <w:highlight w:val="green"/>
          <w:u w:val="single"/>
        </w:rPr>
        <w:t xml:space="preserve"> preferring federal regulation</w:t>
      </w:r>
      <w:r w:rsidRPr="009D7CB6">
        <w:rPr>
          <w:sz w:val="16"/>
        </w:rPr>
        <w:t>.88 Slane further notes that “the results of this research are overwhelmingly clear: consumers … believe it should be regulated by state … governments.”89 </w:t>
      </w:r>
    </w:p>
    <w:p w14:paraId="7B5B1AB0" w14:textId="77777777" w:rsidR="00843A78" w:rsidRPr="009D7CB6" w:rsidRDefault="00843A78" w:rsidP="00843A78">
      <w:pPr>
        <w:rPr>
          <w:sz w:val="16"/>
        </w:rPr>
      </w:pPr>
      <w:r w:rsidRPr="009D7CB6">
        <w:rPr>
          <w:sz w:val="16"/>
        </w:rPr>
        <w:t xml:space="preserve">Legal Sports Betting notes that </w:t>
      </w:r>
      <w:r w:rsidRPr="00D26176">
        <w:rPr>
          <w:highlight w:val="green"/>
          <w:u w:val="single"/>
        </w:rPr>
        <w:t>in the first 18 months</w:t>
      </w:r>
      <w:r w:rsidRPr="009D7CB6">
        <w:rPr>
          <w:sz w:val="16"/>
        </w:rPr>
        <w:t xml:space="preserve"> following the repeal of PASPA, </w:t>
      </w:r>
      <w:r w:rsidRPr="00BD23EF">
        <w:rPr>
          <w:highlight w:val="green"/>
          <w:u w:val="single"/>
        </w:rPr>
        <w:t>states</w:t>
      </w:r>
      <w:r w:rsidRPr="00BD23EF">
        <w:rPr>
          <w:u w:val="single"/>
        </w:rPr>
        <w:t xml:space="preserve"> had already </w:t>
      </w:r>
      <w:r w:rsidRPr="00BD23EF">
        <w:rPr>
          <w:highlight w:val="green"/>
          <w:u w:val="single"/>
        </w:rPr>
        <w:t>received</w:t>
      </w:r>
      <w:r w:rsidRPr="00BD23EF">
        <w:rPr>
          <w:u w:val="single"/>
        </w:rPr>
        <w:t xml:space="preserve"> more than </w:t>
      </w:r>
      <w:r w:rsidRPr="009D7CB6">
        <w:rPr>
          <w:rStyle w:val="Emphasis"/>
          <w:highlight w:val="green"/>
        </w:rPr>
        <w:t>$100 million</w:t>
      </w:r>
      <w:r w:rsidRPr="00BD23EF">
        <w:rPr>
          <w:u w:val="single"/>
        </w:rPr>
        <w:t xml:space="preserve"> dollars </w:t>
      </w:r>
      <w:r w:rsidRPr="00BD23EF">
        <w:rPr>
          <w:highlight w:val="green"/>
          <w:u w:val="single"/>
        </w:rPr>
        <w:t>in tax revenue</w:t>
      </w:r>
      <w:r w:rsidRPr="009D7CB6">
        <w:rPr>
          <w:sz w:val="16"/>
        </w:rPr>
        <w:t>.90 Since each state currently regulates its industry independently, the associated tax rates vary significantly. For instance, Nevada taxes its wagers at 6.75% of its casinos and books’ sports betting revenue, whereas Pennsylvania taxes sports betting at 36%.91 Smaller markets such as Rhode Island and Delaware tax their books at over 50%.92 New Jersey, by contrast, has set two tiers of taxation: one for in-person wagering (8%) and one for online wagering (13%),93 making it the only state to currently distinguish between the two. </w:t>
      </w:r>
    </w:p>
    <w:p w14:paraId="711BC433" w14:textId="77777777" w:rsidR="00843A78" w:rsidRPr="009D7CB6" w:rsidRDefault="00843A78" w:rsidP="00843A78">
      <w:pPr>
        <w:rPr>
          <w:sz w:val="16"/>
        </w:rPr>
      </w:pPr>
      <w:r w:rsidRPr="009D7CB6">
        <w:rPr>
          <w:sz w:val="16"/>
        </w:rPr>
        <w:t xml:space="preserve">This </w:t>
      </w:r>
      <w:r w:rsidRPr="00BD23EF">
        <w:rPr>
          <w:highlight w:val="green"/>
          <w:u w:val="single"/>
        </w:rPr>
        <w:t>control over</w:t>
      </w:r>
      <w:r w:rsidRPr="00BD23EF">
        <w:rPr>
          <w:u w:val="single"/>
        </w:rPr>
        <w:t xml:space="preserve"> the </w:t>
      </w:r>
      <w:r w:rsidRPr="00BD23EF">
        <w:rPr>
          <w:highlight w:val="green"/>
          <w:u w:val="single"/>
        </w:rPr>
        <w:t>taxation</w:t>
      </w:r>
      <w:r w:rsidRPr="00BD23EF">
        <w:rPr>
          <w:u w:val="single"/>
        </w:rPr>
        <w:t xml:space="preserve"> rates </w:t>
      </w:r>
      <w:r w:rsidRPr="00BD23EF">
        <w:rPr>
          <w:highlight w:val="green"/>
          <w:u w:val="single"/>
        </w:rPr>
        <w:t>allows states to supplement</w:t>
      </w:r>
      <w:r w:rsidRPr="00BD23EF">
        <w:rPr>
          <w:u w:val="single"/>
        </w:rPr>
        <w:t xml:space="preserve"> their general </w:t>
      </w:r>
      <w:r w:rsidRPr="00BD23EF">
        <w:rPr>
          <w:highlight w:val="green"/>
          <w:u w:val="single"/>
        </w:rPr>
        <w:t>fund with revenue</w:t>
      </w:r>
      <w:r w:rsidRPr="00BD23EF">
        <w:rPr>
          <w:u w:val="single"/>
        </w:rPr>
        <w:t xml:space="preserve"> from wagering, which can </w:t>
      </w:r>
      <w:r w:rsidRPr="00BD23EF">
        <w:rPr>
          <w:highlight w:val="green"/>
          <w:u w:val="single"/>
        </w:rPr>
        <w:t>then</w:t>
      </w:r>
      <w:r w:rsidRPr="00BD23EF">
        <w:rPr>
          <w:u w:val="single"/>
        </w:rPr>
        <w:t xml:space="preserve"> be </w:t>
      </w:r>
      <w:r w:rsidRPr="00BD23EF">
        <w:rPr>
          <w:highlight w:val="green"/>
          <w:u w:val="single"/>
        </w:rPr>
        <w:t>allocate</w:t>
      </w:r>
      <w:r w:rsidRPr="00BD23EF">
        <w:rPr>
          <w:u w:val="single"/>
        </w:rPr>
        <w:t xml:space="preserve">d and redirected </w:t>
      </w:r>
      <w:r w:rsidRPr="00BD23EF">
        <w:rPr>
          <w:highlight w:val="green"/>
          <w:u w:val="single"/>
        </w:rPr>
        <w:t>to</w:t>
      </w:r>
      <w:r w:rsidRPr="00BD23EF">
        <w:rPr>
          <w:u w:val="single"/>
        </w:rPr>
        <w:t xml:space="preserve">ward funding </w:t>
      </w:r>
      <w:r w:rsidRPr="009D7CB6">
        <w:rPr>
          <w:rStyle w:val="Emphasis"/>
          <w:highlight w:val="green"/>
        </w:rPr>
        <w:t>education</w:t>
      </w:r>
      <w:r w:rsidRPr="009D7CB6">
        <w:rPr>
          <w:sz w:val="16"/>
        </w:rPr>
        <w:t xml:space="preserve">, </w:t>
      </w:r>
      <w:r w:rsidRPr="00BD23EF">
        <w:rPr>
          <w:u w:val="single"/>
        </w:rPr>
        <w:t xml:space="preserve">building </w:t>
      </w:r>
      <w:r w:rsidRPr="009D7CB6">
        <w:rPr>
          <w:rStyle w:val="Emphasis"/>
          <w:highlight w:val="green"/>
        </w:rPr>
        <w:t>infrastructure</w:t>
      </w:r>
      <w:r w:rsidRPr="009D7CB6">
        <w:rPr>
          <w:sz w:val="16"/>
        </w:rPr>
        <w:t xml:space="preserve">, </w:t>
      </w:r>
      <w:r w:rsidRPr="00BD23EF">
        <w:rPr>
          <w:highlight w:val="green"/>
          <w:u w:val="single"/>
        </w:rPr>
        <w:t>and</w:t>
      </w:r>
      <w:r w:rsidRPr="00BD23EF">
        <w:rPr>
          <w:u w:val="single"/>
        </w:rPr>
        <w:t xml:space="preserve"> furthering </w:t>
      </w:r>
      <w:r w:rsidRPr="009D7CB6">
        <w:rPr>
          <w:rStyle w:val="Emphasis"/>
          <w:highlight w:val="green"/>
        </w:rPr>
        <w:t>health</w:t>
      </w:r>
      <w:r w:rsidRPr="00BD23EF">
        <w:rPr>
          <w:u w:val="single"/>
        </w:rPr>
        <w:t xml:space="preserve"> services departments</w:t>
      </w:r>
      <w:r w:rsidRPr="009D7CB6">
        <w:rPr>
          <w:sz w:val="16"/>
        </w:rPr>
        <w:t xml:space="preserve">. Some states, such as Mississippi, Pennsylvania, and Arkansas, take things a step further by providing a percentage to the counties and municipalities that host the sportsbook itself.94 </w:t>
      </w:r>
      <w:r w:rsidRPr="00BD23EF">
        <w:rPr>
          <w:highlight w:val="green"/>
          <w:u w:val="single"/>
        </w:rPr>
        <w:t>Missouri</w:t>
      </w:r>
      <w:r w:rsidRPr="00BD23EF">
        <w:rPr>
          <w:u w:val="single"/>
        </w:rPr>
        <w:t xml:space="preserve"> has </w:t>
      </w:r>
      <w:r w:rsidRPr="00BD23EF">
        <w:rPr>
          <w:highlight w:val="green"/>
          <w:u w:val="single"/>
        </w:rPr>
        <w:t>proposed</w:t>
      </w:r>
      <w:r w:rsidRPr="00BD23EF">
        <w:rPr>
          <w:u w:val="single"/>
        </w:rPr>
        <w:t xml:space="preserve"> that taxation revenue from sportsbooks be used to create an Entertainment Facilities Infrastructure Fund that can be used to pay for the construction and maintenance of various entertainment</w:t>
      </w:r>
      <w:r w:rsidRPr="009D7CB6">
        <w:rPr>
          <w:sz w:val="16"/>
        </w:rPr>
        <w:t xml:space="preserve">, </w:t>
      </w:r>
      <w:r w:rsidRPr="00BD23EF">
        <w:rPr>
          <w:highlight w:val="green"/>
          <w:u w:val="single"/>
        </w:rPr>
        <w:t>cultural</w:t>
      </w:r>
      <w:r w:rsidRPr="009D7CB6">
        <w:rPr>
          <w:sz w:val="16"/>
        </w:rPr>
        <w:t xml:space="preserve">, and </w:t>
      </w:r>
      <w:r w:rsidRPr="00BD23EF">
        <w:rPr>
          <w:highlight w:val="green"/>
          <w:u w:val="single"/>
        </w:rPr>
        <w:t>recreational</w:t>
      </w:r>
      <w:r w:rsidRPr="00BD23EF">
        <w:rPr>
          <w:u w:val="single"/>
        </w:rPr>
        <w:t xml:space="preserve"> </w:t>
      </w:r>
      <w:r w:rsidRPr="00BD23EF">
        <w:rPr>
          <w:highlight w:val="green"/>
          <w:u w:val="single"/>
        </w:rPr>
        <w:t>facilities</w:t>
      </w:r>
      <w:r w:rsidRPr="009D7CB6">
        <w:rPr>
          <w:sz w:val="16"/>
        </w:rPr>
        <w:t xml:space="preserve"> across the state.95 Missouri’s law calls for a 14% tax on adjusted gross revenues and operator application fees as key components of raising capital for this fund.96 Overall, the ability for each state to apportion funds where it deems most necessary is a desirable effect of the tax revenue received from sports wagering. </w:t>
      </w:r>
    </w:p>
    <w:p w14:paraId="5142D8E1" w14:textId="77777777" w:rsidR="00843A78" w:rsidRPr="009D7CB6" w:rsidRDefault="00843A78" w:rsidP="00843A78">
      <w:pPr>
        <w:rPr>
          <w:sz w:val="16"/>
        </w:rPr>
      </w:pPr>
      <w:r w:rsidRPr="009D7CB6">
        <w:rPr>
          <w:sz w:val="16"/>
        </w:rPr>
        <w:t xml:space="preserve">Conversely, </w:t>
      </w:r>
      <w:r w:rsidRPr="00BD23EF">
        <w:rPr>
          <w:highlight w:val="green"/>
          <w:u w:val="single"/>
        </w:rPr>
        <w:t>at</w:t>
      </w:r>
      <w:r w:rsidRPr="00BD23EF">
        <w:rPr>
          <w:u w:val="single"/>
        </w:rPr>
        <w:t xml:space="preserve"> the </w:t>
      </w:r>
      <w:r w:rsidRPr="00BD23EF">
        <w:rPr>
          <w:highlight w:val="green"/>
          <w:u w:val="single"/>
        </w:rPr>
        <w:t>federal level</w:t>
      </w:r>
      <w:r w:rsidRPr="00BD23EF">
        <w:rPr>
          <w:u w:val="single"/>
        </w:rPr>
        <w:t xml:space="preserve">, there is </w:t>
      </w:r>
      <w:r w:rsidRPr="009D7CB6">
        <w:rPr>
          <w:rStyle w:val="Emphasis"/>
          <w:highlight w:val="green"/>
        </w:rPr>
        <w:t>no</w:t>
      </w:r>
      <w:r w:rsidRPr="00BD23EF">
        <w:rPr>
          <w:highlight w:val="green"/>
          <w:u w:val="single"/>
        </w:rPr>
        <w:t xml:space="preserve"> provision</w:t>
      </w:r>
      <w:r w:rsidRPr="00BD23EF">
        <w:rPr>
          <w:u w:val="single"/>
        </w:rPr>
        <w:t xml:space="preserve"> drafted within the Sports Wagering Market Integrity Act </w:t>
      </w:r>
      <w:r w:rsidRPr="00BD23EF">
        <w:rPr>
          <w:highlight w:val="green"/>
          <w:u w:val="single"/>
        </w:rPr>
        <w:t>that addresses redistributing</w:t>
      </w:r>
      <w:r w:rsidRPr="00BD23EF">
        <w:rPr>
          <w:u w:val="single"/>
        </w:rPr>
        <w:t xml:space="preserve"> wagering </w:t>
      </w:r>
      <w:r w:rsidRPr="00BD23EF">
        <w:rPr>
          <w:highlight w:val="green"/>
          <w:u w:val="single"/>
        </w:rPr>
        <w:t>income</w:t>
      </w:r>
      <w:r w:rsidRPr="00BD23EF">
        <w:rPr>
          <w:u w:val="single"/>
        </w:rPr>
        <w:t xml:space="preserve"> to the states </w:t>
      </w:r>
      <w:r w:rsidRPr="00BD23EF">
        <w:rPr>
          <w:highlight w:val="green"/>
          <w:u w:val="single"/>
        </w:rPr>
        <w:t>or allocating revenue to</w:t>
      </w:r>
      <w:r w:rsidRPr="00BD23EF">
        <w:rPr>
          <w:u w:val="single"/>
        </w:rPr>
        <w:t xml:space="preserve"> fund </w:t>
      </w:r>
      <w:r w:rsidRPr="00BD23EF">
        <w:rPr>
          <w:highlight w:val="green"/>
          <w:u w:val="single"/>
        </w:rPr>
        <w:t>specific needs</w:t>
      </w:r>
      <w:r w:rsidRPr="009D7CB6">
        <w:rPr>
          <w:sz w:val="16"/>
        </w:rPr>
        <w:t xml:space="preserve">. Rather, the excise tax </w:t>
      </w:r>
      <w:r w:rsidRPr="00BD23EF">
        <w:rPr>
          <w:highlight w:val="green"/>
          <w:u w:val="single"/>
        </w:rPr>
        <w:t>revenue</w:t>
      </w:r>
      <w:r w:rsidRPr="00BD23EF">
        <w:rPr>
          <w:u w:val="single"/>
        </w:rPr>
        <w:t xml:space="preserve"> derived from wagering will </w:t>
      </w:r>
      <w:r w:rsidRPr="009D7CB6">
        <w:rPr>
          <w:rStyle w:val="Emphasis"/>
        </w:rPr>
        <w:t>not</w:t>
      </w:r>
      <w:r w:rsidRPr="00BD23EF">
        <w:rPr>
          <w:u w:val="single"/>
        </w:rPr>
        <w:t xml:space="preserve"> be distributed on a pro-rata share with each state, and instead be </w:t>
      </w:r>
      <w:r w:rsidRPr="00BD23EF">
        <w:rPr>
          <w:highlight w:val="green"/>
          <w:u w:val="single"/>
        </w:rPr>
        <w:t>directed toward law enforcement</w:t>
      </w:r>
      <w:r w:rsidRPr="009D7CB6">
        <w:rPr>
          <w:sz w:val="16"/>
        </w:rPr>
        <w:t xml:space="preserve"> and programs for the prevention and treatment of gambling disorders.97 Under a federal framework, it is unclear exactly how much revenue states would receive under this bill to fund social programs and local infrastructure projects, if any.</w:t>
      </w:r>
    </w:p>
    <w:p w14:paraId="0C870F6D" w14:textId="77777777" w:rsidR="00843A78" w:rsidRPr="009D7CB6" w:rsidRDefault="00843A78" w:rsidP="00843A78">
      <w:pPr>
        <w:rPr>
          <w:sz w:val="16"/>
        </w:rPr>
      </w:pPr>
    </w:p>
    <w:p w14:paraId="34677A5A" w14:textId="164DE908" w:rsidR="00843A78" w:rsidRDefault="00843A78" w:rsidP="00843A78">
      <w:pPr>
        <w:pStyle w:val="Heading4"/>
      </w:pPr>
      <w:r>
        <w:rPr>
          <w:rFonts w:cs="Calibri"/>
          <w:color w:val="000000"/>
          <w:szCs w:val="26"/>
        </w:rPr>
        <w:t xml:space="preserve">Regulatory stability is key to withstand status quo </w:t>
      </w:r>
      <w:r>
        <w:rPr>
          <w:rFonts w:cs="Calibri"/>
          <w:color w:val="000000"/>
          <w:szCs w:val="26"/>
          <w:u w:val="single"/>
        </w:rPr>
        <w:t>budget pressures</w:t>
      </w:r>
      <w:r>
        <w:rPr>
          <w:rFonts w:cs="Calibri"/>
          <w:color w:val="000000"/>
          <w:szCs w:val="26"/>
        </w:rPr>
        <w:t>.</w:t>
      </w:r>
    </w:p>
    <w:p w14:paraId="00CD998E" w14:textId="48BFBFCB" w:rsidR="00843A78" w:rsidRDefault="00843A78" w:rsidP="00843A78">
      <w:pPr>
        <w:pStyle w:val="NormalWeb"/>
        <w:spacing w:before="0" w:beforeAutospacing="0" w:after="160" w:afterAutospacing="0"/>
      </w:pPr>
      <w:r>
        <w:rPr>
          <w:rFonts w:ascii="Calibri" w:hAnsi="Calibri" w:cs="Calibri"/>
          <w:b/>
          <w:bCs/>
          <w:color w:val="000000"/>
          <w:sz w:val="26"/>
          <w:szCs w:val="26"/>
        </w:rPr>
        <w:t xml:space="preserve">Tharpe </w:t>
      </w:r>
      <w:r w:rsidR="008915E4">
        <w:rPr>
          <w:rFonts w:ascii="Calibri" w:hAnsi="Calibri" w:cs="Calibri"/>
          <w:b/>
          <w:bCs/>
          <w:color w:val="000000"/>
          <w:sz w:val="26"/>
          <w:szCs w:val="26"/>
        </w:rPr>
        <w:t>‘</w:t>
      </w:r>
      <w:r>
        <w:rPr>
          <w:rFonts w:ascii="Calibri" w:hAnsi="Calibri" w:cs="Calibri"/>
          <w:b/>
          <w:bCs/>
          <w:color w:val="000000"/>
          <w:sz w:val="26"/>
          <w:szCs w:val="26"/>
        </w:rPr>
        <w:t>25</w:t>
      </w:r>
      <w:r>
        <w:rPr>
          <w:rFonts w:ascii="Calibri" w:hAnsi="Calibri" w:cs="Calibri"/>
          <w:color w:val="000000"/>
          <w:sz w:val="22"/>
          <w:szCs w:val="22"/>
        </w:rPr>
        <w:t xml:space="preserve"> </w:t>
      </w:r>
      <w:r w:rsidR="00185574">
        <w:rPr>
          <w:rFonts w:ascii="Calibri" w:hAnsi="Calibri" w:cs="Calibri"/>
          <w:color w:val="000000"/>
          <w:sz w:val="22"/>
          <w:szCs w:val="22"/>
        </w:rPr>
        <w:t>[</w:t>
      </w:r>
      <w:r>
        <w:rPr>
          <w:rFonts w:ascii="Calibri" w:hAnsi="Calibri" w:cs="Calibri"/>
          <w:color w:val="000000"/>
          <w:sz w:val="22"/>
          <w:szCs w:val="22"/>
        </w:rPr>
        <w:t xml:space="preserve">Wesley Tharpe is Senior Advisor for State Tax Policy on the State Fiscal Policy team at CBPP. Tharpe previously served as Deputy Director of State Policy Research, where he helped lead a team of analysts and conducted research on an array of state fiscal and economic issues. Prior to joining the Center as a Senior Policy Analyst in 2018, he served as Research Director at the Georgia Budget and Policy Institute. Before joining the world of state policymaking, Tharpe worked at the Martin Luther King, Jr. Center for Nonviolent Social Change in Atlanta. Tharpe holds a B.A. in Political Science and International Affairs from the University of Georgia and an M.A. in Public Policy from the Johns Hopkins University. (“States Must Prioritize Revenue to Support People and Communities in Wake of Harmful Republican </w:t>
      </w:r>
      <w:proofErr w:type="spellStart"/>
      <w:r>
        <w:rPr>
          <w:rFonts w:ascii="Calibri" w:hAnsi="Calibri" w:cs="Calibri"/>
          <w:color w:val="000000"/>
          <w:sz w:val="22"/>
          <w:szCs w:val="22"/>
        </w:rPr>
        <w:t>Megabill</w:t>
      </w:r>
      <w:proofErr w:type="spellEnd"/>
      <w:r>
        <w:rPr>
          <w:rFonts w:ascii="Calibri" w:hAnsi="Calibri" w:cs="Calibri"/>
          <w:color w:val="000000"/>
          <w:sz w:val="22"/>
          <w:szCs w:val="22"/>
        </w:rPr>
        <w:t xml:space="preserve">,” Center on Budget and Policy Priorities, 17 December 2025, </w:t>
      </w:r>
      <w:r w:rsidR="00185574" w:rsidRPr="00C11CEA">
        <w:rPr>
          <w:rFonts w:ascii="Calibri" w:hAnsi="Calibri" w:cs="Calibri"/>
          <w:color w:val="000000"/>
          <w:sz w:val="22"/>
          <w:szCs w:val="22"/>
        </w:rPr>
        <w:t>https://www.cbpp.org/blog/states-must-prioritize-revenue-to-support-people-and-communities-in-wake-of-harmful-republican</w:t>
      </w:r>
      <w:r w:rsidR="00185574">
        <w:rPr>
          <w:rFonts w:ascii="Calibri" w:hAnsi="Calibri" w:cs="Calibri"/>
          <w:color w:val="000000"/>
          <w:sz w:val="22"/>
          <w:szCs w:val="22"/>
        </w:rPr>
        <w:t>] recut manan</w:t>
      </w:r>
    </w:p>
    <w:p w14:paraId="6A887B4E" w14:textId="77777777" w:rsidR="00843A78" w:rsidRPr="007E118B" w:rsidRDefault="00843A78" w:rsidP="00185574">
      <w:pPr>
        <w:rPr>
          <w:sz w:val="16"/>
        </w:rPr>
      </w:pPr>
      <w:r w:rsidRPr="007E118B">
        <w:rPr>
          <w:sz w:val="16"/>
        </w:rPr>
        <w:t xml:space="preserve">The answer to that question is clear: state </w:t>
      </w:r>
      <w:r w:rsidRPr="00D62BF7">
        <w:rPr>
          <w:highlight w:val="green"/>
          <w:u w:val="single"/>
        </w:rPr>
        <w:t>policymakers must embrace</w:t>
      </w:r>
      <w:r w:rsidRPr="00D62BF7">
        <w:rPr>
          <w:u w:val="single"/>
        </w:rPr>
        <w:t xml:space="preserve"> a </w:t>
      </w:r>
      <w:r w:rsidRPr="00CD1FD1">
        <w:rPr>
          <w:rStyle w:val="Emphasis"/>
          <w:highlight w:val="green"/>
        </w:rPr>
        <w:t>revenue-first</w:t>
      </w:r>
      <w:r w:rsidRPr="00D62BF7">
        <w:rPr>
          <w:highlight w:val="green"/>
          <w:u w:val="single"/>
        </w:rPr>
        <w:t xml:space="preserve"> approach</w:t>
      </w:r>
      <w:r w:rsidRPr="007E118B">
        <w:rPr>
          <w:sz w:val="16"/>
        </w:rPr>
        <w:t xml:space="preserve">. This is </w:t>
      </w:r>
      <w:r w:rsidRPr="00D62BF7">
        <w:rPr>
          <w:highlight w:val="green"/>
          <w:u w:val="single"/>
        </w:rPr>
        <w:t>essential</w:t>
      </w:r>
      <w:r w:rsidRPr="00D62BF7">
        <w:rPr>
          <w:u w:val="single"/>
        </w:rPr>
        <w:t xml:space="preserve"> for them </w:t>
      </w:r>
      <w:r w:rsidRPr="00D62BF7">
        <w:rPr>
          <w:highlight w:val="green"/>
          <w:u w:val="single"/>
        </w:rPr>
        <w:t>to</w:t>
      </w:r>
      <w:r w:rsidRPr="00D62BF7">
        <w:rPr>
          <w:u w:val="single"/>
        </w:rPr>
        <w:t xml:space="preserve"> help </w:t>
      </w:r>
      <w:r w:rsidRPr="00D62BF7">
        <w:rPr>
          <w:highlight w:val="green"/>
          <w:u w:val="single"/>
        </w:rPr>
        <w:t>counteract</w:t>
      </w:r>
      <w:r w:rsidRPr="00D62BF7">
        <w:rPr>
          <w:u w:val="single"/>
        </w:rPr>
        <w:t xml:space="preserve"> historic </w:t>
      </w:r>
      <w:r w:rsidRPr="00D62BF7">
        <w:rPr>
          <w:highlight w:val="green"/>
          <w:u w:val="single"/>
        </w:rPr>
        <w:t>federal cuts to health</w:t>
      </w:r>
      <w:r w:rsidRPr="00D62BF7">
        <w:rPr>
          <w:u w:val="single"/>
        </w:rPr>
        <w:t xml:space="preserve"> care and </w:t>
      </w:r>
      <w:r w:rsidRPr="00D62BF7">
        <w:rPr>
          <w:highlight w:val="green"/>
          <w:u w:val="single"/>
        </w:rPr>
        <w:t>food</w:t>
      </w:r>
      <w:r w:rsidRPr="00D62BF7">
        <w:rPr>
          <w:u w:val="single"/>
        </w:rPr>
        <w:t xml:space="preserve"> assistance</w:t>
      </w:r>
      <w:r w:rsidRPr="007E118B">
        <w:rPr>
          <w:sz w:val="16"/>
        </w:rPr>
        <w:t xml:space="preserve">, </w:t>
      </w:r>
      <w:r w:rsidRPr="00D62BF7">
        <w:rPr>
          <w:u w:val="single"/>
        </w:rPr>
        <w:t xml:space="preserve">mitigate the risk of second-order cuts to </w:t>
      </w:r>
      <w:r w:rsidRPr="00D62BF7">
        <w:rPr>
          <w:highlight w:val="green"/>
          <w:u w:val="single"/>
        </w:rPr>
        <w:t>education</w:t>
      </w:r>
      <w:r w:rsidRPr="00D62BF7">
        <w:rPr>
          <w:u w:val="single"/>
        </w:rPr>
        <w:t xml:space="preserve"> and other vital services</w:t>
      </w:r>
      <w:r w:rsidRPr="007E118B">
        <w:rPr>
          <w:sz w:val="16"/>
        </w:rPr>
        <w:t xml:space="preserve">, </w:t>
      </w:r>
      <w:r w:rsidRPr="00D62BF7">
        <w:rPr>
          <w:highlight w:val="green"/>
          <w:u w:val="single"/>
        </w:rPr>
        <w:t>weather</w:t>
      </w:r>
      <w:r w:rsidRPr="00D62BF7">
        <w:rPr>
          <w:u w:val="single"/>
        </w:rPr>
        <w:t xml:space="preserve"> an uneven economy straining under </w:t>
      </w:r>
      <w:r w:rsidRPr="00D62BF7">
        <w:rPr>
          <w:highlight w:val="green"/>
          <w:u w:val="single"/>
        </w:rPr>
        <w:t>tariffs and</w:t>
      </w:r>
      <w:r w:rsidRPr="00D62BF7">
        <w:rPr>
          <w:u w:val="single"/>
        </w:rPr>
        <w:t xml:space="preserve"> other disruptive </w:t>
      </w:r>
      <w:r w:rsidRPr="00CD1FD1">
        <w:rPr>
          <w:rStyle w:val="Emphasis"/>
          <w:highlight w:val="green"/>
        </w:rPr>
        <w:t>Trump</w:t>
      </w:r>
      <w:r w:rsidRPr="00D62BF7">
        <w:rPr>
          <w:u w:val="single"/>
        </w:rPr>
        <w:t xml:space="preserve"> Administration </w:t>
      </w:r>
      <w:r w:rsidRPr="00D62BF7">
        <w:rPr>
          <w:highlight w:val="green"/>
          <w:u w:val="single"/>
        </w:rPr>
        <w:t>policies</w:t>
      </w:r>
      <w:r w:rsidRPr="007E118B">
        <w:rPr>
          <w:sz w:val="16"/>
        </w:rPr>
        <w:t>, and fuel bold new investments that serve the best interest of their communities and ensure residents’ needs are met.</w:t>
      </w:r>
    </w:p>
    <w:p w14:paraId="10EF4B50" w14:textId="77777777" w:rsidR="00843A78" w:rsidRPr="007E118B" w:rsidRDefault="00843A78" w:rsidP="00185574">
      <w:pPr>
        <w:rPr>
          <w:sz w:val="16"/>
        </w:rPr>
      </w:pPr>
      <w:r w:rsidRPr="00B8493A">
        <w:rPr>
          <w:u w:val="single"/>
        </w:rPr>
        <w:t xml:space="preserve">The cuts to health care, food assistance, and climate investments championed by President Trump and congressional Republicans will translate into considerable </w:t>
      </w:r>
      <w:r w:rsidRPr="00CD1FD1">
        <w:rPr>
          <w:rStyle w:val="Emphasis"/>
        </w:rPr>
        <w:t>new costs</w:t>
      </w:r>
      <w:r w:rsidRPr="00B8493A">
        <w:rPr>
          <w:u w:val="single"/>
        </w:rPr>
        <w:t xml:space="preserve"> for states and localities over the next few years</w:t>
      </w:r>
      <w:r w:rsidRPr="007E118B">
        <w:rPr>
          <w:sz w:val="16"/>
        </w:rPr>
        <w:t xml:space="preserve">. The </w:t>
      </w:r>
      <w:proofErr w:type="spellStart"/>
      <w:r w:rsidRPr="007E118B">
        <w:rPr>
          <w:sz w:val="16"/>
        </w:rPr>
        <w:t>megabill’s</w:t>
      </w:r>
      <w:proofErr w:type="spellEnd"/>
      <w:r w:rsidRPr="007E118B">
        <w:rPr>
          <w:sz w:val="16"/>
        </w:rPr>
        <w:t xml:space="preserve"> sweeping tax elements are already wreaking havoc on state revenues, due to technical interactions between federal and state tax codes known as “conformity.” These new federally imposed costs also come at a time when many states are facing intensifying pressure from recent policy choices of their own, especially widespread tax cuts approved in the past few years.</w:t>
      </w:r>
    </w:p>
    <w:p w14:paraId="4728F130" w14:textId="77777777" w:rsidR="00843A78" w:rsidRPr="007E118B" w:rsidRDefault="00843A78" w:rsidP="00185574">
      <w:pPr>
        <w:rPr>
          <w:sz w:val="16"/>
        </w:rPr>
      </w:pPr>
      <w:r w:rsidRPr="00DE6892">
        <w:rPr>
          <w:highlight w:val="green"/>
          <w:u w:val="single"/>
        </w:rPr>
        <w:t>Costs</w:t>
      </w:r>
      <w:r w:rsidRPr="00DE6892">
        <w:rPr>
          <w:u w:val="single"/>
        </w:rPr>
        <w:t xml:space="preserve"> from the federal bill will </w:t>
      </w:r>
      <w:r w:rsidRPr="00DE6892">
        <w:rPr>
          <w:highlight w:val="green"/>
          <w:u w:val="single"/>
        </w:rPr>
        <w:t xml:space="preserve">soon </w:t>
      </w:r>
      <w:r w:rsidRPr="00CD1FD1">
        <w:rPr>
          <w:rStyle w:val="Emphasis"/>
          <w:highlight w:val="green"/>
        </w:rPr>
        <w:t>grow</w:t>
      </w:r>
      <w:r w:rsidRPr="00DE6892">
        <w:rPr>
          <w:u w:val="single"/>
        </w:rPr>
        <w:t xml:space="preserve"> as states will need to invest considerable funds to set up and operate sweeping new administrative requirements for health and food programs, most notably onerous new work requirements in Medicaid</w:t>
      </w:r>
      <w:r w:rsidRPr="007E118B">
        <w:rPr>
          <w:sz w:val="16"/>
        </w:rPr>
        <w:t xml:space="preserve">. Coming next will be larger costs, including strict new limits on state “provider taxes” that help finance Medicaid and a new requirement for states to shoulder — for the first time in history — a substantial share of SNAP food benefit costs. States and localities will also increasingly face spillover costs from the </w:t>
      </w:r>
      <w:proofErr w:type="spellStart"/>
      <w:r w:rsidRPr="007E118B">
        <w:rPr>
          <w:sz w:val="16"/>
        </w:rPr>
        <w:t>megabill’s</w:t>
      </w:r>
      <w:proofErr w:type="spellEnd"/>
      <w:r w:rsidRPr="007E118B">
        <w:rPr>
          <w:sz w:val="16"/>
        </w:rPr>
        <w:t xml:space="preserve"> cuts to affordable health </w:t>
      </w:r>
      <w:proofErr w:type="gramStart"/>
      <w:r w:rsidRPr="007E118B">
        <w:rPr>
          <w:sz w:val="16"/>
        </w:rPr>
        <w:t>coverage in particular, which</w:t>
      </w:r>
      <w:proofErr w:type="gramEnd"/>
      <w:r w:rsidRPr="007E118B">
        <w:rPr>
          <w:sz w:val="16"/>
        </w:rPr>
        <w:t xml:space="preserve"> are poised to send a surge of newly uninsured people seeking costlier, uncompensated care to local emergency rooms and clinics.</w:t>
      </w:r>
    </w:p>
    <w:p w14:paraId="08B98FF7" w14:textId="77777777" w:rsidR="00843A78" w:rsidRPr="007E118B" w:rsidRDefault="00843A78" w:rsidP="00185574">
      <w:pPr>
        <w:rPr>
          <w:sz w:val="16"/>
        </w:rPr>
      </w:pPr>
      <w:r w:rsidRPr="007E118B">
        <w:rPr>
          <w:sz w:val="16"/>
        </w:rPr>
        <w:t>Given that states and localities must balance their budgets, these new cuts and costs would prove difficult to manage under almost any circumstances, but the timing could also hardly be worse.</w:t>
      </w:r>
    </w:p>
    <w:p w14:paraId="427B8D43" w14:textId="4E7290C6" w:rsidR="00B01139" w:rsidRPr="00B01139" w:rsidRDefault="00843A78" w:rsidP="00B01139">
      <w:pPr>
        <w:rPr>
          <w:sz w:val="16"/>
        </w:rPr>
      </w:pPr>
      <w:r w:rsidRPr="007E118B">
        <w:rPr>
          <w:sz w:val="16"/>
        </w:rPr>
        <w:t xml:space="preserve">State and local finances have already been showing considerable signs of </w:t>
      </w:r>
      <w:r w:rsidRPr="007E118B">
        <w:rPr>
          <w:highlight w:val="green"/>
          <w:u w:val="single"/>
        </w:rPr>
        <w:t>strain</w:t>
      </w:r>
      <w:r w:rsidRPr="007E118B">
        <w:rPr>
          <w:sz w:val="16"/>
        </w:rPr>
        <w:t xml:space="preserve">, </w:t>
      </w:r>
      <w:r w:rsidRPr="007E118B">
        <w:rPr>
          <w:highlight w:val="green"/>
          <w:u w:val="single"/>
        </w:rPr>
        <w:t>due</w:t>
      </w:r>
      <w:r w:rsidRPr="007E118B">
        <w:rPr>
          <w:u w:val="single"/>
        </w:rPr>
        <w:t xml:space="preserve"> in large part </w:t>
      </w:r>
      <w:r w:rsidRPr="007E118B">
        <w:rPr>
          <w:highlight w:val="green"/>
          <w:u w:val="single"/>
        </w:rPr>
        <w:t xml:space="preserve">to </w:t>
      </w:r>
      <w:r w:rsidRPr="00CD1FD1">
        <w:rPr>
          <w:rStyle w:val="Emphasis"/>
          <w:highlight w:val="green"/>
        </w:rPr>
        <w:t>fallout</w:t>
      </w:r>
      <w:r w:rsidRPr="007E118B">
        <w:rPr>
          <w:highlight w:val="green"/>
          <w:u w:val="single"/>
        </w:rPr>
        <w:t xml:space="preserve"> from policy choices</w:t>
      </w:r>
      <w:r w:rsidRPr="007E118B">
        <w:rPr>
          <w:sz w:val="16"/>
        </w:rPr>
        <w:t xml:space="preserve"> many states themselves enacted. Those include the swelling price of regressive state tax cuts, a surge in costly new private school voucher programs, and a growing trend of state and local property tax cuts. Those policies now require revisiting and provide an important opportunity for </w:t>
      </w:r>
      <w:r w:rsidRPr="007E118B">
        <w:rPr>
          <w:highlight w:val="green"/>
          <w:u w:val="single"/>
        </w:rPr>
        <w:t>state policymakers</w:t>
      </w:r>
      <w:r w:rsidRPr="007E118B">
        <w:rPr>
          <w:u w:val="single"/>
        </w:rPr>
        <w:t xml:space="preserve"> to show leadership, reverse course, and </w:t>
      </w:r>
      <w:r w:rsidRPr="007E118B">
        <w:rPr>
          <w:highlight w:val="green"/>
          <w:u w:val="single"/>
        </w:rPr>
        <w:t>ensure</w:t>
      </w:r>
      <w:r w:rsidRPr="007E118B">
        <w:rPr>
          <w:u w:val="single"/>
        </w:rPr>
        <w:t xml:space="preserve"> their </w:t>
      </w:r>
      <w:r w:rsidRPr="007E118B">
        <w:rPr>
          <w:highlight w:val="green"/>
          <w:u w:val="single"/>
        </w:rPr>
        <w:t>states have</w:t>
      </w:r>
      <w:r w:rsidRPr="007E118B">
        <w:rPr>
          <w:u w:val="single"/>
        </w:rPr>
        <w:t xml:space="preserve"> the </w:t>
      </w:r>
      <w:r w:rsidRPr="007E118B">
        <w:rPr>
          <w:highlight w:val="green"/>
          <w:u w:val="single"/>
        </w:rPr>
        <w:t xml:space="preserve">resources they </w:t>
      </w:r>
      <w:r w:rsidRPr="00CD1FD1">
        <w:rPr>
          <w:rStyle w:val="Emphasis"/>
          <w:highlight w:val="green"/>
        </w:rPr>
        <w:t>need</w:t>
      </w:r>
      <w:r w:rsidRPr="007E118B">
        <w:rPr>
          <w:sz w:val="16"/>
        </w:rPr>
        <w:t xml:space="preserve"> to invest in access to health care, food benefits, good schools, and other priorities.</w:t>
      </w:r>
    </w:p>
    <w:p w14:paraId="18E725E0" w14:textId="77777777" w:rsidR="00B01139" w:rsidRDefault="00B01139" w:rsidP="00B01139">
      <w:pPr>
        <w:pStyle w:val="Heading4"/>
      </w:pPr>
      <w:r>
        <w:rPr>
          <w:rFonts w:cs="Calibri"/>
          <w:color w:val="000000"/>
          <w:szCs w:val="26"/>
        </w:rPr>
        <w:t xml:space="preserve">Federal regulation of sports betting constitutes a </w:t>
      </w:r>
      <w:r>
        <w:rPr>
          <w:rFonts w:cs="Calibri"/>
          <w:color w:val="000000"/>
          <w:szCs w:val="26"/>
          <w:u w:val="single"/>
        </w:rPr>
        <w:t>violation</w:t>
      </w:r>
      <w:r>
        <w:rPr>
          <w:rFonts w:cs="Calibri"/>
          <w:color w:val="000000"/>
          <w:szCs w:val="26"/>
        </w:rPr>
        <w:t xml:space="preserve"> of the </w:t>
      </w:r>
      <w:r>
        <w:rPr>
          <w:rFonts w:cs="Calibri"/>
          <w:color w:val="000000"/>
          <w:szCs w:val="26"/>
          <w:u w:val="single"/>
        </w:rPr>
        <w:t>Tenth Amendment</w:t>
      </w:r>
      <w:r>
        <w:rPr>
          <w:rFonts w:cs="Calibri"/>
          <w:color w:val="000000"/>
          <w:szCs w:val="26"/>
        </w:rPr>
        <w:t xml:space="preserve"> because it’s not a power that is </w:t>
      </w:r>
      <w:r>
        <w:rPr>
          <w:rFonts w:cs="Calibri"/>
          <w:color w:val="000000"/>
          <w:szCs w:val="26"/>
          <w:u w:val="single"/>
        </w:rPr>
        <w:t>specifically delegated</w:t>
      </w:r>
      <w:r>
        <w:rPr>
          <w:rFonts w:cs="Calibri"/>
          <w:color w:val="000000"/>
          <w:szCs w:val="26"/>
        </w:rPr>
        <w:t xml:space="preserve"> to the federal government. Attempting to justify it with the </w:t>
      </w:r>
      <w:r>
        <w:rPr>
          <w:rFonts w:cs="Calibri"/>
          <w:color w:val="000000"/>
          <w:szCs w:val="26"/>
          <w:u w:val="single"/>
        </w:rPr>
        <w:t>Commerce Clause</w:t>
      </w:r>
      <w:r>
        <w:rPr>
          <w:rFonts w:cs="Calibri"/>
          <w:color w:val="000000"/>
          <w:szCs w:val="26"/>
        </w:rPr>
        <w:t xml:space="preserve"> is a </w:t>
      </w:r>
      <w:r>
        <w:rPr>
          <w:rFonts w:cs="Calibri"/>
          <w:color w:val="000000"/>
          <w:szCs w:val="26"/>
          <w:u w:val="single"/>
        </w:rPr>
        <w:t>losing position</w:t>
      </w:r>
      <w:r>
        <w:rPr>
          <w:rFonts w:cs="Calibri"/>
          <w:color w:val="000000"/>
          <w:szCs w:val="26"/>
        </w:rPr>
        <w:t>.</w:t>
      </w:r>
    </w:p>
    <w:p w14:paraId="76A4B061" w14:textId="77777777" w:rsidR="00B01139" w:rsidRDefault="00B01139" w:rsidP="00B01139">
      <w:pPr>
        <w:pStyle w:val="NormalWeb"/>
        <w:spacing w:before="0" w:beforeAutospacing="0" w:after="160" w:afterAutospacing="0"/>
      </w:pPr>
      <w:r>
        <w:rPr>
          <w:rFonts w:ascii="Calibri" w:hAnsi="Calibri" w:cs="Calibri"/>
          <w:b/>
          <w:bCs/>
          <w:color w:val="000000"/>
          <w:sz w:val="26"/>
          <w:szCs w:val="26"/>
        </w:rPr>
        <w:t>Thornley 20</w:t>
      </w:r>
      <w:r>
        <w:rPr>
          <w:rFonts w:ascii="Calibri" w:hAnsi="Calibri" w:cs="Calibri"/>
          <w:color w:val="000000"/>
          <w:sz w:val="22"/>
          <w:szCs w:val="22"/>
        </w:rPr>
        <w:t xml:space="preserve"> – Drew Thornley is Assistant Professor of Legal Studies, Stephen F. Austin State University. (“A CASE AGAINST FEDERAL REGULATION OF INTRASTATE SPORTS WAGERING,” Fall 2020, pg. 99-101)</w:t>
      </w:r>
    </w:p>
    <w:p w14:paraId="270F674F" w14:textId="77777777" w:rsidR="00B01139" w:rsidRDefault="00B01139" w:rsidP="00B01139">
      <w:pPr>
        <w:pStyle w:val="NormalWeb"/>
        <w:spacing w:before="0" w:beforeAutospacing="0" w:after="160" w:afterAutospacing="0"/>
      </w:pPr>
      <w:r>
        <w:rPr>
          <w:rFonts w:ascii="Calibri" w:hAnsi="Calibri" w:cs="Calibri"/>
          <w:color w:val="000000"/>
          <w:sz w:val="22"/>
          <w:szCs w:val="22"/>
          <w:u w:val="single"/>
          <w:shd w:val="clear" w:color="auto" w:fill="00FFFF"/>
        </w:rPr>
        <w:t xml:space="preserve">The </w:t>
      </w:r>
      <w:r>
        <w:rPr>
          <w:rFonts w:ascii="Calibri" w:hAnsi="Calibri" w:cs="Calibri"/>
          <w:b/>
          <w:bCs/>
          <w:color w:val="000000"/>
          <w:sz w:val="22"/>
          <w:szCs w:val="22"/>
          <w:u w:val="single"/>
          <w:shd w:val="clear" w:color="auto" w:fill="00FFFF"/>
        </w:rPr>
        <w:t>Tenth Amendment</w:t>
      </w:r>
      <w:r>
        <w:rPr>
          <w:rFonts w:ascii="Calibri" w:hAnsi="Calibri" w:cs="Calibri"/>
          <w:color w:val="000000"/>
          <w:sz w:val="22"/>
          <w:szCs w:val="22"/>
        </w:rPr>
        <w:t xml:space="preserve"> to the U.S. Constitution states, “The powers not delegated to the United States by the Constitution, nor prohibited by it to the States, are reserved to the States respectively, or to the people.” In plain terms, this </w:t>
      </w:r>
      <w:r>
        <w:rPr>
          <w:rFonts w:ascii="Calibri" w:hAnsi="Calibri" w:cs="Calibri"/>
          <w:color w:val="000000"/>
          <w:sz w:val="22"/>
          <w:szCs w:val="22"/>
          <w:u w:val="single"/>
          <w:shd w:val="clear" w:color="auto" w:fill="00FFFF"/>
        </w:rPr>
        <w:t>means that states have control over anything</w:t>
      </w:r>
      <w:r>
        <w:rPr>
          <w:rFonts w:ascii="Calibri" w:hAnsi="Calibri" w:cs="Calibri"/>
          <w:color w:val="000000"/>
          <w:sz w:val="22"/>
          <w:szCs w:val="22"/>
          <w:u w:val="single"/>
        </w:rPr>
        <w:t xml:space="preserve"> over </w:t>
      </w:r>
      <w:r>
        <w:rPr>
          <w:rFonts w:ascii="Calibri" w:hAnsi="Calibri" w:cs="Calibri"/>
          <w:color w:val="000000"/>
          <w:sz w:val="22"/>
          <w:szCs w:val="22"/>
          <w:u w:val="single"/>
          <w:shd w:val="clear" w:color="auto" w:fill="00FFFF"/>
        </w:rPr>
        <w:t xml:space="preserve">which the </w:t>
      </w:r>
      <w:r>
        <w:rPr>
          <w:rFonts w:ascii="Calibri" w:hAnsi="Calibri" w:cs="Calibri"/>
          <w:b/>
          <w:bCs/>
          <w:color w:val="000000"/>
          <w:sz w:val="22"/>
          <w:szCs w:val="22"/>
          <w:u w:val="single"/>
          <w:shd w:val="clear" w:color="auto" w:fill="00FFFF"/>
        </w:rPr>
        <w:t>Constitution</w:t>
      </w:r>
      <w:r>
        <w:rPr>
          <w:rFonts w:ascii="Calibri" w:hAnsi="Calibri" w:cs="Calibri"/>
          <w:color w:val="000000"/>
          <w:sz w:val="22"/>
          <w:szCs w:val="22"/>
          <w:u w:val="single"/>
          <w:shd w:val="clear" w:color="auto" w:fill="00FFFF"/>
        </w:rPr>
        <w:t xml:space="preserve"> does not give the federal government power</w:t>
      </w:r>
      <w:r>
        <w:rPr>
          <w:rFonts w:ascii="Calibri" w:hAnsi="Calibri" w:cs="Calibri"/>
          <w:color w:val="000000"/>
          <w:sz w:val="22"/>
          <w:szCs w:val="22"/>
        </w:rPr>
        <w:t xml:space="preserve">.30 For purposes of this article, </w:t>
      </w:r>
      <w:r>
        <w:rPr>
          <w:rFonts w:ascii="Calibri" w:hAnsi="Calibri" w:cs="Calibri"/>
          <w:b/>
          <w:bCs/>
          <w:color w:val="000000"/>
          <w:sz w:val="22"/>
          <w:szCs w:val="22"/>
          <w:u w:val="single"/>
          <w:shd w:val="clear" w:color="auto" w:fill="00FFFF"/>
        </w:rPr>
        <w:t>notably absent</w:t>
      </w:r>
      <w:r>
        <w:rPr>
          <w:rFonts w:ascii="Calibri" w:hAnsi="Calibri" w:cs="Calibri"/>
          <w:color w:val="000000"/>
          <w:sz w:val="22"/>
          <w:szCs w:val="22"/>
          <w:u w:val="single"/>
          <w:shd w:val="clear" w:color="auto" w:fill="00FFFF"/>
        </w:rPr>
        <w:t xml:space="preserve"> from</w:t>
      </w:r>
      <w:r>
        <w:rPr>
          <w:rFonts w:ascii="Calibri" w:hAnsi="Calibri" w:cs="Calibri"/>
          <w:color w:val="000000"/>
          <w:sz w:val="22"/>
          <w:szCs w:val="22"/>
          <w:u w:val="single"/>
        </w:rPr>
        <w:t xml:space="preserve"> the list of </w:t>
      </w:r>
      <w:r>
        <w:rPr>
          <w:rFonts w:ascii="Calibri" w:hAnsi="Calibri" w:cs="Calibri"/>
          <w:color w:val="000000"/>
          <w:sz w:val="22"/>
          <w:szCs w:val="22"/>
          <w:u w:val="single"/>
          <w:shd w:val="clear" w:color="auto" w:fill="00FFFF"/>
        </w:rPr>
        <w:t>the</w:t>
      </w:r>
      <w:r>
        <w:rPr>
          <w:rFonts w:ascii="Calibri" w:hAnsi="Calibri" w:cs="Calibri"/>
          <w:color w:val="000000"/>
          <w:sz w:val="22"/>
          <w:szCs w:val="22"/>
          <w:u w:val="single"/>
        </w:rPr>
        <w:t xml:space="preserve"> U.S. </w:t>
      </w:r>
      <w:r>
        <w:rPr>
          <w:rFonts w:ascii="Calibri" w:hAnsi="Calibri" w:cs="Calibri"/>
          <w:color w:val="000000"/>
          <w:sz w:val="22"/>
          <w:szCs w:val="22"/>
          <w:u w:val="single"/>
          <w:shd w:val="clear" w:color="auto" w:fill="00FFFF"/>
        </w:rPr>
        <w:t xml:space="preserve">Constitution’s </w:t>
      </w:r>
      <w:proofErr w:type="gramStart"/>
      <w:r>
        <w:rPr>
          <w:rFonts w:ascii="Calibri" w:hAnsi="Calibri" w:cs="Calibri"/>
          <w:b/>
          <w:bCs/>
          <w:color w:val="000000"/>
          <w:sz w:val="22"/>
          <w:szCs w:val="22"/>
          <w:u w:val="single"/>
          <w:shd w:val="clear" w:color="auto" w:fill="00FFFF"/>
        </w:rPr>
        <w:t>specifically-enumerated</w:t>
      </w:r>
      <w:proofErr w:type="gramEnd"/>
      <w:r>
        <w:rPr>
          <w:rFonts w:ascii="Calibri" w:hAnsi="Calibri" w:cs="Calibri"/>
          <w:b/>
          <w:bCs/>
          <w:color w:val="000000"/>
          <w:sz w:val="22"/>
          <w:szCs w:val="22"/>
          <w:u w:val="single"/>
          <w:shd w:val="clear" w:color="auto" w:fill="00FFFF"/>
        </w:rPr>
        <w:t xml:space="preserve"> federal powers</w:t>
      </w:r>
      <w:r>
        <w:rPr>
          <w:rFonts w:ascii="Calibri" w:hAnsi="Calibri" w:cs="Calibri"/>
          <w:color w:val="000000"/>
          <w:sz w:val="22"/>
          <w:szCs w:val="22"/>
          <w:u w:val="single"/>
          <w:shd w:val="clear" w:color="auto" w:fill="00FFFF"/>
        </w:rPr>
        <w:t xml:space="preserve"> </w:t>
      </w:r>
      <w:proofErr w:type="gramStart"/>
      <w:r>
        <w:rPr>
          <w:rFonts w:ascii="Calibri" w:hAnsi="Calibri" w:cs="Calibri"/>
          <w:color w:val="000000"/>
          <w:sz w:val="22"/>
          <w:szCs w:val="22"/>
          <w:u w:val="single"/>
          <w:shd w:val="clear" w:color="auto" w:fill="00FFFF"/>
        </w:rPr>
        <w:t>is</w:t>
      </w:r>
      <w:proofErr w:type="gramEnd"/>
      <w:r>
        <w:rPr>
          <w:rFonts w:ascii="Calibri" w:hAnsi="Calibri" w:cs="Calibri"/>
          <w:color w:val="000000"/>
          <w:sz w:val="22"/>
          <w:szCs w:val="22"/>
          <w:u w:val="single"/>
          <w:shd w:val="clear" w:color="auto" w:fill="00FFFF"/>
        </w:rPr>
        <w:t xml:space="preserve"> the power to </w:t>
      </w:r>
      <w:r>
        <w:rPr>
          <w:rFonts w:ascii="Calibri" w:hAnsi="Calibri" w:cs="Calibri"/>
          <w:b/>
          <w:bCs/>
          <w:color w:val="000000"/>
          <w:sz w:val="22"/>
          <w:szCs w:val="22"/>
          <w:u w:val="single"/>
          <w:shd w:val="clear" w:color="auto" w:fill="00FFFF"/>
        </w:rPr>
        <w:t>regulate intrastate sports wagering</w:t>
      </w:r>
      <w:r>
        <w:rPr>
          <w:rFonts w:ascii="Calibri" w:hAnsi="Calibri" w:cs="Calibri"/>
          <w:color w:val="000000"/>
          <w:sz w:val="22"/>
          <w:szCs w:val="22"/>
        </w:rPr>
        <w:t>. Cato Institute’s Tim Lynch writes, </w:t>
      </w:r>
    </w:p>
    <w:p w14:paraId="14FB1519" w14:textId="77777777" w:rsidR="00B01139" w:rsidRDefault="00B01139" w:rsidP="00B01139">
      <w:pPr>
        <w:pStyle w:val="NormalWeb"/>
        <w:spacing w:before="0" w:beforeAutospacing="0" w:after="160" w:afterAutospacing="0"/>
      </w:pPr>
      <w:r>
        <w:rPr>
          <w:rFonts w:ascii="Calibri" w:hAnsi="Calibri" w:cs="Calibri"/>
          <w:color w:val="000000"/>
          <w:sz w:val="22"/>
          <w:szCs w:val="22"/>
          <w:u w:val="single"/>
          <w:shd w:val="clear" w:color="auto" w:fill="00FFFF"/>
        </w:rPr>
        <w:t xml:space="preserve">Gambling regulation has always been considered the province of </w:t>
      </w:r>
      <w:r>
        <w:rPr>
          <w:rFonts w:ascii="Calibri" w:hAnsi="Calibri" w:cs="Calibri"/>
          <w:b/>
          <w:bCs/>
          <w:color w:val="000000"/>
          <w:sz w:val="22"/>
          <w:szCs w:val="22"/>
          <w:u w:val="single"/>
          <w:shd w:val="clear" w:color="auto" w:fill="00FFFF"/>
        </w:rPr>
        <w:t>state</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local government</w:t>
      </w:r>
      <w:r>
        <w:rPr>
          <w:rFonts w:ascii="Calibri" w:hAnsi="Calibri" w:cs="Calibri"/>
          <w:color w:val="000000"/>
          <w:sz w:val="22"/>
          <w:szCs w:val="22"/>
        </w:rPr>
        <w:t>...</w:t>
      </w:r>
      <w:r>
        <w:rPr>
          <w:rFonts w:ascii="Calibri" w:hAnsi="Calibri" w:cs="Calibri"/>
          <w:color w:val="000000"/>
          <w:sz w:val="22"/>
          <w:szCs w:val="22"/>
          <w:u w:val="single"/>
        </w:rPr>
        <w:t xml:space="preserve">The </w:t>
      </w:r>
      <w:r>
        <w:rPr>
          <w:rFonts w:ascii="Calibri" w:hAnsi="Calibri" w:cs="Calibri"/>
          <w:b/>
          <w:bCs/>
          <w:color w:val="000000"/>
          <w:sz w:val="22"/>
          <w:szCs w:val="22"/>
          <w:u w:val="single"/>
        </w:rPr>
        <w:t xml:space="preserve">call for </w:t>
      </w:r>
      <w:r>
        <w:rPr>
          <w:rFonts w:ascii="Calibri" w:hAnsi="Calibri" w:cs="Calibri"/>
          <w:b/>
          <w:bCs/>
          <w:color w:val="000000"/>
          <w:sz w:val="22"/>
          <w:szCs w:val="22"/>
          <w:u w:val="single"/>
          <w:shd w:val="clear" w:color="auto" w:fill="00FFFF"/>
        </w:rPr>
        <w:t>federal intervention</w:t>
      </w:r>
      <w:r>
        <w:rPr>
          <w:rFonts w:ascii="Calibri" w:hAnsi="Calibri" w:cs="Calibri"/>
          <w:color w:val="000000"/>
          <w:sz w:val="22"/>
          <w:szCs w:val="22"/>
          <w:u w:val="single"/>
          <w:shd w:val="clear" w:color="auto" w:fill="00FFFF"/>
        </w:rPr>
        <w:t xml:space="preserve"> should be </w:t>
      </w:r>
      <w:r>
        <w:rPr>
          <w:rFonts w:ascii="Calibri" w:hAnsi="Calibri" w:cs="Calibri"/>
          <w:b/>
          <w:bCs/>
          <w:color w:val="000000"/>
          <w:sz w:val="22"/>
          <w:szCs w:val="22"/>
          <w:u w:val="single"/>
          <w:shd w:val="clear" w:color="auto" w:fill="00FFFF"/>
        </w:rPr>
        <w:t>resisted</w:t>
      </w:r>
      <w:r>
        <w:rPr>
          <w:rFonts w:ascii="Calibri" w:hAnsi="Calibri" w:cs="Calibri"/>
          <w:color w:val="000000"/>
          <w:sz w:val="22"/>
          <w:szCs w:val="22"/>
          <w:u w:val="single"/>
        </w:rPr>
        <w:t xml:space="preserve"> for several reasons</w:t>
      </w:r>
      <w:r>
        <w:rPr>
          <w:rFonts w:ascii="Calibri" w:hAnsi="Calibri" w:cs="Calibri"/>
          <w:color w:val="000000"/>
          <w:sz w:val="22"/>
          <w:szCs w:val="22"/>
        </w:rPr>
        <w:t xml:space="preserve">. First and foremost, </w:t>
      </w:r>
      <w:r>
        <w:rPr>
          <w:rFonts w:ascii="Calibri" w:hAnsi="Calibri" w:cs="Calibri"/>
          <w:color w:val="000000"/>
          <w:sz w:val="22"/>
          <w:szCs w:val="22"/>
          <w:u w:val="single"/>
        </w:rPr>
        <w:t xml:space="preserve">the </w:t>
      </w:r>
      <w:r>
        <w:rPr>
          <w:rFonts w:ascii="Calibri" w:hAnsi="Calibri" w:cs="Calibri"/>
          <w:b/>
          <w:bCs/>
          <w:color w:val="000000"/>
          <w:sz w:val="22"/>
          <w:szCs w:val="22"/>
          <w:u w:val="single"/>
        </w:rPr>
        <w:t>Constitution does not authorize</w:t>
      </w:r>
      <w:r>
        <w:rPr>
          <w:rFonts w:ascii="Calibri" w:hAnsi="Calibri" w:cs="Calibri"/>
          <w:color w:val="000000"/>
          <w:sz w:val="22"/>
          <w:szCs w:val="22"/>
          <w:u w:val="single"/>
        </w:rPr>
        <w:t xml:space="preserve"> the </w:t>
      </w:r>
      <w:r>
        <w:rPr>
          <w:rFonts w:ascii="Calibri" w:hAnsi="Calibri" w:cs="Calibri"/>
          <w:b/>
          <w:bCs/>
          <w:color w:val="000000"/>
          <w:sz w:val="22"/>
          <w:szCs w:val="22"/>
          <w:u w:val="single"/>
        </w:rPr>
        <w:t>federal government</w:t>
      </w:r>
      <w:r>
        <w:rPr>
          <w:rFonts w:ascii="Calibri" w:hAnsi="Calibri" w:cs="Calibri"/>
          <w:color w:val="000000"/>
          <w:sz w:val="22"/>
          <w:szCs w:val="22"/>
          <w:u w:val="single"/>
        </w:rPr>
        <w:t xml:space="preserve"> to </w:t>
      </w:r>
      <w:r>
        <w:rPr>
          <w:rFonts w:ascii="Calibri" w:hAnsi="Calibri" w:cs="Calibri"/>
          <w:b/>
          <w:bCs/>
          <w:color w:val="000000"/>
          <w:sz w:val="22"/>
          <w:szCs w:val="22"/>
          <w:u w:val="single"/>
        </w:rPr>
        <w:t>involve itself</w:t>
      </w:r>
      <w:r>
        <w:rPr>
          <w:rFonts w:ascii="Calibri" w:hAnsi="Calibri" w:cs="Calibri"/>
          <w:color w:val="000000"/>
          <w:sz w:val="22"/>
          <w:szCs w:val="22"/>
          <w:u w:val="single"/>
        </w:rPr>
        <w:t xml:space="preserve"> in </w:t>
      </w:r>
      <w:r>
        <w:rPr>
          <w:rFonts w:ascii="Calibri" w:hAnsi="Calibri" w:cs="Calibri"/>
          <w:b/>
          <w:bCs/>
          <w:color w:val="000000"/>
          <w:sz w:val="22"/>
          <w:szCs w:val="22"/>
          <w:u w:val="single"/>
        </w:rPr>
        <w:t>gambling</w:t>
      </w:r>
      <w:r>
        <w:rPr>
          <w:rFonts w:ascii="Calibri" w:hAnsi="Calibri" w:cs="Calibri"/>
          <w:color w:val="000000"/>
          <w:sz w:val="22"/>
          <w:szCs w:val="22"/>
        </w:rPr>
        <w:t>. In the landmark case of Maybury vs. Madison, Chief Justice John Marshall observed that the powers of Congress "are defined and limited." A cursory examination of the Constitution by any educated person would show that the powers of Congress are spelled out explicitly in Article I, section 8. The 10th Amendment was later added to make it clear that the powers not delegated to the federal government were to be "reserved to the states."...</w:t>
      </w:r>
      <w:r>
        <w:rPr>
          <w:rFonts w:ascii="Calibri" w:hAnsi="Calibri" w:cs="Calibri"/>
          <w:color w:val="000000"/>
          <w:sz w:val="22"/>
          <w:szCs w:val="22"/>
          <w:u w:val="single"/>
          <w:shd w:val="clear" w:color="auto" w:fill="00FFFF"/>
        </w:rPr>
        <w:t xml:space="preserve">Federal gambling regulation would be the </w:t>
      </w:r>
      <w:r>
        <w:rPr>
          <w:rFonts w:ascii="Calibri" w:hAnsi="Calibri" w:cs="Calibri"/>
          <w:b/>
          <w:bCs/>
          <w:color w:val="000000"/>
          <w:sz w:val="22"/>
          <w:szCs w:val="22"/>
          <w:u w:val="single"/>
          <w:shd w:val="clear" w:color="auto" w:fill="00FFFF"/>
        </w:rPr>
        <w:t>antithesis of respect</w:t>
      </w:r>
      <w:r>
        <w:rPr>
          <w:rFonts w:ascii="Calibri" w:hAnsi="Calibri" w:cs="Calibri"/>
          <w:color w:val="000000"/>
          <w:sz w:val="22"/>
          <w:szCs w:val="22"/>
          <w:u w:val="single"/>
          <w:shd w:val="clear" w:color="auto" w:fill="00FFFF"/>
        </w:rPr>
        <w:t xml:space="preserve"> for the 10th Amendment</w:t>
      </w:r>
      <w:r>
        <w:rPr>
          <w:rFonts w:ascii="Calibri" w:hAnsi="Calibri" w:cs="Calibri"/>
          <w:color w:val="000000"/>
          <w:sz w:val="22"/>
          <w:szCs w:val="22"/>
        </w:rPr>
        <w:t>.31 </w:t>
      </w:r>
    </w:p>
    <w:p w14:paraId="7F6519EC"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The power to regulate intrastate gambling simply does not belong to the federal government. Rather, </w:t>
      </w:r>
      <w:r>
        <w:rPr>
          <w:rFonts w:ascii="Calibri" w:hAnsi="Calibri" w:cs="Calibri"/>
          <w:color w:val="000000"/>
          <w:sz w:val="22"/>
          <w:szCs w:val="22"/>
          <w:u w:val="single"/>
        </w:rPr>
        <w:t>if it is to occur</w:t>
      </w:r>
      <w:r>
        <w:rPr>
          <w:rFonts w:ascii="Calibri" w:hAnsi="Calibri" w:cs="Calibri"/>
          <w:color w:val="000000"/>
          <w:sz w:val="22"/>
          <w:szCs w:val="22"/>
        </w:rPr>
        <w:t xml:space="preserve">32, </w:t>
      </w:r>
      <w:r>
        <w:rPr>
          <w:rFonts w:ascii="Calibri" w:hAnsi="Calibri" w:cs="Calibri"/>
          <w:color w:val="000000"/>
          <w:sz w:val="22"/>
          <w:szCs w:val="22"/>
          <w:u w:val="single"/>
        </w:rPr>
        <w:t xml:space="preserve">such </w:t>
      </w:r>
      <w:r>
        <w:rPr>
          <w:rFonts w:ascii="Calibri" w:hAnsi="Calibri" w:cs="Calibri"/>
          <w:b/>
          <w:bCs/>
          <w:color w:val="000000"/>
          <w:sz w:val="22"/>
          <w:szCs w:val="22"/>
          <w:u w:val="single"/>
          <w:shd w:val="clear" w:color="auto" w:fill="00FFFF"/>
        </w:rPr>
        <w:t>regulation</w:t>
      </w:r>
      <w:r>
        <w:rPr>
          <w:rFonts w:ascii="Calibri" w:hAnsi="Calibri" w:cs="Calibri"/>
          <w:color w:val="000000"/>
          <w:sz w:val="22"/>
          <w:szCs w:val="22"/>
          <w:u w:val="single"/>
          <w:shd w:val="clear" w:color="auto" w:fill="00FFFF"/>
        </w:rPr>
        <w:t xml:space="preserve"> belongs to</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individual states</w:t>
      </w:r>
      <w:r>
        <w:rPr>
          <w:rFonts w:ascii="Calibri" w:hAnsi="Calibri" w:cs="Calibri"/>
          <w:color w:val="000000"/>
          <w:sz w:val="22"/>
          <w:szCs w:val="22"/>
        </w:rPr>
        <w:t xml:space="preserve">; and, indeed, </w:t>
      </w:r>
      <w:r>
        <w:rPr>
          <w:rFonts w:ascii="Calibri" w:hAnsi="Calibri" w:cs="Calibri"/>
          <w:color w:val="000000"/>
          <w:sz w:val="22"/>
          <w:szCs w:val="22"/>
          <w:u w:val="single"/>
          <w:shd w:val="clear" w:color="auto" w:fill="00FFFF"/>
        </w:rPr>
        <w:t>gambling</w:t>
      </w:r>
      <w:r>
        <w:rPr>
          <w:rFonts w:ascii="Calibri" w:hAnsi="Calibri" w:cs="Calibri"/>
          <w:color w:val="000000"/>
          <w:sz w:val="22"/>
          <w:szCs w:val="22"/>
          <w:u w:val="single"/>
        </w:rPr>
        <w:t xml:space="preserve"> generally</w:t>
      </w:r>
      <w:r>
        <w:rPr>
          <w:rFonts w:ascii="Calibri" w:hAnsi="Calibri" w:cs="Calibri"/>
          <w:color w:val="000000"/>
          <w:sz w:val="22"/>
          <w:szCs w:val="22"/>
        </w:rPr>
        <w:t xml:space="preserve"> (not just sports gambling) </w:t>
      </w:r>
      <w:r>
        <w:rPr>
          <w:rFonts w:ascii="Calibri" w:hAnsi="Calibri" w:cs="Calibri"/>
          <w:color w:val="000000"/>
          <w:sz w:val="22"/>
          <w:szCs w:val="22"/>
          <w:u w:val="single"/>
          <w:shd w:val="clear" w:color="auto" w:fill="00FFFF"/>
        </w:rPr>
        <w:t>has</w:t>
      </w:r>
      <w:r>
        <w:rPr>
          <w:rFonts w:ascii="Calibri" w:hAnsi="Calibri" w:cs="Calibri"/>
          <w:color w:val="000000"/>
          <w:sz w:val="22"/>
          <w:szCs w:val="22"/>
          <w:u w:val="single"/>
        </w:rPr>
        <w:t xml:space="preserve"> traditionally </w:t>
      </w:r>
      <w:r>
        <w:rPr>
          <w:rFonts w:ascii="Calibri" w:hAnsi="Calibri" w:cs="Calibri"/>
          <w:color w:val="000000"/>
          <w:sz w:val="22"/>
          <w:szCs w:val="22"/>
          <w:u w:val="single"/>
          <w:shd w:val="clear" w:color="auto" w:fill="00FFFF"/>
        </w:rPr>
        <w:t>been</w:t>
      </w:r>
      <w:r>
        <w:rPr>
          <w:rFonts w:ascii="Calibri" w:hAnsi="Calibri" w:cs="Calibri"/>
          <w:color w:val="000000"/>
          <w:sz w:val="22"/>
          <w:szCs w:val="22"/>
          <w:u w:val="single"/>
        </w:rPr>
        <w:t xml:space="preserve"> predominantly </w:t>
      </w:r>
      <w:r>
        <w:rPr>
          <w:rFonts w:ascii="Calibri" w:hAnsi="Calibri" w:cs="Calibri"/>
          <w:color w:val="000000"/>
          <w:sz w:val="22"/>
          <w:szCs w:val="22"/>
          <w:u w:val="single"/>
          <w:shd w:val="clear" w:color="auto" w:fill="00FFFF"/>
        </w:rPr>
        <w:t xml:space="preserve">under </w:t>
      </w:r>
      <w:r>
        <w:rPr>
          <w:rFonts w:ascii="Calibri" w:hAnsi="Calibri" w:cs="Calibri"/>
          <w:b/>
          <w:bCs/>
          <w:color w:val="000000"/>
          <w:sz w:val="22"/>
          <w:szCs w:val="22"/>
          <w:u w:val="single"/>
          <w:shd w:val="clear" w:color="auto" w:fill="00FFFF"/>
        </w:rPr>
        <w:t>state</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and </w:t>
      </w:r>
      <w:r>
        <w:rPr>
          <w:rFonts w:ascii="Calibri" w:hAnsi="Calibri" w:cs="Calibri"/>
          <w:b/>
          <w:bCs/>
          <w:color w:val="000000"/>
          <w:sz w:val="22"/>
          <w:szCs w:val="22"/>
          <w:u w:val="single"/>
          <w:shd w:val="clear" w:color="auto" w:fill="00FFFF"/>
        </w:rPr>
        <w:t>local</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tribal</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FF"/>
        </w:rPr>
        <w:t>control</w:t>
      </w:r>
      <w:r>
        <w:rPr>
          <w:rFonts w:ascii="Calibri" w:hAnsi="Calibri" w:cs="Calibri"/>
          <w:color w:val="000000"/>
          <w:sz w:val="22"/>
          <w:szCs w:val="22"/>
        </w:rPr>
        <w:t>.</w:t>
      </w:r>
    </w:p>
    <w:p w14:paraId="64A07BA0"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However, one could argue that just because the states have </w:t>
      </w:r>
      <w:proofErr w:type="gramStart"/>
      <w:r>
        <w:rPr>
          <w:rFonts w:ascii="Calibri" w:hAnsi="Calibri" w:cs="Calibri"/>
          <w:color w:val="000000"/>
          <w:sz w:val="22"/>
          <w:szCs w:val="22"/>
        </w:rPr>
        <w:t>been in charge of</w:t>
      </w:r>
      <w:proofErr w:type="gramEnd"/>
      <w:r>
        <w:rPr>
          <w:rFonts w:ascii="Calibri" w:hAnsi="Calibri" w:cs="Calibri"/>
          <w:color w:val="000000"/>
          <w:sz w:val="22"/>
          <w:szCs w:val="22"/>
        </w:rPr>
        <w:t xml:space="preserve"> something does not mean they should have been and/or should be in the future. This is certainly true, but it is not a winning argument in this context. This is not an area in which the states have wrongly been in control. Rather, </w:t>
      </w:r>
      <w:r>
        <w:rPr>
          <w:rFonts w:ascii="Calibri" w:hAnsi="Calibri" w:cs="Calibri"/>
          <w:b/>
          <w:bCs/>
          <w:color w:val="000000"/>
          <w:sz w:val="22"/>
          <w:szCs w:val="22"/>
          <w:u w:val="single"/>
          <w:shd w:val="clear" w:color="auto" w:fill="00FFFF"/>
        </w:rPr>
        <w:t>states</w:t>
      </w:r>
      <w:r>
        <w:rPr>
          <w:rFonts w:ascii="Calibri" w:hAnsi="Calibri" w:cs="Calibri"/>
          <w:color w:val="000000"/>
          <w:sz w:val="22"/>
          <w:szCs w:val="22"/>
          <w:u w:val="single"/>
          <w:shd w:val="clear" w:color="auto" w:fill="00FFFF"/>
        </w:rPr>
        <w:t xml:space="preserve"> are the </w:t>
      </w:r>
      <w:r>
        <w:rPr>
          <w:rFonts w:ascii="Calibri" w:hAnsi="Calibri" w:cs="Calibri"/>
          <w:b/>
          <w:bCs/>
          <w:color w:val="000000"/>
          <w:sz w:val="22"/>
          <w:szCs w:val="22"/>
          <w:u w:val="single"/>
          <w:shd w:val="clear" w:color="auto" w:fill="00FFFF"/>
        </w:rPr>
        <w:t>appropriate powers</w:t>
      </w:r>
      <w:r>
        <w:rPr>
          <w:rFonts w:ascii="Calibri" w:hAnsi="Calibri" w:cs="Calibri"/>
          <w:color w:val="000000"/>
          <w:sz w:val="22"/>
          <w:szCs w:val="22"/>
        </w:rPr>
        <w:t xml:space="preserve">. </w:t>
      </w:r>
      <w:r>
        <w:rPr>
          <w:rFonts w:ascii="Calibri" w:hAnsi="Calibri" w:cs="Calibri"/>
          <w:color w:val="000000"/>
          <w:sz w:val="22"/>
          <w:szCs w:val="22"/>
          <w:u w:val="single"/>
        </w:rPr>
        <w:t xml:space="preserve">The path thus far has been </w:t>
      </w:r>
      <w:r>
        <w:rPr>
          <w:rFonts w:ascii="Calibri" w:hAnsi="Calibri" w:cs="Calibri"/>
          <w:b/>
          <w:bCs/>
          <w:color w:val="000000"/>
          <w:sz w:val="22"/>
          <w:szCs w:val="22"/>
          <w:u w:val="single"/>
        </w:rPr>
        <w:t>perfectly in line</w:t>
      </w:r>
      <w:r>
        <w:rPr>
          <w:rFonts w:ascii="Calibri" w:hAnsi="Calibri" w:cs="Calibri"/>
          <w:color w:val="000000"/>
          <w:sz w:val="22"/>
          <w:szCs w:val="22"/>
          <w:u w:val="single"/>
        </w:rPr>
        <w:t xml:space="preserve"> with the mandates of the </w:t>
      </w:r>
      <w:r>
        <w:rPr>
          <w:rFonts w:ascii="Calibri" w:hAnsi="Calibri" w:cs="Calibri"/>
          <w:b/>
          <w:bCs/>
          <w:color w:val="000000"/>
          <w:sz w:val="22"/>
          <w:szCs w:val="22"/>
          <w:u w:val="single"/>
        </w:rPr>
        <w:t>Constitution</w:t>
      </w:r>
      <w:r>
        <w:rPr>
          <w:rFonts w:ascii="Calibri" w:hAnsi="Calibri" w:cs="Calibri"/>
          <w:color w:val="000000"/>
          <w:sz w:val="22"/>
          <w:szCs w:val="22"/>
        </w:rPr>
        <w:t xml:space="preserve">, </w:t>
      </w:r>
      <w:r>
        <w:rPr>
          <w:rFonts w:ascii="Calibri" w:hAnsi="Calibri" w:cs="Calibri"/>
          <w:color w:val="000000"/>
          <w:sz w:val="22"/>
          <w:szCs w:val="22"/>
          <w:u w:val="single"/>
        </w:rPr>
        <w:t>which does not list gambling</w:t>
      </w:r>
      <w:r>
        <w:rPr>
          <w:rFonts w:ascii="Calibri" w:hAnsi="Calibri" w:cs="Calibri"/>
          <w:color w:val="000000"/>
          <w:sz w:val="22"/>
          <w:szCs w:val="22"/>
        </w:rPr>
        <w:t>/</w:t>
      </w:r>
      <w:r>
        <w:rPr>
          <w:rFonts w:ascii="Calibri" w:hAnsi="Calibri" w:cs="Calibri"/>
          <w:color w:val="000000"/>
          <w:sz w:val="22"/>
          <w:szCs w:val="22"/>
          <w:u w:val="single"/>
        </w:rPr>
        <w:t>wagering as an area reserved for the federal government</w:t>
      </w:r>
      <w:r>
        <w:rPr>
          <w:rFonts w:ascii="Calibri" w:hAnsi="Calibri" w:cs="Calibri"/>
          <w:color w:val="000000"/>
          <w:sz w:val="22"/>
          <w:szCs w:val="22"/>
        </w:rPr>
        <w:t>. </w:t>
      </w:r>
    </w:p>
    <w:p w14:paraId="7BB3A3EE"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But again, </w:t>
      </w:r>
      <w:r>
        <w:rPr>
          <w:rFonts w:ascii="Calibri" w:hAnsi="Calibri" w:cs="Calibri"/>
          <w:color w:val="000000"/>
          <w:sz w:val="22"/>
          <w:szCs w:val="22"/>
          <w:u w:val="single"/>
          <w:shd w:val="clear" w:color="auto" w:fill="00FFFF"/>
        </w:rPr>
        <w:t xml:space="preserve">one could </w:t>
      </w:r>
      <w:r>
        <w:rPr>
          <w:rFonts w:ascii="Calibri" w:hAnsi="Calibri" w:cs="Calibri"/>
          <w:b/>
          <w:bCs/>
          <w:color w:val="000000"/>
          <w:sz w:val="22"/>
          <w:szCs w:val="22"/>
          <w:u w:val="single"/>
          <w:shd w:val="clear" w:color="auto" w:fill="00FFFF"/>
        </w:rPr>
        <w:t>counter</w:t>
      </w:r>
      <w:r>
        <w:rPr>
          <w:rFonts w:ascii="Calibri" w:hAnsi="Calibri" w:cs="Calibri"/>
          <w:color w:val="000000"/>
          <w:sz w:val="22"/>
          <w:szCs w:val="22"/>
        </w:rPr>
        <w:t xml:space="preserve">, arguing that, </w:t>
      </w:r>
      <w:r>
        <w:rPr>
          <w:rFonts w:ascii="Calibri" w:hAnsi="Calibri" w:cs="Calibri"/>
          <w:color w:val="000000"/>
          <w:sz w:val="22"/>
          <w:szCs w:val="22"/>
          <w:u w:val="single"/>
        </w:rPr>
        <w:t>though gambling is not</w:t>
      </w:r>
      <w:r>
        <w:rPr>
          <w:rFonts w:ascii="Calibri" w:hAnsi="Calibri" w:cs="Calibri"/>
          <w:color w:val="000000"/>
          <w:sz w:val="22"/>
          <w:szCs w:val="22"/>
        </w:rPr>
        <w:t xml:space="preserve"> a </w:t>
      </w:r>
      <w:proofErr w:type="gramStart"/>
      <w:r>
        <w:rPr>
          <w:rFonts w:ascii="Calibri" w:hAnsi="Calibri" w:cs="Calibri"/>
          <w:color w:val="000000"/>
          <w:sz w:val="22"/>
          <w:szCs w:val="22"/>
          <w:u w:val="single"/>
        </w:rPr>
        <w:t>specifically-enumerated</w:t>
      </w:r>
      <w:proofErr w:type="gramEnd"/>
      <w:r>
        <w:rPr>
          <w:rFonts w:ascii="Calibri" w:hAnsi="Calibri" w:cs="Calibri"/>
          <w:color w:val="000000"/>
          <w:sz w:val="22"/>
          <w:szCs w:val="22"/>
          <w:u w:val="single"/>
        </w:rPr>
        <w:t xml:space="preserve"> power</w:t>
      </w:r>
      <w:r>
        <w:rPr>
          <w:rFonts w:ascii="Calibri" w:hAnsi="Calibri" w:cs="Calibri"/>
          <w:color w:val="000000"/>
          <w:sz w:val="22"/>
          <w:szCs w:val="22"/>
        </w:rPr>
        <w:t xml:space="preserve"> of the federal government, </w:t>
      </w:r>
      <w:r>
        <w:rPr>
          <w:rFonts w:ascii="Calibri" w:hAnsi="Calibri" w:cs="Calibri"/>
          <w:color w:val="000000"/>
          <w:sz w:val="22"/>
          <w:szCs w:val="22"/>
          <w:u w:val="single"/>
          <w:shd w:val="clear" w:color="auto" w:fill="00FFFF"/>
        </w:rPr>
        <w:t>the federal government has</w:t>
      </w:r>
      <w:r>
        <w:rPr>
          <w:rFonts w:ascii="Calibri" w:hAnsi="Calibri" w:cs="Calibri"/>
          <w:color w:val="000000"/>
          <w:sz w:val="22"/>
          <w:szCs w:val="22"/>
        </w:rPr>
        <w:t xml:space="preserve"> the </w:t>
      </w:r>
      <w:r>
        <w:rPr>
          <w:rFonts w:ascii="Calibri" w:hAnsi="Calibri" w:cs="Calibri"/>
          <w:color w:val="000000"/>
          <w:sz w:val="22"/>
          <w:szCs w:val="22"/>
          <w:u w:val="single"/>
        </w:rPr>
        <w:t xml:space="preserve">Constitutional </w:t>
      </w:r>
      <w:r>
        <w:rPr>
          <w:rFonts w:ascii="Calibri" w:hAnsi="Calibri" w:cs="Calibri"/>
          <w:color w:val="000000"/>
          <w:sz w:val="22"/>
          <w:szCs w:val="22"/>
          <w:u w:val="single"/>
          <w:shd w:val="clear" w:color="auto" w:fill="00FFFF"/>
        </w:rPr>
        <w:t>authority</w:t>
      </w:r>
      <w:r>
        <w:rPr>
          <w:rFonts w:ascii="Calibri" w:hAnsi="Calibri" w:cs="Calibri"/>
          <w:color w:val="000000"/>
          <w:sz w:val="22"/>
          <w:szCs w:val="22"/>
        </w:rPr>
        <w:t xml:space="preserve"> to regulate gambling, </w:t>
      </w:r>
      <w:r>
        <w:rPr>
          <w:rFonts w:ascii="Calibri" w:hAnsi="Calibri" w:cs="Calibri"/>
          <w:color w:val="000000"/>
          <w:sz w:val="22"/>
          <w:szCs w:val="22"/>
          <w:u w:val="single"/>
          <w:shd w:val="clear" w:color="auto" w:fill="00FFFF"/>
        </w:rPr>
        <w:t xml:space="preserve">per its power to regulate </w:t>
      </w:r>
      <w:r>
        <w:rPr>
          <w:rFonts w:ascii="Calibri" w:hAnsi="Calibri" w:cs="Calibri"/>
          <w:b/>
          <w:bCs/>
          <w:color w:val="000000"/>
          <w:sz w:val="22"/>
          <w:szCs w:val="22"/>
          <w:u w:val="single"/>
          <w:shd w:val="clear" w:color="auto" w:fill="00FFFF"/>
        </w:rPr>
        <w:t>interstate commerce</w:t>
      </w:r>
      <w:r>
        <w:rPr>
          <w:rFonts w:ascii="Calibri" w:hAnsi="Calibri" w:cs="Calibri"/>
          <w:color w:val="000000"/>
          <w:sz w:val="22"/>
          <w:szCs w:val="22"/>
        </w:rPr>
        <w:t xml:space="preserve">.33 </w:t>
      </w:r>
      <w:r>
        <w:rPr>
          <w:rFonts w:ascii="Calibri" w:hAnsi="Calibri" w:cs="Calibri"/>
          <w:color w:val="000000"/>
          <w:sz w:val="22"/>
          <w:szCs w:val="22"/>
          <w:u w:val="single"/>
          <w:shd w:val="clear" w:color="auto" w:fill="00FFFF"/>
        </w:rPr>
        <w:t>This</w:t>
      </w:r>
      <w:r>
        <w:rPr>
          <w:rFonts w:ascii="Calibri" w:hAnsi="Calibri" w:cs="Calibri"/>
          <w:color w:val="000000"/>
          <w:sz w:val="22"/>
          <w:szCs w:val="22"/>
        </w:rPr>
        <w:t xml:space="preserve">, too, </w:t>
      </w:r>
      <w:r>
        <w:rPr>
          <w:rFonts w:ascii="Calibri" w:hAnsi="Calibri" w:cs="Calibri"/>
          <w:color w:val="000000"/>
          <w:sz w:val="22"/>
          <w:szCs w:val="22"/>
          <w:u w:val="single"/>
          <w:shd w:val="clear" w:color="auto" w:fill="00FFFF"/>
        </w:rPr>
        <w:t xml:space="preserve">should be a </w:t>
      </w:r>
      <w:r>
        <w:rPr>
          <w:rFonts w:ascii="Calibri" w:hAnsi="Calibri" w:cs="Calibri"/>
          <w:b/>
          <w:bCs/>
          <w:color w:val="000000"/>
          <w:sz w:val="22"/>
          <w:szCs w:val="22"/>
          <w:u w:val="single"/>
          <w:shd w:val="clear" w:color="auto" w:fill="00FFFF"/>
        </w:rPr>
        <w:t>losing position</w:t>
      </w:r>
      <w:r>
        <w:rPr>
          <w:rFonts w:ascii="Calibri" w:hAnsi="Calibri" w:cs="Calibri"/>
          <w:color w:val="000000"/>
          <w:sz w:val="22"/>
          <w:szCs w:val="22"/>
        </w:rPr>
        <w:t xml:space="preserve">. </w:t>
      </w:r>
      <w:r>
        <w:rPr>
          <w:rFonts w:ascii="Calibri" w:hAnsi="Calibri" w:cs="Calibri"/>
          <w:color w:val="000000"/>
          <w:sz w:val="22"/>
          <w:szCs w:val="22"/>
          <w:u w:val="single"/>
        </w:rPr>
        <w:t xml:space="preserve">Intrastate sports </w:t>
      </w:r>
      <w:r>
        <w:rPr>
          <w:rFonts w:ascii="Calibri" w:hAnsi="Calibri" w:cs="Calibri"/>
          <w:color w:val="000000"/>
          <w:sz w:val="22"/>
          <w:szCs w:val="22"/>
          <w:u w:val="single"/>
          <w:shd w:val="clear" w:color="auto" w:fill="00FFFF"/>
        </w:rPr>
        <w:t>gambling</w:t>
      </w:r>
      <w:r>
        <w:rPr>
          <w:rFonts w:ascii="Calibri" w:hAnsi="Calibri" w:cs="Calibri"/>
          <w:color w:val="000000"/>
          <w:sz w:val="22"/>
          <w:szCs w:val="22"/>
        </w:rPr>
        <w:t xml:space="preserve">, by definition, </w:t>
      </w:r>
      <w:r>
        <w:rPr>
          <w:rFonts w:ascii="Calibri" w:hAnsi="Calibri" w:cs="Calibri"/>
          <w:color w:val="000000"/>
          <w:sz w:val="22"/>
          <w:szCs w:val="22"/>
          <w:u w:val="single"/>
          <w:shd w:val="clear" w:color="auto" w:fill="00FFFF"/>
        </w:rPr>
        <w:t xml:space="preserve">occurs entirely </w:t>
      </w:r>
      <w:r>
        <w:rPr>
          <w:rFonts w:ascii="Calibri" w:hAnsi="Calibri" w:cs="Calibri"/>
          <w:b/>
          <w:bCs/>
          <w:color w:val="000000"/>
          <w:sz w:val="22"/>
          <w:szCs w:val="22"/>
          <w:u w:val="single"/>
          <w:shd w:val="clear" w:color="auto" w:fill="00FFFF"/>
        </w:rPr>
        <w:t>within the borders</w:t>
      </w:r>
      <w:r>
        <w:rPr>
          <w:rFonts w:ascii="Calibri" w:hAnsi="Calibri" w:cs="Calibri"/>
          <w:color w:val="000000"/>
          <w:sz w:val="22"/>
          <w:szCs w:val="22"/>
          <w:u w:val="single"/>
          <w:shd w:val="clear" w:color="auto" w:fill="00FFFF"/>
        </w:rPr>
        <w:t xml:space="preserve"> of a </w:t>
      </w:r>
      <w:r>
        <w:rPr>
          <w:rFonts w:ascii="Calibri" w:hAnsi="Calibri" w:cs="Calibri"/>
          <w:b/>
          <w:bCs/>
          <w:color w:val="000000"/>
          <w:sz w:val="22"/>
          <w:szCs w:val="22"/>
          <w:u w:val="single"/>
          <w:shd w:val="clear" w:color="auto" w:fill="00FFFF"/>
        </w:rPr>
        <w:t>given state</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It is </w:t>
      </w:r>
      <w:r>
        <w:rPr>
          <w:rFonts w:ascii="Calibri" w:hAnsi="Calibri" w:cs="Calibri"/>
          <w:b/>
          <w:bCs/>
          <w:color w:val="000000"/>
          <w:sz w:val="22"/>
          <w:szCs w:val="22"/>
          <w:u w:val="single"/>
          <w:shd w:val="clear" w:color="auto" w:fill="00FFFF"/>
        </w:rPr>
        <w:t>not interstate</w:t>
      </w:r>
      <w:r>
        <w:rPr>
          <w:rFonts w:ascii="Calibri" w:hAnsi="Calibri" w:cs="Calibri"/>
          <w:color w:val="000000"/>
          <w:sz w:val="22"/>
          <w:szCs w:val="22"/>
          <w:u w:val="single"/>
        </w:rPr>
        <w:t xml:space="preserve"> in nature</w:t>
      </w:r>
      <w:r>
        <w:rPr>
          <w:rFonts w:ascii="Calibri" w:hAnsi="Calibri" w:cs="Calibri"/>
          <w:color w:val="000000"/>
          <w:sz w:val="22"/>
          <w:szCs w:val="22"/>
        </w:rPr>
        <w:t xml:space="preserve">. Where it is legal and already occurring, </w:t>
      </w:r>
      <w:r>
        <w:rPr>
          <w:rFonts w:ascii="Calibri" w:hAnsi="Calibri" w:cs="Calibri"/>
          <w:color w:val="000000"/>
          <w:sz w:val="22"/>
          <w:szCs w:val="22"/>
          <w:u w:val="single"/>
        </w:rPr>
        <w:t xml:space="preserve">sports wagers must be made while </w:t>
      </w:r>
      <w:r>
        <w:rPr>
          <w:rFonts w:ascii="Calibri" w:hAnsi="Calibri" w:cs="Calibri"/>
          <w:b/>
          <w:bCs/>
          <w:color w:val="000000"/>
          <w:sz w:val="22"/>
          <w:szCs w:val="22"/>
          <w:u w:val="single"/>
        </w:rPr>
        <w:t>in the state</w:t>
      </w:r>
      <w:r>
        <w:rPr>
          <w:rFonts w:ascii="Calibri" w:hAnsi="Calibri" w:cs="Calibri"/>
          <w:color w:val="000000"/>
          <w:sz w:val="22"/>
          <w:szCs w:val="22"/>
        </w:rPr>
        <w:t>, either while physically at the sports-betting venue and/or (where online sports wagering is permitted) while using a computer or mobile device within the state. 34 </w:t>
      </w:r>
    </w:p>
    <w:p w14:paraId="35A4D680"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So, to make the interstate-commerce argument, one would necessarily have to make the case that intrastate-sports gambling is, at least to some material degree, interstate in nature. </w:t>
      </w:r>
      <w:r>
        <w:rPr>
          <w:rFonts w:ascii="Calibri" w:hAnsi="Calibri" w:cs="Calibri"/>
          <w:color w:val="000000"/>
          <w:sz w:val="22"/>
          <w:szCs w:val="22"/>
          <w:u w:val="single"/>
          <w:shd w:val="clear" w:color="auto" w:fill="00FFFF"/>
        </w:rPr>
        <w:t>Perhaps one would</w:t>
      </w:r>
      <w:r>
        <w:rPr>
          <w:rFonts w:ascii="Calibri" w:hAnsi="Calibri" w:cs="Calibri"/>
          <w:color w:val="000000"/>
          <w:sz w:val="22"/>
          <w:szCs w:val="22"/>
        </w:rPr>
        <w:t xml:space="preserve">, for example, </w:t>
      </w:r>
      <w:r>
        <w:rPr>
          <w:rFonts w:ascii="Calibri" w:hAnsi="Calibri" w:cs="Calibri"/>
          <w:color w:val="000000"/>
          <w:sz w:val="22"/>
          <w:szCs w:val="22"/>
          <w:u w:val="single"/>
          <w:shd w:val="clear" w:color="auto" w:fill="00FFFF"/>
        </w:rPr>
        <w:t xml:space="preserve">argue that people might </w:t>
      </w:r>
      <w:r>
        <w:rPr>
          <w:rFonts w:ascii="Calibri" w:hAnsi="Calibri" w:cs="Calibri"/>
          <w:b/>
          <w:bCs/>
          <w:color w:val="000000"/>
          <w:sz w:val="22"/>
          <w:szCs w:val="22"/>
          <w:u w:val="single"/>
          <w:shd w:val="clear" w:color="auto" w:fill="00FFFF"/>
        </w:rPr>
        <w:t>cross a state line</w:t>
      </w:r>
      <w:r>
        <w:rPr>
          <w:rFonts w:ascii="Calibri" w:hAnsi="Calibri" w:cs="Calibri"/>
          <w:color w:val="000000"/>
          <w:sz w:val="22"/>
          <w:szCs w:val="22"/>
        </w:rPr>
        <w:t xml:space="preserve">, </w:t>
      </w:r>
      <w:proofErr w:type="gramStart"/>
      <w:r>
        <w:rPr>
          <w:rFonts w:ascii="Calibri" w:hAnsi="Calibri" w:cs="Calibri"/>
          <w:color w:val="000000"/>
          <w:sz w:val="22"/>
          <w:szCs w:val="22"/>
        </w:rPr>
        <w:t>in order to</w:t>
      </w:r>
      <w:proofErr w:type="gramEnd"/>
      <w:r>
        <w:rPr>
          <w:rFonts w:ascii="Calibri" w:hAnsi="Calibri" w:cs="Calibri"/>
          <w:color w:val="000000"/>
          <w:sz w:val="22"/>
          <w:szCs w:val="22"/>
        </w:rPr>
        <w:t xml:space="preserve"> place a sports wager. </w:t>
      </w:r>
      <w:r>
        <w:rPr>
          <w:rFonts w:ascii="Calibri" w:hAnsi="Calibri" w:cs="Calibri"/>
          <w:color w:val="000000"/>
          <w:sz w:val="22"/>
          <w:szCs w:val="22"/>
          <w:u w:val="single"/>
          <w:shd w:val="clear" w:color="auto" w:fill="00FFFF"/>
        </w:rPr>
        <w:t xml:space="preserve">This would be </w:t>
      </w:r>
      <w:r>
        <w:rPr>
          <w:rFonts w:ascii="Calibri" w:hAnsi="Calibri" w:cs="Calibri"/>
          <w:b/>
          <w:bCs/>
          <w:color w:val="000000"/>
          <w:sz w:val="22"/>
          <w:szCs w:val="22"/>
          <w:u w:val="single"/>
          <w:shd w:val="clear" w:color="auto" w:fill="00FFFF"/>
        </w:rPr>
        <w:t>nowhere near sufficient to justify federal regulation</w:t>
      </w:r>
      <w:r>
        <w:rPr>
          <w:rFonts w:ascii="Calibri" w:hAnsi="Calibri" w:cs="Calibri"/>
          <w:color w:val="000000"/>
          <w:sz w:val="22"/>
          <w:szCs w:val="22"/>
          <w:u w:val="single"/>
        </w:rPr>
        <w:t xml:space="preserve"> per the ICC</w:t>
      </w:r>
      <w:r>
        <w:rPr>
          <w:rFonts w:ascii="Calibri" w:hAnsi="Calibri" w:cs="Calibri"/>
          <w:color w:val="000000"/>
          <w:sz w:val="22"/>
          <w:szCs w:val="22"/>
        </w:rPr>
        <w:t>. </w:t>
      </w:r>
    </w:p>
    <w:p w14:paraId="0FC5BBB4" w14:textId="77777777" w:rsidR="00B01139" w:rsidRDefault="00B01139" w:rsidP="00B01139">
      <w:pPr>
        <w:pStyle w:val="NormalWeb"/>
        <w:spacing w:before="0" w:beforeAutospacing="0" w:after="160" w:afterAutospacing="0"/>
      </w:pPr>
      <w:r>
        <w:rPr>
          <w:rFonts w:ascii="Calibri" w:hAnsi="Calibri" w:cs="Calibri"/>
          <w:color w:val="000000"/>
          <w:sz w:val="22"/>
          <w:szCs w:val="22"/>
        </w:rPr>
        <w:t>According to SCOTUS, </w:t>
      </w:r>
    </w:p>
    <w:p w14:paraId="2FBE9BA5" w14:textId="77777777" w:rsidR="00B01139" w:rsidRDefault="00B01139" w:rsidP="00B01139">
      <w:pPr>
        <w:pStyle w:val="NormalWeb"/>
        <w:spacing w:before="0" w:beforeAutospacing="0" w:after="160" w:afterAutospacing="0"/>
      </w:pPr>
      <w:r>
        <w:rPr>
          <w:rFonts w:ascii="Calibri" w:hAnsi="Calibri" w:cs="Calibri"/>
          <w:color w:val="000000"/>
          <w:sz w:val="22"/>
          <w:szCs w:val="22"/>
        </w:rPr>
        <w:t>there are three broad categories of activity that Congress may regulate under its commerce power. First, Congress may regulate the use of the channels of interstate commerce. Second, Congress is empowered to regulate and protect the instrumentalities of interstate commerce, or persons or things in interstate commerce, even though the threat may come only from intrastate activities. Finally, Congress’s commerce authority includes the power to regulate those activities having a substantial relation to interstate commerce, i.e., those activities that substantially affect interstate commerce.35 </w:t>
      </w:r>
    </w:p>
    <w:p w14:paraId="3E65C5B5" w14:textId="77777777" w:rsidR="00B01139" w:rsidRDefault="00B01139" w:rsidP="00B01139">
      <w:pPr>
        <w:pStyle w:val="NormalWeb"/>
        <w:spacing w:before="0" w:beforeAutospacing="0" w:after="160" w:afterAutospacing="0"/>
      </w:pPr>
      <w:r>
        <w:rPr>
          <w:rFonts w:ascii="Calibri" w:hAnsi="Calibri" w:cs="Calibri"/>
          <w:color w:val="000000"/>
          <w:sz w:val="22"/>
          <w:szCs w:val="22"/>
          <w:u w:val="single"/>
        </w:rPr>
        <w:t>None of these</w:t>
      </w:r>
      <w:r>
        <w:rPr>
          <w:rFonts w:ascii="Calibri" w:hAnsi="Calibri" w:cs="Calibri"/>
          <w:color w:val="000000"/>
          <w:sz w:val="22"/>
          <w:szCs w:val="22"/>
        </w:rPr>
        <w:t xml:space="preserve"> three </w:t>
      </w:r>
      <w:r>
        <w:rPr>
          <w:rFonts w:ascii="Calibri" w:hAnsi="Calibri" w:cs="Calibri"/>
          <w:color w:val="000000"/>
          <w:sz w:val="22"/>
          <w:szCs w:val="22"/>
          <w:u w:val="single"/>
        </w:rPr>
        <w:t xml:space="preserve">categories gives the U.S. Congress a </w:t>
      </w:r>
      <w:r>
        <w:rPr>
          <w:rFonts w:ascii="Calibri" w:hAnsi="Calibri" w:cs="Calibri"/>
          <w:b/>
          <w:bCs/>
          <w:color w:val="000000"/>
          <w:sz w:val="22"/>
          <w:szCs w:val="22"/>
          <w:u w:val="single"/>
        </w:rPr>
        <w:t>legitimate basis</w:t>
      </w:r>
      <w:r>
        <w:rPr>
          <w:rFonts w:ascii="Calibri" w:hAnsi="Calibri" w:cs="Calibri"/>
          <w:color w:val="000000"/>
          <w:sz w:val="22"/>
          <w:szCs w:val="22"/>
          <w:u w:val="single"/>
        </w:rPr>
        <w:t xml:space="preserve"> for interstate-commerce regulation of intrastate sports gambling</w:t>
      </w:r>
      <w:r>
        <w:rPr>
          <w:rFonts w:ascii="Calibri" w:hAnsi="Calibri" w:cs="Calibri"/>
          <w:color w:val="000000"/>
          <w:sz w:val="22"/>
          <w:szCs w:val="22"/>
        </w:rPr>
        <w:t xml:space="preserve">, </w:t>
      </w:r>
      <w:r>
        <w:rPr>
          <w:rFonts w:ascii="Calibri" w:hAnsi="Calibri" w:cs="Calibri"/>
          <w:color w:val="000000"/>
          <w:sz w:val="22"/>
          <w:szCs w:val="22"/>
          <w:u w:val="single"/>
        </w:rPr>
        <w:t xml:space="preserve">and </w:t>
      </w:r>
      <w:r>
        <w:rPr>
          <w:rFonts w:ascii="Calibri" w:hAnsi="Calibri" w:cs="Calibri"/>
          <w:b/>
          <w:bCs/>
          <w:color w:val="000000"/>
          <w:sz w:val="22"/>
          <w:szCs w:val="22"/>
          <w:u w:val="single"/>
          <w:shd w:val="clear" w:color="auto" w:fill="00FFFF"/>
        </w:rPr>
        <w:t>neither</w:t>
      </w:r>
      <w:r>
        <w:rPr>
          <w:rFonts w:ascii="Calibri" w:hAnsi="Calibri" w:cs="Calibri"/>
          <w:color w:val="000000"/>
          <w:sz w:val="22"/>
          <w:szCs w:val="22"/>
          <w:u w:val="single"/>
          <w:shd w:val="clear" w:color="auto" w:fill="00FFFF"/>
        </w:rPr>
        <w:t xml:space="preserve"> would</w:t>
      </w:r>
      <w:r>
        <w:rPr>
          <w:rFonts w:ascii="Calibri" w:hAnsi="Calibri" w:cs="Calibri"/>
          <w:color w:val="000000"/>
          <w:sz w:val="22"/>
          <w:szCs w:val="22"/>
          <w:u w:val="single"/>
        </w:rPr>
        <w:t xml:space="preserve"> other </w:t>
      </w:r>
      <w:r>
        <w:rPr>
          <w:rFonts w:ascii="Calibri" w:hAnsi="Calibri" w:cs="Calibri"/>
          <w:b/>
          <w:bCs/>
          <w:color w:val="000000"/>
          <w:sz w:val="22"/>
          <w:szCs w:val="22"/>
          <w:u w:val="single"/>
          <w:shd w:val="clear" w:color="auto" w:fill="00FFFF"/>
        </w:rPr>
        <w:t>attempts to frame intrastate sports wagering as commercially-interstate</w:t>
      </w:r>
      <w:r>
        <w:rPr>
          <w:rFonts w:ascii="Calibri" w:hAnsi="Calibri" w:cs="Calibri"/>
          <w:color w:val="000000"/>
          <w:sz w:val="22"/>
          <w:szCs w:val="22"/>
          <w:u w:val="single"/>
        </w:rPr>
        <w:t xml:space="preserve"> in nature</w:t>
      </w:r>
      <w:r>
        <w:rPr>
          <w:rFonts w:ascii="Calibri" w:hAnsi="Calibri" w:cs="Calibri"/>
          <w:color w:val="000000"/>
          <w:sz w:val="22"/>
          <w:szCs w:val="22"/>
        </w:rPr>
        <w:t>. A closer examination of each of the three justifications for the federal government’s interstate-commerce power is in order.</w:t>
      </w:r>
    </w:p>
    <w:p w14:paraId="00C5CB67" w14:textId="77777777" w:rsidR="00B01139" w:rsidRDefault="00B01139" w:rsidP="00B01139"/>
    <w:p w14:paraId="3F18D7EE" w14:textId="77777777" w:rsidR="00B01139" w:rsidRDefault="00B01139" w:rsidP="00B01139">
      <w:pPr>
        <w:pStyle w:val="Heading4"/>
      </w:pPr>
      <w:r>
        <w:rPr>
          <w:rFonts w:cs="Calibri"/>
          <w:color w:val="000000"/>
          <w:szCs w:val="26"/>
        </w:rPr>
        <w:t>Nor does it “</w:t>
      </w:r>
      <w:r>
        <w:rPr>
          <w:rFonts w:cs="Calibri"/>
          <w:color w:val="000000"/>
          <w:szCs w:val="26"/>
          <w:u w:val="single"/>
        </w:rPr>
        <w:t>substantially relate</w:t>
      </w:r>
      <w:r>
        <w:rPr>
          <w:rFonts w:cs="Calibri"/>
          <w:color w:val="000000"/>
          <w:szCs w:val="26"/>
        </w:rPr>
        <w:t xml:space="preserve">” to interstate commerce. Federal regulation </w:t>
      </w:r>
      <w:r>
        <w:rPr>
          <w:rFonts w:cs="Calibri"/>
          <w:color w:val="000000"/>
          <w:szCs w:val="26"/>
          <w:u w:val="single"/>
        </w:rPr>
        <w:t>undermines</w:t>
      </w:r>
      <w:r>
        <w:rPr>
          <w:rFonts w:cs="Calibri"/>
          <w:color w:val="000000"/>
          <w:szCs w:val="26"/>
        </w:rPr>
        <w:t xml:space="preserve"> separation of powers.</w:t>
      </w:r>
    </w:p>
    <w:p w14:paraId="37209111" w14:textId="77777777" w:rsidR="00B01139" w:rsidRDefault="00B01139" w:rsidP="00B01139">
      <w:pPr>
        <w:pStyle w:val="NormalWeb"/>
        <w:spacing w:before="0" w:beforeAutospacing="0" w:after="160" w:afterAutospacing="0"/>
      </w:pPr>
      <w:r>
        <w:rPr>
          <w:rFonts w:ascii="Calibri" w:hAnsi="Calibri" w:cs="Calibri"/>
          <w:b/>
          <w:bCs/>
          <w:color w:val="000000"/>
          <w:sz w:val="26"/>
          <w:szCs w:val="26"/>
        </w:rPr>
        <w:t>Thornley 20</w:t>
      </w:r>
      <w:r>
        <w:rPr>
          <w:rFonts w:ascii="Calibri" w:hAnsi="Calibri" w:cs="Calibri"/>
          <w:color w:val="000000"/>
          <w:sz w:val="22"/>
          <w:szCs w:val="22"/>
        </w:rPr>
        <w:t xml:space="preserve"> – Drew Thornley is Assistant Professor of Legal Studies, Stephen F. Austin State University. (“A CASE AGAINST FEDERAL REGULATION OF INTRASTATE SPORTS WAGERING,” Fall 2020, pg. 104-107)</w:t>
      </w:r>
    </w:p>
    <w:p w14:paraId="176A6E7A"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By contrast, </w:t>
      </w:r>
      <w:r>
        <w:rPr>
          <w:rFonts w:ascii="Calibri" w:hAnsi="Calibri" w:cs="Calibri"/>
          <w:color w:val="000000"/>
          <w:sz w:val="22"/>
          <w:szCs w:val="22"/>
          <w:u w:val="single"/>
          <w:shd w:val="clear" w:color="auto" w:fill="00FFFF"/>
        </w:rPr>
        <w:t xml:space="preserve">intrastate sports wagering involves </w:t>
      </w:r>
      <w:r>
        <w:rPr>
          <w:rFonts w:ascii="Calibri" w:hAnsi="Calibri" w:cs="Calibri"/>
          <w:b/>
          <w:bCs/>
          <w:color w:val="000000"/>
          <w:sz w:val="22"/>
          <w:szCs w:val="22"/>
          <w:u w:val="single"/>
          <w:shd w:val="clear" w:color="auto" w:fill="00FFFF"/>
        </w:rPr>
        <w:t>private transactions</w:t>
      </w:r>
      <w:r>
        <w:rPr>
          <w:rFonts w:ascii="Calibri" w:hAnsi="Calibri" w:cs="Calibri"/>
          <w:color w:val="000000"/>
          <w:sz w:val="22"/>
          <w:szCs w:val="22"/>
        </w:rPr>
        <w:t xml:space="preserve"> (contracts) </w:t>
      </w:r>
      <w:r>
        <w:rPr>
          <w:rFonts w:ascii="Calibri" w:hAnsi="Calibri" w:cs="Calibri"/>
          <w:color w:val="000000"/>
          <w:sz w:val="22"/>
          <w:szCs w:val="22"/>
          <w:u w:val="single"/>
        </w:rPr>
        <w:t>between bettors and sports-wagering operators within the same state</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FF"/>
        </w:rPr>
        <w:t>It does not involve goods</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FF"/>
        </w:rPr>
        <w:t>It does not relate to employment conditions</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It </w:t>
      </w:r>
      <w:r>
        <w:rPr>
          <w:rFonts w:ascii="Calibri" w:hAnsi="Calibri" w:cs="Calibri"/>
          <w:b/>
          <w:bCs/>
          <w:color w:val="000000"/>
          <w:sz w:val="22"/>
          <w:szCs w:val="22"/>
          <w:u w:val="single"/>
          <w:shd w:val="clear" w:color="auto" w:fill="00FFFF"/>
        </w:rPr>
        <w:t>does not involve</w:t>
      </w:r>
      <w:r>
        <w:rPr>
          <w:rFonts w:ascii="Calibri" w:hAnsi="Calibri" w:cs="Calibri"/>
          <w:color w:val="000000"/>
          <w:sz w:val="22"/>
          <w:szCs w:val="22"/>
          <w:u w:val="single"/>
          <w:shd w:val="clear" w:color="auto" w:fill="00FFFF"/>
        </w:rPr>
        <w:t xml:space="preserve"> a </w:t>
      </w:r>
      <w:r>
        <w:rPr>
          <w:rFonts w:ascii="Calibri" w:hAnsi="Calibri" w:cs="Calibri"/>
          <w:b/>
          <w:bCs/>
          <w:color w:val="000000"/>
          <w:sz w:val="22"/>
          <w:szCs w:val="22"/>
          <w:u w:val="single"/>
          <w:shd w:val="clear" w:color="auto" w:fill="00FFFF"/>
        </w:rPr>
        <w:t>private monopoly</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FF"/>
        </w:rPr>
        <w:t>price-fixing</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or </w:t>
      </w:r>
      <w:r>
        <w:rPr>
          <w:rFonts w:ascii="Calibri" w:hAnsi="Calibri" w:cs="Calibri"/>
          <w:b/>
          <w:bCs/>
          <w:color w:val="000000"/>
          <w:sz w:val="22"/>
          <w:szCs w:val="22"/>
          <w:u w:val="single"/>
          <w:shd w:val="clear" w:color="auto" w:fill="00FFFF"/>
        </w:rPr>
        <w:t>anything</w:t>
      </w:r>
      <w:r>
        <w:rPr>
          <w:rFonts w:ascii="Calibri" w:hAnsi="Calibri" w:cs="Calibri"/>
          <w:b/>
          <w:bCs/>
          <w:color w:val="000000"/>
          <w:sz w:val="22"/>
          <w:szCs w:val="22"/>
          <w:u w:val="single"/>
        </w:rPr>
        <w:t xml:space="preserve"> else </w:t>
      </w:r>
      <w:r>
        <w:rPr>
          <w:rFonts w:ascii="Calibri" w:hAnsi="Calibri" w:cs="Calibri"/>
          <w:b/>
          <w:bCs/>
          <w:color w:val="000000"/>
          <w:sz w:val="22"/>
          <w:szCs w:val="22"/>
          <w:u w:val="single"/>
          <w:shd w:val="clear" w:color="auto" w:fill="00FFFF"/>
        </w:rPr>
        <w:t>illegal</w:t>
      </w:r>
      <w:r>
        <w:rPr>
          <w:rFonts w:ascii="Calibri" w:hAnsi="Calibri" w:cs="Calibri"/>
          <w:color w:val="000000"/>
          <w:sz w:val="22"/>
          <w:szCs w:val="22"/>
          <w:u w:val="single"/>
        </w:rPr>
        <w:t xml:space="preserve"> per federal law</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It </w:t>
      </w:r>
      <w:r>
        <w:rPr>
          <w:rFonts w:ascii="Calibri" w:hAnsi="Calibri" w:cs="Calibri"/>
          <w:b/>
          <w:bCs/>
          <w:color w:val="000000"/>
          <w:sz w:val="22"/>
          <w:szCs w:val="22"/>
          <w:u w:val="single"/>
          <w:shd w:val="clear" w:color="auto" w:fill="00FFFF"/>
        </w:rPr>
        <w:t>does not interfere</w:t>
      </w:r>
      <w:r>
        <w:rPr>
          <w:rFonts w:ascii="Calibri" w:hAnsi="Calibri" w:cs="Calibri"/>
          <w:color w:val="000000"/>
          <w:sz w:val="22"/>
          <w:szCs w:val="22"/>
          <w:u w:val="single"/>
          <w:shd w:val="clear" w:color="auto" w:fill="00FFFF"/>
        </w:rPr>
        <w:t xml:space="preserve"> with any federal statutory scheme</w:t>
      </w:r>
      <w:r>
        <w:rPr>
          <w:rFonts w:ascii="Calibri" w:hAnsi="Calibri" w:cs="Calibri"/>
          <w:color w:val="000000"/>
          <w:sz w:val="22"/>
          <w:szCs w:val="22"/>
          <w:u w:val="single"/>
        </w:rPr>
        <w:t xml:space="preserve"> or burden or obstruct interstate commerce</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Intrastate sports wagering is </w:t>
      </w:r>
      <w:r>
        <w:rPr>
          <w:rFonts w:ascii="Calibri" w:hAnsi="Calibri" w:cs="Calibri"/>
          <w:b/>
          <w:bCs/>
          <w:color w:val="000000"/>
          <w:sz w:val="22"/>
          <w:szCs w:val="22"/>
          <w:u w:val="single"/>
          <w:shd w:val="clear" w:color="auto" w:fill="00FFFF"/>
        </w:rPr>
        <w:t>just that</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FF"/>
        </w:rPr>
        <w:t>intrastate sports wagering</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Bets are </w:t>
      </w:r>
      <w:r>
        <w:rPr>
          <w:rFonts w:ascii="Calibri" w:hAnsi="Calibri" w:cs="Calibri"/>
          <w:b/>
          <w:bCs/>
          <w:color w:val="000000"/>
          <w:sz w:val="22"/>
          <w:szCs w:val="22"/>
          <w:u w:val="single"/>
          <w:shd w:val="clear" w:color="auto" w:fill="00FFFF"/>
        </w:rPr>
        <w:t>placed</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received</w:t>
      </w:r>
      <w:r>
        <w:rPr>
          <w:rFonts w:ascii="Calibri" w:hAnsi="Calibri" w:cs="Calibri"/>
          <w:color w:val="000000"/>
          <w:sz w:val="22"/>
          <w:szCs w:val="22"/>
          <w:u w:val="single"/>
          <w:shd w:val="clear" w:color="auto" w:fill="00FFFF"/>
        </w:rPr>
        <w:t xml:space="preserve"> in the </w:t>
      </w:r>
      <w:r>
        <w:rPr>
          <w:rFonts w:ascii="Calibri" w:hAnsi="Calibri" w:cs="Calibri"/>
          <w:b/>
          <w:bCs/>
          <w:color w:val="000000"/>
          <w:sz w:val="22"/>
          <w:szCs w:val="22"/>
          <w:u w:val="single"/>
          <w:shd w:val="clear" w:color="auto" w:fill="00FFFF"/>
        </w:rPr>
        <w:t>same state</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FF"/>
        </w:rPr>
        <w:t>No transactions</w:t>
      </w:r>
      <w:r>
        <w:rPr>
          <w:rFonts w:ascii="Calibri" w:hAnsi="Calibri" w:cs="Calibri"/>
          <w:color w:val="000000"/>
          <w:sz w:val="22"/>
          <w:szCs w:val="22"/>
          <w:u w:val="single"/>
          <w:shd w:val="clear" w:color="auto" w:fill="00FFFF"/>
        </w:rPr>
        <w:t xml:space="preserve"> involve</w:t>
      </w:r>
      <w:r>
        <w:rPr>
          <w:rFonts w:ascii="Calibri" w:hAnsi="Calibri" w:cs="Calibri"/>
          <w:color w:val="000000"/>
          <w:sz w:val="22"/>
          <w:szCs w:val="22"/>
          <w:u w:val="single"/>
        </w:rPr>
        <w:t xml:space="preserve"> parties located in </w:t>
      </w:r>
      <w:r>
        <w:rPr>
          <w:rFonts w:ascii="Calibri" w:hAnsi="Calibri" w:cs="Calibri"/>
          <w:b/>
          <w:bCs/>
          <w:color w:val="000000"/>
          <w:sz w:val="22"/>
          <w:szCs w:val="22"/>
          <w:u w:val="single"/>
          <w:shd w:val="clear" w:color="auto" w:fill="00FFFF"/>
        </w:rPr>
        <w:t>different states</w:t>
      </w:r>
      <w:r>
        <w:rPr>
          <w:rFonts w:ascii="Calibri" w:hAnsi="Calibri" w:cs="Calibri"/>
          <w:color w:val="000000"/>
          <w:sz w:val="22"/>
          <w:szCs w:val="22"/>
        </w:rPr>
        <w:t xml:space="preserve">. Nothing about the private betting transactions within any state that has legalized sports wagering within that state impacts commerce between or among states. In short, </w:t>
      </w:r>
      <w:r>
        <w:rPr>
          <w:rFonts w:ascii="Calibri" w:hAnsi="Calibri" w:cs="Calibri"/>
          <w:b/>
          <w:bCs/>
          <w:color w:val="000000"/>
          <w:sz w:val="22"/>
          <w:szCs w:val="22"/>
          <w:u w:val="single"/>
          <w:shd w:val="clear" w:color="auto" w:fill="00FFFF"/>
        </w:rPr>
        <w:t>it does not substantially affect interstate commerce</w:t>
      </w:r>
      <w:r>
        <w:rPr>
          <w:rFonts w:ascii="Calibri" w:hAnsi="Calibri" w:cs="Calibri"/>
          <w:color w:val="000000"/>
          <w:sz w:val="22"/>
          <w:szCs w:val="22"/>
        </w:rPr>
        <w:t>. </w:t>
      </w:r>
    </w:p>
    <w:p w14:paraId="691D0A85"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As such, </w:t>
      </w:r>
      <w:r>
        <w:rPr>
          <w:rFonts w:ascii="Calibri" w:hAnsi="Calibri" w:cs="Calibri"/>
          <w:color w:val="000000"/>
          <w:sz w:val="22"/>
          <w:szCs w:val="22"/>
          <w:u w:val="single"/>
        </w:rPr>
        <w:t xml:space="preserve">any </w:t>
      </w:r>
      <w:r>
        <w:rPr>
          <w:rFonts w:ascii="Calibri" w:hAnsi="Calibri" w:cs="Calibri"/>
          <w:b/>
          <w:bCs/>
          <w:color w:val="000000"/>
          <w:sz w:val="22"/>
          <w:szCs w:val="22"/>
          <w:u w:val="single"/>
          <w:shd w:val="clear" w:color="auto" w:fill="00FFFF"/>
        </w:rPr>
        <w:t>efforts to reframe</w:t>
      </w:r>
      <w:r>
        <w:rPr>
          <w:rFonts w:ascii="Calibri" w:hAnsi="Calibri" w:cs="Calibri"/>
          <w:color w:val="000000"/>
          <w:sz w:val="22"/>
          <w:szCs w:val="22"/>
          <w:u w:val="single"/>
        </w:rPr>
        <w:t xml:space="preserve"> purely intrastate wagering as interstate wagering</w:t>
      </w:r>
      <w:r>
        <w:rPr>
          <w:rFonts w:ascii="Calibri" w:hAnsi="Calibri" w:cs="Calibri"/>
          <w:color w:val="000000"/>
          <w:sz w:val="22"/>
          <w:szCs w:val="22"/>
        </w:rPr>
        <w:t xml:space="preserve">, </w:t>
      </w:r>
      <w:proofErr w:type="gramStart"/>
      <w:r>
        <w:rPr>
          <w:rFonts w:ascii="Calibri" w:hAnsi="Calibri" w:cs="Calibri"/>
          <w:color w:val="000000"/>
          <w:sz w:val="22"/>
          <w:szCs w:val="22"/>
        </w:rPr>
        <w:t>in order to</w:t>
      </w:r>
      <w:proofErr w:type="gramEnd"/>
      <w:r>
        <w:rPr>
          <w:rFonts w:ascii="Calibri" w:hAnsi="Calibri" w:cs="Calibri"/>
          <w:color w:val="000000"/>
          <w:sz w:val="22"/>
          <w:szCs w:val="22"/>
        </w:rPr>
        <w:t xml:space="preserve"> bring it within the reach of the Wire Act, the UIGEA, or any other current or potential federal law </w:t>
      </w:r>
      <w:r>
        <w:rPr>
          <w:rFonts w:ascii="Calibri" w:hAnsi="Calibri" w:cs="Calibri"/>
          <w:b/>
          <w:bCs/>
          <w:color w:val="000000"/>
          <w:sz w:val="22"/>
          <w:szCs w:val="22"/>
          <w:u w:val="single"/>
          <w:shd w:val="clear" w:color="auto" w:fill="00FFFF"/>
        </w:rPr>
        <w:t>should be resisted</w:t>
      </w:r>
      <w:r>
        <w:rPr>
          <w:rFonts w:ascii="Calibri" w:hAnsi="Calibri" w:cs="Calibri"/>
          <w:color w:val="000000"/>
          <w:sz w:val="22"/>
          <w:szCs w:val="22"/>
        </w:rPr>
        <w:t xml:space="preserve">. </w:t>
      </w:r>
      <w:r>
        <w:rPr>
          <w:rFonts w:ascii="Calibri" w:hAnsi="Calibri" w:cs="Calibri"/>
          <w:color w:val="000000"/>
          <w:sz w:val="22"/>
          <w:szCs w:val="22"/>
          <w:u w:val="single"/>
        </w:rPr>
        <w:t>If such lines of reasoning are used to justify a finding of interstate commerce</w:t>
      </w:r>
      <w:r>
        <w:rPr>
          <w:rFonts w:ascii="Calibri" w:hAnsi="Calibri" w:cs="Calibri"/>
          <w:color w:val="000000"/>
          <w:sz w:val="22"/>
          <w:szCs w:val="22"/>
        </w:rPr>
        <w:t xml:space="preserve">, </w:t>
      </w:r>
      <w:r>
        <w:rPr>
          <w:rFonts w:ascii="Calibri" w:hAnsi="Calibri" w:cs="Calibri"/>
          <w:color w:val="000000"/>
          <w:sz w:val="22"/>
          <w:szCs w:val="22"/>
          <w:u w:val="single"/>
        </w:rPr>
        <w:t xml:space="preserve">then </w:t>
      </w:r>
      <w:r>
        <w:rPr>
          <w:rFonts w:ascii="Calibri" w:hAnsi="Calibri" w:cs="Calibri"/>
          <w:color w:val="000000"/>
          <w:sz w:val="22"/>
          <w:szCs w:val="22"/>
          <w:u w:val="single"/>
          <w:shd w:val="clear" w:color="auto" w:fill="00FFFF"/>
        </w:rPr>
        <w:t xml:space="preserve">it is </w:t>
      </w:r>
      <w:r>
        <w:rPr>
          <w:rFonts w:ascii="Calibri" w:hAnsi="Calibri" w:cs="Calibri"/>
          <w:b/>
          <w:bCs/>
          <w:color w:val="000000"/>
          <w:sz w:val="22"/>
          <w:szCs w:val="22"/>
          <w:u w:val="single"/>
          <w:shd w:val="clear" w:color="auto" w:fill="00FFFF"/>
        </w:rPr>
        <w:t>hard to imagine any activity that would be off-limits</w:t>
      </w:r>
      <w:r>
        <w:rPr>
          <w:rFonts w:ascii="Calibri" w:hAnsi="Calibri" w:cs="Calibri"/>
          <w:color w:val="000000"/>
          <w:sz w:val="22"/>
          <w:szCs w:val="22"/>
          <w:u w:val="single"/>
          <w:shd w:val="clear" w:color="auto" w:fill="00FFFF"/>
        </w:rPr>
        <w:t xml:space="preserve"> to</w:t>
      </w:r>
      <w:r>
        <w:rPr>
          <w:rFonts w:ascii="Calibri" w:hAnsi="Calibri" w:cs="Calibri"/>
          <w:color w:val="000000"/>
          <w:sz w:val="22"/>
          <w:szCs w:val="22"/>
          <w:u w:val="single"/>
        </w:rPr>
        <w:t xml:space="preserve"> interstate-commerce </w:t>
      </w:r>
      <w:r>
        <w:rPr>
          <w:rFonts w:ascii="Calibri" w:hAnsi="Calibri" w:cs="Calibri"/>
          <w:color w:val="000000"/>
          <w:sz w:val="22"/>
          <w:szCs w:val="22"/>
          <w:u w:val="single"/>
          <w:shd w:val="clear" w:color="auto" w:fill="00FFFF"/>
        </w:rPr>
        <w:t>regulation</w:t>
      </w:r>
      <w:r>
        <w:rPr>
          <w:rFonts w:ascii="Calibri" w:hAnsi="Calibri" w:cs="Calibri"/>
          <w:color w:val="000000"/>
          <w:sz w:val="22"/>
          <w:szCs w:val="22"/>
        </w:rPr>
        <w:t xml:space="preserve">, especially given that we live in the age of the internet.66 Further </w:t>
      </w:r>
      <w:r>
        <w:rPr>
          <w:rFonts w:ascii="Calibri" w:hAnsi="Calibri" w:cs="Calibri"/>
          <w:color w:val="000000"/>
          <w:sz w:val="22"/>
          <w:szCs w:val="22"/>
          <w:u w:val="single"/>
        </w:rPr>
        <w:t>expansion of the federal government’s interstate-commerce powers</w:t>
      </w:r>
      <w:r>
        <w:rPr>
          <w:rFonts w:ascii="Calibri" w:hAnsi="Calibri" w:cs="Calibri"/>
          <w:color w:val="000000"/>
          <w:sz w:val="22"/>
          <w:szCs w:val="22"/>
        </w:rPr>
        <w:t xml:space="preserve">, particularly of this magnitude, </w:t>
      </w:r>
      <w:r>
        <w:rPr>
          <w:rFonts w:ascii="Calibri" w:hAnsi="Calibri" w:cs="Calibri"/>
          <w:color w:val="000000"/>
          <w:sz w:val="22"/>
          <w:szCs w:val="22"/>
          <w:u w:val="single"/>
        </w:rPr>
        <w:t>should not be entertained</w:t>
      </w:r>
      <w:r>
        <w:rPr>
          <w:rFonts w:ascii="Calibri" w:hAnsi="Calibri" w:cs="Calibri"/>
          <w:color w:val="000000"/>
          <w:sz w:val="22"/>
          <w:szCs w:val="22"/>
        </w:rPr>
        <w:t xml:space="preserve">, </w:t>
      </w:r>
      <w:r>
        <w:rPr>
          <w:rFonts w:ascii="Calibri" w:hAnsi="Calibri" w:cs="Calibri"/>
          <w:color w:val="000000"/>
          <w:sz w:val="22"/>
          <w:szCs w:val="22"/>
          <w:u w:val="single"/>
        </w:rPr>
        <w:t xml:space="preserve">if the </w:t>
      </w:r>
      <w:r>
        <w:rPr>
          <w:rFonts w:ascii="Calibri" w:hAnsi="Calibri" w:cs="Calibri"/>
          <w:b/>
          <w:bCs/>
          <w:color w:val="000000"/>
          <w:sz w:val="22"/>
          <w:szCs w:val="22"/>
          <w:u w:val="single"/>
        </w:rPr>
        <w:t>Tenth Amendment</w:t>
      </w:r>
      <w:r>
        <w:rPr>
          <w:rFonts w:ascii="Calibri" w:hAnsi="Calibri" w:cs="Calibri"/>
          <w:color w:val="000000"/>
          <w:sz w:val="22"/>
          <w:szCs w:val="22"/>
          <w:u w:val="single"/>
        </w:rPr>
        <w:t xml:space="preserve"> is to have any meaning at all</w:t>
      </w:r>
      <w:r>
        <w:rPr>
          <w:rFonts w:ascii="Calibri" w:hAnsi="Calibri" w:cs="Calibri"/>
          <w:color w:val="000000"/>
          <w:sz w:val="22"/>
          <w:szCs w:val="22"/>
        </w:rPr>
        <w:t xml:space="preserve">. The federal government should heed the first sentence of Justice Thomas’s Gonzales v Raich dissent: “Respondents Diane Monson and Angel Raich use marijuana that has never been bought or sold, that has never crossed state lines, and that has had no demonstrable effect on the national market for marijuana. </w:t>
      </w:r>
      <w:r>
        <w:rPr>
          <w:rFonts w:ascii="Calibri" w:hAnsi="Calibri" w:cs="Calibri"/>
          <w:color w:val="000000"/>
          <w:sz w:val="22"/>
          <w:szCs w:val="22"/>
          <w:u w:val="single"/>
          <w:shd w:val="clear" w:color="auto" w:fill="00FFFF"/>
        </w:rPr>
        <w:t>If Congress can regulate this</w:t>
      </w:r>
      <w:r>
        <w:rPr>
          <w:rFonts w:ascii="Calibri" w:hAnsi="Calibri" w:cs="Calibri"/>
          <w:color w:val="000000"/>
          <w:sz w:val="22"/>
          <w:szCs w:val="22"/>
        </w:rPr>
        <w:t xml:space="preserve"> under the Commerce Clause, </w:t>
      </w:r>
      <w:r>
        <w:rPr>
          <w:rFonts w:ascii="Calibri" w:hAnsi="Calibri" w:cs="Calibri"/>
          <w:color w:val="000000"/>
          <w:sz w:val="22"/>
          <w:szCs w:val="22"/>
          <w:u w:val="single"/>
        </w:rPr>
        <w:t>then it can regulate virtually anything</w:t>
      </w:r>
      <w:r>
        <w:rPr>
          <w:rFonts w:ascii="Calibri" w:hAnsi="Calibri" w:cs="Calibri"/>
          <w:color w:val="000000"/>
          <w:sz w:val="22"/>
          <w:szCs w:val="22"/>
        </w:rPr>
        <w:t>—</w:t>
      </w:r>
      <w:r>
        <w:rPr>
          <w:rFonts w:ascii="Calibri" w:hAnsi="Calibri" w:cs="Calibri"/>
          <w:color w:val="000000"/>
          <w:sz w:val="22"/>
          <w:szCs w:val="22"/>
          <w:u w:val="single"/>
        </w:rPr>
        <w:t xml:space="preserve">and </w:t>
      </w:r>
      <w:r>
        <w:rPr>
          <w:rFonts w:ascii="Calibri" w:hAnsi="Calibri" w:cs="Calibri"/>
          <w:color w:val="000000"/>
          <w:sz w:val="22"/>
          <w:szCs w:val="22"/>
          <w:u w:val="single"/>
          <w:shd w:val="clear" w:color="auto" w:fill="00FFFF"/>
        </w:rPr>
        <w:t xml:space="preserve">the </w:t>
      </w:r>
      <w:r>
        <w:rPr>
          <w:rFonts w:ascii="Calibri" w:hAnsi="Calibri" w:cs="Calibri"/>
          <w:b/>
          <w:bCs/>
          <w:color w:val="000000"/>
          <w:sz w:val="22"/>
          <w:szCs w:val="22"/>
          <w:u w:val="single"/>
          <w:shd w:val="clear" w:color="auto" w:fill="00FFFF"/>
        </w:rPr>
        <w:t>Federal Government</w:t>
      </w:r>
      <w:r>
        <w:rPr>
          <w:rFonts w:ascii="Calibri" w:hAnsi="Calibri" w:cs="Calibri"/>
          <w:color w:val="000000"/>
          <w:sz w:val="22"/>
          <w:szCs w:val="22"/>
          <w:u w:val="single"/>
          <w:shd w:val="clear" w:color="auto" w:fill="00FFFF"/>
        </w:rPr>
        <w:t xml:space="preserve"> is </w:t>
      </w:r>
      <w:r>
        <w:rPr>
          <w:rFonts w:ascii="Calibri" w:hAnsi="Calibri" w:cs="Calibri"/>
          <w:b/>
          <w:bCs/>
          <w:color w:val="000000"/>
          <w:sz w:val="22"/>
          <w:szCs w:val="22"/>
          <w:u w:val="single"/>
          <w:shd w:val="clear" w:color="auto" w:fill="00FFFF"/>
        </w:rPr>
        <w:t>no longer</w:t>
      </w:r>
      <w:r>
        <w:rPr>
          <w:rFonts w:ascii="Calibri" w:hAnsi="Calibri" w:cs="Calibri"/>
          <w:color w:val="000000"/>
          <w:sz w:val="22"/>
          <w:szCs w:val="22"/>
          <w:u w:val="single"/>
          <w:shd w:val="clear" w:color="auto" w:fill="00FFFF"/>
        </w:rPr>
        <w:t xml:space="preserve"> one of </w:t>
      </w:r>
      <w:r>
        <w:rPr>
          <w:rFonts w:ascii="Calibri" w:hAnsi="Calibri" w:cs="Calibri"/>
          <w:b/>
          <w:bCs/>
          <w:color w:val="000000"/>
          <w:sz w:val="22"/>
          <w:szCs w:val="22"/>
          <w:u w:val="single"/>
          <w:shd w:val="clear" w:color="auto" w:fill="00FFFF"/>
        </w:rPr>
        <w:t>limited</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enumerated powers</w:t>
      </w:r>
      <w:r>
        <w:rPr>
          <w:rFonts w:ascii="Calibri" w:hAnsi="Calibri" w:cs="Calibri"/>
          <w:color w:val="000000"/>
          <w:sz w:val="22"/>
          <w:szCs w:val="22"/>
        </w:rPr>
        <w:t>.”67</w:t>
      </w:r>
    </w:p>
    <w:p w14:paraId="1A29861B" w14:textId="77777777" w:rsidR="00B01139" w:rsidRDefault="00B01139" w:rsidP="00B01139"/>
    <w:p w14:paraId="460A81F7" w14:textId="77777777" w:rsidR="00B01139" w:rsidRDefault="00B01139" w:rsidP="00B01139">
      <w:pPr>
        <w:pStyle w:val="Heading4"/>
      </w:pPr>
      <w:r>
        <w:rPr>
          <w:rFonts w:cs="Calibri"/>
          <w:color w:val="000000"/>
          <w:szCs w:val="26"/>
        </w:rPr>
        <w:t xml:space="preserve">Constitutional legitimacy is necessary to preserve </w:t>
      </w:r>
      <w:r>
        <w:rPr>
          <w:rFonts w:cs="Calibri"/>
          <w:color w:val="000000"/>
          <w:szCs w:val="26"/>
          <w:u w:val="single"/>
        </w:rPr>
        <w:t>separation of powers</w:t>
      </w:r>
      <w:r>
        <w:rPr>
          <w:rFonts w:cs="Calibri"/>
          <w:color w:val="000000"/>
          <w:szCs w:val="26"/>
        </w:rPr>
        <w:t xml:space="preserve"> and prevent </w:t>
      </w:r>
      <w:r>
        <w:rPr>
          <w:rFonts w:cs="Calibri"/>
          <w:color w:val="000000"/>
          <w:szCs w:val="26"/>
          <w:u w:val="single"/>
        </w:rPr>
        <w:t>civil conflict</w:t>
      </w:r>
      <w:r>
        <w:rPr>
          <w:rFonts w:cs="Calibri"/>
          <w:color w:val="000000"/>
          <w:szCs w:val="26"/>
        </w:rPr>
        <w:t xml:space="preserve">. It’s </w:t>
      </w:r>
      <w:r>
        <w:rPr>
          <w:rFonts w:cs="Calibri"/>
          <w:color w:val="000000"/>
          <w:szCs w:val="26"/>
          <w:u w:val="single"/>
        </w:rPr>
        <w:t>symbolically significant</w:t>
      </w:r>
      <w:r>
        <w:rPr>
          <w:rFonts w:cs="Calibri"/>
          <w:color w:val="000000"/>
          <w:szCs w:val="26"/>
        </w:rPr>
        <w:t xml:space="preserve"> for the United States and the world.</w:t>
      </w:r>
    </w:p>
    <w:p w14:paraId="1C28B780" w14:textId="77777777" w:rsidR="00B01139" w:rsidRDefault="00B01139" w:rsidP="00B01139">
      <w:pPr>
        <w:pStyle w:val="NormalWeb"/>
        <w:spacing w:before="0" w:beforeAutospacing="0" w:after="160" w:afterAutospacing="0"/>
      </w:pPr>
      <w:r>
        <w:rPr>
          <w:rFonts w:ascii="Calibri" w:hAnsi="Calibri" w:cs="Calibri"/>
          <w:b/>
          <w:bCs/>
          <w:color w:val="000000"/>
          <w:sz w:val="26"/>
          <w:szCs w:val="26"/>
        </w:rPr>
        <w:t>Lindquist 23</w:t>
      </w:r>
      <w:r>
        <w:rPr>
          <w:rFonts w:ascii="Calibri" w:hAnsi="Calibri" w:cs="Calibri"/>
          <w:color w:val="000000"/>
          <w:sz w:val="22"/>
          <w:szCs w:val="22"/>
        </w:rPr>
        <w:t xml:space="preserve"> – Stefanie Lindquist serves as the Nickerson Dean and Professor of Law at WashU Law. Before joining WashU Law, Lindquist held several posts at Arizona State University, including senior vice president for global academic initiatives and deputy provost and vice president for academic affairs. At ASU’s Sandra Day O’Connor College of Law and in the School of Politics and Global Studies, she served as the Foundation Professor of Law and Political Science. Lindquist was dean and Arch Professor at the University of Georgia’s School of Public and International Affairs and held multiple faculty leadership positions at the University of Texas School of Law, including the Charles Alan Wright Chair in Law. Before her tenure at the University of Texas, Lindquist taught law and political science at Vanderbilt University. She has also served as a visiting faculty member at the University of Southern California Gould School of Law. (“National Constitution Day emphasizes value of the document,” 18 August 2023, https://law.asu.edu/newsroom/national-constitution-day-emphasizes-value-document)</w:t>
      </w:r>
    </w:p>
    <w:p w14:paraId="61146A03"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But </w:t>
      </w:r>
      <w:r>
        <w:rPr>
          <w:rFonts w:ascii="Calibri" w:hAnsi="Calibri" w:cs="Calibri"/>
          <w:color w:val="000000"/>
          <w:sz w:val="22"/>
          <w:szCs w:val="22"/>
          <w:u w:val="single"/>
          <w:shd w:val="clear" w:color="auto" w:fill="00FFFF"/>
        </w:rPr>
        <w:t>why</w:t>
      </w:r>
      <w:r>
        <w:rPr>
          <w:rFonts w:ascii="Calibri" w:hAnsi="Calibri" w:cs="Calibri"/>
          <w:color w:val="000000"/>
          <w:sz w:val="22"/>
          <w:szCs w:val="22"/>
        </w:rPr>
        <w:t xml:space="preserve"> else </w:t>
      </w:r>
      <w:r>
        <w:rPr>
          <w:rFonts w:ascii="Calibri" w:hAnsi="Calibri" w:cs="Calibri"/>
          <w:color w:val="000000"/>
          <w:sz w:val="22"/>
          <w:szCs w:val="22"/>
          <w:u w:val="single"/>
          <w:shd w:val="clear" w:color="auto" w:fill="00FFFF"/>
        </w:rPr>
        <w:t>is the</w:t>
      </w:r>
      <w:r>
        <w:rPr>
          <w:rFonts w:ascii="Calibri" w:hAnsi="Calibri" w:cs="Calibri"/>
          <w:color w:val="000000"/>
          <w:sz w:val="22"/>
          <w:szCs w:val="22"/>
          <w:u w:val="single"/>
        </w:rPr>
        <w:t xml:space="preserve"> U.S. </w:t>
      </w:r>
      <w:r>
        <w:rPr>
          <w:rFonts w:ascii="Calibri" w:hAnsi="Calibri" w:cs="Calibri"/>
          <w:b/>
          <w:bCs/>
          <w:color w:val="000000"/>
          <w:sz w:val="22"/>
          <w:szCs w:val="22"/>
          <w:u w:val="single"/>
          <w:shd w:val="clear" w:color="auto" w:fill="00FFFF"/>
        </w:rPr>
        <w:t>Constitution</w:t>
      </w:r>
      <w:r>
        <w:rPr>
          <w:rFonts w:ascii="Calibri" w:hAnsi="Calibri" w:cs="Calibri"/>
          <w:color w:val="000000"/>
          <w:sz w:val="22"/>
          <w:szCs w:val="22"/>
        </w:rPr>
        <w:t xml:space="preserve"> so </w:t>
      </w:r>
      <w:r>
        <w:rPr>
          <w:rFonts w:ascii="Calibri" w:hAnsi="Calibri" w:cs="Calibri"/>
          <w:b/>
          <w:bCs/>
          <w:color w:val="000000"/>
          <w:sz w:val="22"/>
          <w:szCs w:val="22"/>
          <w:u w:val="single"/>
          <w:shd w:val="clear" w:color="auto" w:fill="00FFFF"/>
        </w:rPr>
        <w:t>significant</w:t>
      </w:r>
      <w:r>
        <w:rPr>
          <w:rFonts w:ascii="Calibri" w:hAnsi="Calibri" w:cs="Calibri"/>
          <w:color w:val="000000"/>
          <w:sz w:val="22"/>
          <w:szCs w:val="22"/>
        </w:rPr>
        <w:t xml:space="preserve">? First, the Constitution of 1787 was a written constitution. While this may seem obvious, its significance remains profound. For example, in 1787, Britain did not and still </w:t>
      </w:r>
      <w:proofErr w:type="gramStart"/>
      <w:r>
        <w:rPr>
          <w:rFonts w:ascii="Calibri" w:hAnsi="Calibri" w:cs="Calibri"/>
          <w:color w:val="000000"/>
          <w:sz w:val="22"/>
          <w:szCs w:val="22"/>
        </w:rPr>
        <w:t>has</w:t>
      </w:r>
      <w:proofErr w:type="gramEnd"/>
      <w:r>
        <w:rPr>
          <w:rFonts w:ascii="Calibri" w:hAnsi="Calibri" w:cs="Calibri"/>
          <w:color w:val="000000"/>
          <w:sz w:val="22"/>
          <w:szCs w:val="22"/>
        </w:rPr>
        <w:t xml:space="preserve"> no written Constitution. Indeed, no nation did prior to 1787. The Framers of the Constitution knew that a written constitution would produce the most precise specifications of powers the new government could exercise and what powers it could not. This level of specificity allows for the states to operate within their own spheres of local power and for citizens to enjoy substantial freedom from government interference to pursue their own social, economic, and political activities. In an early opinion interpreting the Constitution, Chief Justice John Marshall noted that a written constitution was "the greatest improvement on political institutions" because it defined the federal government's powers as limitations that, by being written, "may not be mistaken or forgotten." </w:t>
      </w:r>
    </w:p>
    <w:p w14:paraId="6733DDFD"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Second, </w:t>
      </w:r>
      <w:r>
        <w:rPr>
          <w:rFonts w:ascii="Calibri" w:hAnsi="Calibri" w:cs="Calibri"/>
          <w:color w:val="000000"/>
          <w:sz w:val="22"/>
          <w:szCs w:val="22"/>
          <w:u w:val="single"/>
        </w:rPr>
        <w:t>our</w:t>
      </w:r>
      <w:r>
        <w:rPr>
          <w:rFonts w:ascii="Calibri" w:hAnsi="Calibri" w:cs="Calibri"/>
          <w:color w:val="000000"/>
          <w:sz w:val="22"/>
          <w:szCs w:val="22"/>
        </w:rPr>
        <w:t xml:space="preserve"> written </w:t>
      </w:r>
      <w:r>
        <w:rPr>
          <w:rFonts w:ascii="Calibri" w:hAnsi="Calibri" w:cs="Calibri"/>
          <w:color w:val="000000"/>
          <w:sz w:val="22"/>
          <w:szCs w:val="22"/>
          <w:u w:val="single"/>
          <w:shd w:val="clear" w:color="auto" w:fill="00FFFF"/>
        </w:rPr>
        <w:t>Constitution</w:t>
      </w:r>
      <w:r>
        <w:rPr>
          <w:rFonts w:ascii="Calibri" w:hAnsi="Calibri" w:cs="Calibri"/>
          <w:color w:val="000000"/>
          <w:sz w:val="22"/>
          <w:szCs w:val="22"/>
          <w:u w:val="single"/>
        </w:rPr>
        <w:t xml:space="preserve"> sets forth and</w:t>
      </w:r>
      <w:r>
        <w:rPr>
          <w:rFonts w:ascii="Calibri" w:hAnsi="Calibri" w:cs="Calibri"/>
          <w:color w:val="000000"/>
          <w:sz w:val="22"/>
          <w:szCs w:val="22"/>
        </w:rPr>
        <w:t xml:space="preserve"> thus </w:t>
      </w:r>
      <w:r>
        <w:rPr>
          <w:rFonts w:ascii="Calibri" w:hAnsi="Calibri" w:cs="Calibri"/>
          <w:b/>
          <w:bCs/>
          <w:color w:val="000000"/>
          <w:sz w:val="22"/>
          <w:szCs w:val="22"/>
          <w:u w:val="single"/>
          <w:shd w:val="clear" w:color="auto" w:fill="00FFFF"/>
        </w:rPr>
        <w:t>limits</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FF"/>
        </w:rPr>
        <w:t xml:space="preserve">specific </w:t>
      </w:r>
      <w:r>
        <w:rPr>
          <w:rFonts w:ascii="Calibri" w:hAnsi="Calibri" w:cs="Calibri"/>
          <w:b/>
          <w:bCs/>
          <w:color w:val="000000"/>
          <w:sz w:val="22"/>
          <w:szCs w:val="22"/>
          <w:u w:val="single"/>
          <w:shd w:val="clear" w:color="auto" w:fill="00FFFF"/>
        </w:rPr>
        <w:t>powers</w:t>
      </w:r>
      <w:r>
        <w:rPr>
          <w:rFonts w:ascii="Calibri" w:hAnsi="Calibri" w:cs="Calibri"/>
          <w:color w:val="000000"/>
          <w:sz w:val="22"/>
          <w:szCs w:val="22"/>
          <w:u w:val="single"/>
          <w:shd w:val="clear" w:color="auto" w:fill="00FFFF"/>
        </w:rPr>
        <w:t xml:space="preserve"> of the </w:t>
      </w:r>
      <w:r>
        <w:rPr>
          <w:rFonts w:ascii="Calibri" w:hAnsi="Calibri" w:cs="Calibri"/>
          <w:b/>
          <w:bCs/>
          <w:color w:val="000000"/>
          <w:sz w:val="22"/>
          <w:szCs w:val="22"/>
          <w:u w:val="single"/>
          <w:shd w:val="clear" w:color="auto" w:fill="00FFFF"/>
        </w:rPr>
        <w:t>three branches</w:t>
      </w:r>
      <w:r>
        <w:rPr>
          <w:rFonts w:ascii="Calibri" w:hAnsi="Calibri" w:cs="Calibri"/>
          <w:color w:val="000000"/>
          <w:sz w:val="22"/>
          <w:szCs w:val="22"/>
          <w:u w:val="single"/>
        </w:rPr>
        <w:t xml:space="preserve"> of the federal government</w:t>
      </w:r>
      <w:r>
        <w:rPr>
          <w:rFonts w:ascii="Calibri" w:hAnsi="Calibri" w:cs="Calibri"/>
          <w:color w:val="000000"/>
          <w:sz w:val="22"/>
          <w:szCs w:val="22"/>
        </w:rPr>
        <w:t xml:space="preserve">: </w:t>
      </w:r>
      <w:r>
        <w:rPr>
          <w:rFonts w:ascii="Calibri" w:hAnsi="Calibri" w:cs="Calibri"/>
          <w:b/>
          <w:bCs/>
          <w:color w:val="000000"/>
          <w:sz w:val="22"/>
          <w:szCs w:val="22"/>
          <w:u w:val="single"/>
        </w:rPr>
        <w:t>Congress</w:t>
      </w:r>
      <w:r>
        <w:rPr>
          <w:rFonts w:ascii="Calibri" w:hAnsi="Calibri" w:cs="Calibri"/>
          <w:color w:val="000000"/>
          <w:sz w:val="22"/>
          <w:szCs w:val="22"/>
        </w:rPr>
        <w:t xml:space="preserve">, </w:t>
      </w:r>
      <w:r>
        <w:rPr>
          <w:rFonts w:ascii="Calibri" w:hAnsi="Calibri" w:cs="Calibri"/>
          <w:color w:val="000000"/>
          <w:sz w:val="22"/>
          <w:szCs w:val="22"/>
          <w:u w:val="single"/>
        </w:rPr>
        <w:t xml:space="preserve">the </w:t>
      </w:r>
      <w:r>
        <w:rPr>
          <w:rFonts w:ascii="Calibri" w:hAnsi="Calibri" w:cs="Calibri"/>
          <w:b/>
          <w:bCs/>
          <w:color w:val="000000"/>
          <w:sz w:val="22"/>
          <w:szCs w:val="22"/>
          <w:u w:val="single"/>
        </w:rPr>
        <w:t>President</w:t>
      </w:r>
      <w:r>
        <w:rPr>
          <w:rFonts w:ascii="Calibri" w:hAnsi="Calibri" w:cs="Calibri"/>
          <w:color w:val="000000"/>
          <w:sz w:val="22"/>
          <w:szCs w:val="22"/>
        </w:rPr>
        <w:t xml:space="preserve">, </w:t>
      </w:r>
      <w:r>
        <w:rPr>
          <w:rFonts w:ascii="Calibri" w:hAnsi="Calibri" w:cs="Calibri"/>
          <w:color w:val="000000"/>
          <w:sz w:val="22"/>
          <w:szCs w:val="22"/>
          <w:u w:val="single"/>
        </w:rPr>
        <w:t xml:space="preserve">and the </w:t>
      </w:r>
      <w:r>
        <w:rPr>
          <w:rFonts w:ascii="Calibri" w:hAnsi="Calibri" w:cs="Calibri"/>
          <w:b/>
          <w:bCs/>
          <w:color w:val="000000"/>
          <w:sz w:val="22"/>
          <w:szCs w:val="22"/>
          <w:u w:val="single"/>
        </w:rPr>
        <w:t>Judiciary</w:t>
      </w:r>
      <w:r>
        <w:rPr>
          <w:rFonts w:ascii="Calibri" w:hAnsi="Calibri" w:cs="Calibri"/>
          <w:color w:val="000000"/>
          <w:sz w:val="22"/>
          <w:szCs w:val="22"/>
        </w:rPr>
        <w:t>. These branches exercise the fundamental powers of any government. The Congress writes laws that govern our society, the President executes those laws, and the Judiciary evaluates their application to individuals and groups. </w:t>
      </w:r>
    </w:p>
    <w:p w14:paraId="4BD81823" w14:textId="77777777" w:rsidR="00B01139" w:rsidRDefault="00B01139" w:rsidP="00B01139">
      <w:pPr>
        <w:pStyle w:val="NormalWeb"/>
        <w:spacing w:before="0" w:beforeAutospacing="0" w:after="160" w:afterAutospacing="0"/>
      </w:pPr>
      <w:r>
        <w:rPr>
          <w:rFonts w:ascii="Calibri" w:hAnsi="Calibri" w:cs="Calibri"/>
          <w:color w:val="000000"/>
          <w:sz w:val="22"/>
          <w:szCs w:val="22"/>
          <w:u w:val="single"/>
          <w:shd w:val="clear" w:color="auto" w:fill="00FFFF"/>
        </w:rPr>
        <w:t>Separating</w:t>
      </w:r>
      <w:r>
        <w:rPr>
          <w:rFonts w:ascii="Calibri" w:hAnsi="Calibri" w:cs="Calibri"/>
          <w:color w:val="000000"/>
          <w:sz w:val="22"/>
          <w:szCs w:val="22"/>
          <w:u w:val="single"/>
        </w:rPr>
        <w:t xml:space="preserve"> these </w:t>
      </w:r>
      <w:r>
        <w:rPr>
          <w:rFonts w:ascii="Calibri" w:hAnsi="Calibri" w:cs="Calibri"/>
          <w:color w:val="000000"/>
          <w:sz w:val="22"/>
          <w:szCs w:val="22"/>
          <w:u w:val="single"/>
          <w:shd w:val="clear" w:color="auto" w:fill="00FFFF"/>
        </w:rPr>
        <w:t xml:space="preserve">powers has enormous </w:t>
      </w:r>
      <w:r>
        <w:rPr>
          <w:rFonts w:ascii="Calibri" w:hAnsi="Calibri" w:cs="Calibri"/>
          <w:b/>
          <w:bCs/>
          <w:color w:val="000000"/>
          <w:sz w:val="22"/>
          <w:szCs w:val="22"/>
          <w:u w:val="single"/>
          <w:shd w:val="clear" w:color="auto" w:fill="00FFFF"/>
        </w:rPr>
        <w:t>practical significance</w:t>
      </w:r>
      <w:r>
        <w:rPr>
          <w:rFonts w:ascii="Calibri" w:hAnsi="Calibri" w:cs="Calibri"/>
          <w:color w:val="000000"/>
          <w:sz w:val="22"/>
          <w:szCs w:val="22"/>
        </w:rPr>
        <w:t>. </w:t>
      </w:r>
    </w:p>
    <w:p w14:paraId="3C22DFC4" w14:textId="77777777" w:rsidR="00B01139" w:rsidRDefault="00B01139" w:rsidP="00B01139">
      <w:pPr>
        <w:pStyle w:val="NormalWeb"/>
        <w:spacing w:before="0" w:beforeAutospacing="0" w:after="160" w:afterAutospacing="0"/>
      </w:pPr>
      <w:r>
        <w:rPr>
          <w:rFonts w:ascii="Calibri" w:hAnsi="Calibri" w:cs="Calibri"/>
          <w:color w:val="000000"/>
          <w:sz w:val="22"/>
          <w:szCs w:val="22"/>
          <w:u w:val="single"/>
          <w:shd w:val="clear" w:color="auto" w:fill="00FFFF"/>
        </w:rPr>
        <w:t xml:space="preserve">When a </w:t>
      </w:r>
      <w:r>
        <w:rPr>
          <w:rFonts w:ascii="Calibri" w:hAnsi="Calibri" w:cs="Calibri"/>
          <w:b/>
          <w:bCs/>
          <w:color w:val="000000"/>
          <w:sz w:val="22"/>
          <w:szCs w:val="22"/>
          <w:u w:val="single"/>
          <w:shd w:val="clear" w:color="auto" w:fill="00FFFF"/>
        </w:rPr>
        <w:t>single individual</w:t>
      </w:r>
      <w:r>
        <w:rPr>
          <w:rFonts w:ascii="Calibri" w:hAnsi="Calibri" w:cs="Calibri"/>
          <w:color w:val="000000"/>
          <w:sz w:val="22"/>
          <w:szCs w:val="22"/>
          <w:u w:val="single"/>
        </w:rPr>
        <w:t xml:space="preserve"> or </w:t>
      </w:r>
      <w:r>
        <w:rPr>
          <w:rFonts w:ascii="Calibri" w:hAnsi="Calibri" w:cs="Calibri"/>
          <w:b/>
          <w:bCs/>
          <w:color w:val="000000"/>
          <w:sz w:val="22"/>
          <w:szCs w:val="22"/>
          <w:u w:val="single"/>
        </w:rPr>
        <w:t>group</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has</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authority</w:t>
      </w:r>
      <w:r>
        <w:rPr>
          <w:rFonts w:ascii="Calibri" w:hAnsi="Calibri" w:cs="Calibri"/>
          <w:color w:val="000000"/>
          <w:sz w:val="22"/>
          <w:szCs w:val="22"/>
          <w:u w:val="single"/>
        </w:rPr>
        <w:t xml:space="preserve"> to exercise all these powers</w:t>
      </w:r>
      <w:r>
        <w:rPr>
          <w:rFonts w:ascii="Calibri" w:hAnsi="Calibri" w:cs="Calibri"/>
          <w:color w:val="000000"/>
          <w:sz w:val="22"/>
          <w:szCs w:val="22"/>
        </w:rPr>
        <w:t xml:space="preserve">, one entity can write the laws, determine to whom they shall apply, and then evaluate whether any individual or group is guilty of violating them. </w:t>
      </w:r>
      <w:r>
        <w:rPr>
          <w:rFonts w:ascii="Calibri" w:hAnsi="Calibri" w:cs="Calibri"/>
          <w:color w:val="000000"/>
          <w:sz w:val="22"/>
          <w:szCs w:val="22"/>
          <w:u w:val="single"/>
          <w:shd w:val="clear" w:color="auto" w:fill="00FFFF"/>
        </w:rPr>
        <w:t xml:space="preserve">That is the </w:t>
      </w:r>
      <w:r>
        <w:rPr>
          <w:rFonts w:ascii="Calibri" w:hAnsi="Calibri" w:cs="Calibri"/>
          <w:b/>
          <w:bCs/>
          <w:color w:val="000000"/>
          <w:sz w:val="22"/>
          <w:szCs w:val="22"/>
          <w:u w:val="single"/>
          <w:shd w:val="clear" w:color="auto" w:fill="00FFFF"/>
        </w:rPr>
        <w:t>definition of tyranny</w:t>
      </w:r>
      <w:r>
        <w:rPr>
          <w:rFonts w:ascii="Calibri" w:hAnsi="Calibri" w:cs="Calibri"/>
          <w:color w:val="000000"/>
          <w:sz w:val="22"/>
          <w:szCs w:val="22"/>
          <w:u w:val="single"/>
        </w:rPr>
        <w:t xml:space="preserve"> because </w:t>
      </w:r>
      <w:r>
        <w:rPr>
          <w:rFonts w:ascii="Calibri" w:hAnsi="Calibri" w:cs="Calibri"/>
          <w:color w:val="000000"/>
          <w:sz w:val="22"/>
          <w:szCs w:val="22"/>
          <w:u w:val="single"/>
          <w:shd w:val="clear" w:color="auto" w:fill="00FFFF"/>
        </w:rPr>
        <w:t>no countervailing force can constrain</w:t>
      </w:r>
      <w:r>
        <w:rPr>
          <w:rFonts w:ascii="Calibri" w:hAnsi="Calibri" w:cs="Calibri"/>
          <w:color w:val="000000"/>
          <w:sz w:val="22"/>
          <w:szCs w:val="22"/>
          <w:u w:val="single"/>
        </w:rPr>
        <w:t xml:space="preserve"> the governing power from exercising </w:t>
      </w:r>
      <w:r>
        <w:rPr>
          <w:rFonts w:ascii="Calibri" w:hAnsi="Calibri" w:cs="Calibri"/>
          <w:b/>
          <w:bCs/>
          <w:color w:val="000000"/>
          <w:sz w:val="22"/>
          <w:szCs w:val="22"/>
          <w:u w:val="single"/>
          <w:shd w:val="clear" w:color="auto" w:fill="00FFFF"/>
        </w:rPr>
        <w:t>coercive power</w:t>
      </w:r>
      <w:r>
        <w:rPr>
          <w:rFonts w:ascii="Calibri" w:hAnsi="Calibri" w:cs="Calibri"/>
          <w:color w:val="000000"/>
          <w:sz w:val="22"/>
          <w:szCs w:val="22"/>
          <w:u w:val="single"/>
        </w:rPr>
        <w:t xml:space="preserve"> against a disfavored person or group in society</w:t>
      </w:r>
      <w:r>
        <w:rPr>
          <w:rFonts w:ascii="Calibri" w:hAnsi="Calibri" w:cs="Calibri"/>
          <w:color w:val="000000"/>
          <w:sz w:val="22"/>
          <w:szCs w:val="22"/>
        </w:rPr>
        <w:t xml:space="preserve">. History shows </w:t>
      </w:r>
      <w:r>
        <w:rPr>
          <w:rFonts w:ascii="Calibri" w:hAnsi="Calibri" w:cs="Calibri"/>
          <w:color w:val="000000"/>
          <w:sz w:val="22"/>
          <w:szCs w:val="22"/>
          <w:u w:val="single"/>
        </w:rPr>
        <w:t>dictators and monarchs are rarely benevolent because</w:t>
      </w:r>
      <w:r>
        <w:rPr>
          <w:rFonts w:ascii="Calibri" w:hAnsi="Calibri" w:cs="Calibri"/>
          <w:color w:val="000000"/>
          <w:sz w:val="22"/>
          <w:szCs w:val="22"/>
        </w:rPr>
        <w:t>, as Lord Acton wisely noted, "</w:t>
      </w:r>
      <w:r>
        <w:rPr>
          <w:rFonts w:ascii="Calibri" w:hAnsi="Calibri" w:cs="Calibri"/>
          <w:b/>
          <w:bCs/>
          <w:color w:val="000000"/>
          <w:sz w:val="22"/>
          <w:szCs w:val="22"/>
          <w:u w:val="single"/>
          <w:shd w:val="clear" w:color="auto" w:fill="00FFFF"/>
        </w:rPr>
        <w:t>absolute power corrupts absolutely</w:t>
      </w:r>
      <w:r>
        <w:rPr>
          <w:rFonts w:ascii="Calibri" w:hAnsi="Calibri" w:cs="Calibri"/>
          <w:color w:val="000000"/>
          <w:sz w:val="22"/>
          <w:szCs w:val="22"/>
        </w:rPr>
        <w:t>." The Framers ensured that "ambition would counteract ambition" and guard against authoritarian rule by dividing these key powers among three separate institutions in a system of checks and balances.</w:t>
      </w:r>
    </w:p>
    <w:p w14:paraId="20EF2F02"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Third, </w:t>
      </w:r>
      <w:r>
        <w:rPr>
          <w:rFonts w:ascii="Calibri" w:hAnsi="Calibri" w:cs="Calibri"/>
          <w:color w:val="000000"/>
          <w:sz w:val="22"/>
          <w:szCs w:val="22"/>
          <w:u w:val="single"/>
          <w:shd w:val="clear" w:color="auto" w:fill="00FFFF"/>
        </w:rPr>
        <w:t>the</w:t>
      </w:r>
      <w:r>
        <w:rPr>
          <w:rFonts w:ascii="Calibri" w:hAnsi="Calibri" w:cs="Calibri"/>
          <w:color w:val="000000"/>
          <w:sz w:val="22"/>
          <w:szCs w:val="22"/>
          <w:u w:val="single"/>
        </w:rPr>
        <w:t xml:space="preserve"> very </w:t>
      </w:r>
      <w:r>
        <w:rPr>
          <w:rFonts w:ascii="Calibri" w:hAnsi="Calibri" w:cs="Calibri"/>
          <w:b/>
          <w:bCs/>
          <w:color w:val="000000"/>
          <w:sz w:val="22"/>
          <w:szCs w:val="22"/>
          <w:u w:val="single"/>
          <w:shd w:val="clear" w:color="auto" w:fill="00FFFF"/>
        </w:rPr>
        <w:t>longevity</w:t>
      </w:r>
      <w:r>
        <w:rPr>
          <w:rFonts w:ascii="Calibri" w:hAnsi="Calibri" w:cs="Calibri"/>
          <w:color w:val="000000"/>
          <w:sz w:val="22"/>
          <w:szCs w:val="22"/>
          <w:u w:val="single"/>
          <w:shd w:val="clear" w:color="auto" w:fill="00FFFF"/>
        </w:rPr>
        <w:t xml:space="preserve"> of the Constitution</w:t>
      </w:r>
      <w:r>
        <w:rPr>
          <w:rFonts w:ascii="Calibri" w:hAnsi="Calibri" w:cs="Calibri"/>
          <w:color w:val="000000"/>
          <w:sz w:val="22"/>
          <w:szCs w:val="22"/>
          <w:u w:val="single"/>
        </w:rPr>
        <w:t xml:space="preserve"> also </w:t>
      </w:r>
      <w:r>
        <w:rPr>
          <w:rFonts w:ascii="Calibri" w:hAnsi="Calibri" w:cs="Calibri"/>
          <w:color w:val="000000"/>
          <w:sz w:val="22"/>
          <w:szCs w:val="22"/>
          <w:u w:val="single"/>
          <w:shd w:val="clear" w:color="auto" w:fill="00FFFF"/>
        </w:rPr>
        <w:t>has</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profound </w:t>
      </w:r>
      <w:r>
        <w:rPr>
          <w:rFonts w:ascii="Calibri" w:hAnsi="Calibri" w:cs="Calibri"/>
          <w:b/>
          <w:bCs/>
          <w:color w:val="000000"/>
          <w:sz w:val="22"/>
          <w:szCs w:val="22"/>
          <w:u w:val="single"/>
          <w:shd w:val="clear" w:color="auto" w:fill="00FFFF"/>
        </w:rPr>
        <w:t>significance</w:t>
      </w:r>
      <w:r>
        <w:rPr>
          <w:rFonts w:ascii="Calibri" w:hAnsi="Calibri" w:cs="Calibri"/>
          <w:color w:val="000000"/>
          <w:sz w:val="22"/>
          <w:szCs w:val="22"/>
        </w:rPr>
        <w:t xml:space="preserve">. Over time, </w:t>
      </w:r>
      <w:r>
        <w:rPr>
          <w:rFonts w:ascii="Calibri" w:hAnsi="Calibri" w:cs="Calibri"/>
          <w:color w:val="000000"/>
          <w:sz w:val="22"/>
          <w:szCs w:val="22"/>
          <w:u w:val="single"/>
        </w:rPr>
        <w:t>written constitutions set expectations for government officials and citizens</w:t>
      </w:r>
      <w:r>
        <w:rPr>
          <w:rFonts w:ascii="Calibri" w:hAnsi="Calibri" w:cs="Calibri"/>
          <w:color w:val="000000"/>
          <w:sz w:val="22"/>
          <w:szCs w:val="22"/>
        </w:rPr>
        <w:t>. We call these expectations "constitutional norms" or "constitutional conventions," which are as important as the document's written word. That's because written constitutions—for all their benefits—only amount to words on paper, which James Madison called "parchment barriers." Officials and citizens must respect and abide by those words; that is where norms work. Russia also has a written constitution, but that does not mean that the government consistently respects its specifications for individual freedoms. Even in the U.S., with its long history of constitutional democracy, we rely on our respect for the Constitution to enable it to endure.</w:t>
      </w:r>
    </w:p>
    <w:p w14:paraId="12EB1A2C"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We often need clarification of this fundamental document’s meaning, the separation of powers, and the individual rights and equality it protects. However, regardless of these disputes, </w:t>
      </w:r>
      <w:r>
        <w:rPr>
          <w:rFonts w:ascii="Calibri" w:hAnsi="Calibri" w:cs="Calibri"/>
          <w:color w:val="000000"/>
          <w:sz w:val="22"/>
          <w:szCs w:val="22"/>
          <w:u w:val="single"/>
          <w:shd w:val="clear" w:color="auto" w:fill="00FFFF"/>
        </w:rPr>
        <w:t xml:space="preserve">the Constitution allows us to </w:t>
      </w:r>
      <w:r>
        <w:rPr>
          <w:rFonts w:ascii="Calibri" w:hAnsi="Calibri" w:cs="Calibri"/>
          <w:b/>
          <w:bCs/>
          <w:color w:val="000000"/>
          <w:sz w:val="22"/>
          <w:szCs w:val="22"/>
          <w:u w:val="single"/>
          <w:shd w:val="clear" w:color="auto" w:fill="00FFFF"/>
        </w:rPr>
        <w:t>deliberate</w:t>
      </w:r>
      <w:r>
        <w:rPr>
          <w:rFonts w:ascii="Calibri" w:hAnsi="Calibri" w:cs="Calibri"/>
          <w:color w:val="000000"/>
          <w:sz w:val="22"/>
          <w:szCs w:val="22"/>
          <w:u w:val="single"/>
        </w:rPr>
        <w:t xml:space="preserve"> and even change our fundamental rules of governance according to the law </w:t>
      </w:r>
      <w:r>
        <w:rPr>
          <w:rFonts w:ascii="Calibri" w:hAnsi="Calibri" w:cs="Calibri"/>
          <w:b/>
          <w:bCs/>
          <w:color w:val="000000"/>
          <w:sz w:val="22"/>
          <w:szCs w:val="22"/>
          <w:u w:val="single"/>
          <w:shd w:val="clear" w:color="auto" w:fill="00FFFF"/>
        </w:rPr>
        <w:t>without resorting to violence</w:t>
      </w:r>
      <w:r>
        <w:rPr>
          <w:rFonts w:ascii="Calibri" w:hAnsi="Calibri" w:cs="Calibri"/>
          <w:color w:val="000000"/>
          <w:sz w:val="22"/>
          <w:szCs w:val="22"/>
        </w:rPr>
        <w:t>. Lately, a restlessness has emerged with demands to change specific provisions of the Constitution. Some suggest that the U.S. Constitution requires updating; others look for adjustments for better governance. How should we proceed to preserve the oldest Constitution in the world while making it possible for a new generation to assume custody of the country they inherit? Like all generations of Americans, we owe it to our descendants to engage the idea of change thoughtfully, collectively, and with an ever-watchful eye to preserving our remarkable constitutional foundations.</w:t>
      </w:r>
    </w:p>
    <w:p w14:paraId="6057D789" w14:textId="77777777" w:rsidR="00B01139" w:rsidRDefault="00B01139" w:rsidP="00B01139"/>
    <w:p w14:paraId="24F47C89" w14:textId="77777777" w:rsidR="00B01139" w:rsidRDefault="00B01139" w:rsidP="00B01139">
      <w:pPr>
        <w:pStyle w:val="Heading4"/>
      </w:pPr>
      <w:r>
        <w:rPr>
          <w:rFonts w:cs="Calibri"/>
          <w:color w:val="000000"/>
          <w:szCs w:val="26"/>
        </w:rPr>
        <w:t xml:space="preserve">Independently, collaboration between the </w:t>
      </w:r>
      <w:r>
        <w:rPr>
          <w:rFonts w:cs="Calibri"/>
          <w:color w:val="000000"/>
          <w:szCs w:val="26"/>
          <w:u w:val="single"/>
        </w:rPr>
        <w:t>federal government</w:t>
      </w:r>
      <w:r>
        <w:rPr>
          <w:rFonts w:cs="Calibri"/>
          <w:color w:val="000000"/>
          <w:szCs w:val="26"/>
        </w:rPr>
        <w:t xml:space="preserve"> and </w:t>
      </w:r>
      <w:r>
        <w:rPr>
          <w:rFonts w:cs="Calibri"/>
          <w:color w:val="000000"/>
          <w:szCs w:val="26"/>
          <w:u w:val="single"/>
        </w:rPr>
        <w:t>sports leagues</w:t>
      </w:r>
      <w:r>
        <w:rPr>
          <w:rFonts w:cs="Calibri"/>
          <w:color w:val="000000"/>
          <w:szCs w:val="26"/>
        </w:rPr>
        <w:t xml:space="preserve"> runs afoul of the Constitution as well.</w:t>
      </w:r>
    </w:p>
    <w:p w14:paraId="525A5E79" w14:textId="77777777" w:rsidR="00B01139" w:rsidRDefault="00B01139" w:rsidP="00B01139">
      <w:pPr>
        <w:pStyle w:val="NormalWeb"/>
        <w:spacing w:before="0" w:beforeAutospacing="0" w:after="160" w:afterAutospacing="0"/>
      </w:pPr>
      <w:r>
        <w:rPr>
          <w:rFonts w:ascii="Calibri" w:hAnsi="Calibri" w:cs="Calibri"/>
          <w:b/>
          <w:bCs/>
          <w:color w:val="000000"/>
          <w:sz w:val="26"/>
          <w:szCs w:val="26"/>
        </w:rPr>
        <w:t>Rodenberg 19</w:t>
      </w:r>
      <w:r>
        <w:rPr>
          <w:rFonts w:ascii="Calibri" w:hAnsi="Calibri" w:cs="Calibri"/>
          <w:color w:val="000000"/>
          <w:sz w:val="22"/>
          <w:szCs w:val="22"/>
        </w:rPr>
        <w:t xml:space="preserve"> – Ryan Rodenberg is a tenured professor with the Department of Sport Management at Florida State University. He also serves as a courtesy professor at Florida State University College of Law. Prior to academia, he worked as an associate attorney at Keller Rohrback LLP and assistant general counsel at Octagon. He also worked at Nike and the ATP Tour. His recent scholarship has been published in a variety of law reviews and quantitative journals. He serves on four journal editorial boards. Rodenberg's non-academic writing has been published in ESPN, The Atlantic, Sports Illustrated, and elsewhere. During the pendency of the 2018 United States Supreme Court sports betting case, he testified before Congress, filed two amicus briefs, and was interviewed on camera for a 60 </w:t>
      </w:r>
      <w:proofErr w:type="gramStart"/>
      <w:r>
        <w:rPr>
          <w:rFonts w:ascii="Calibri" w:hAnsi="Calibri" w:cs="Calibri"/>
          <w:color w:val="000000"/>
          <w:sz w:val="22"/>
          <w:szCs w:val="22"/>
        </w:rPr>
        <w:t>Minutes</w:t>
      </w:r>
      <w:proofErr w:type="gramEnd"/>
      <w:r>
        <w:rPr>
          <w:rFonts w:ascii="Calibri" w:hAnsi="Calibri" w:cs="Calibri"/>
          <w:color w:val="000000"/>
          <w:sz w:val="22"/>
          <w:szCs w:val="22"/>
        </w:rPr>
        <w:t xml:space="preserve"> segment. Rodenberg's current research focuses on sports wagering policy, tennis governance, and sports jurisprudence. He earned a J.D. from the University of Washington-Seattle and a Ph.D. from Indiana University-Bloomington. (“Due Process, Private Nondelegation Doctrine, and the Regulation of Sports Betting,” Spring 2019, pg. 112-117)</w:t>
      </w:r>
    </w:p>
    <w:p w14:paraId="6FE72577" w14:textId="77777777" w:rsidR="00B01139" w:rsidRDefault="00B01139" w:rsidP="00B01139">
      <w:pPr>
        <w:pStyle w:val="NormalWeb"/>
        <w:spacing w:before="0" w:beforeAutospacing="0" w:after="160" w:afterAutospacing="0"/>
      </w:pPr>
      <w:r>
        <w:rPr>
          <w:rFonts w:ascii="Calibri" w:hAnsi="Calibri" w:cs="Calibri"/>
          <w:color w:val="000000"/>
          <w:sz w:val="22"/>
          <w:szCs w:val="22"/>
          <w:u w:val="single"/>
          <w:shd w:val="clear" w:color="auto" w:fill="00FFFF"/>
        </w:rPr>
        <w:t xml:space="preserve">Beyond </w:t>
      </w:r>
      <w:r>
        <w:rPr>
          <w:rFonts w:ascii="Calibri" w:hAnsi="Calibri" w:cs="Calibri"/>
          <w:b/>
          <w:bCs/>
          <w:color w:val="000000"/>
          <w:sz w:val="22"/>
          <w:szCs w:val="22"/>
          <w:u w:val="single"/>
          <w:shd w:val="clear" w:color="auto" w:fill="00FFFF"/>
        </w:rPr>
        <w:t>constitutional concerns</w:t>
      </w:r>
      <w:r>
        <w:rPr>
          <w:rFonts w:ascii="Calibri" w:hAnsi="Calibri" w:cs="Calibri"/>
          <w:color w:val="000000"/>
          <w:sz w:val="22"/>
          <w:szCs w:val="22"/>
        </w:rPr>
        <w:t xml:space="preserve"> attached to the leagues' lobbying demands, </w:t>
      </w:r>
      <w:r>
        <w:rPr>
          <w:rFonts w:ascii="Calibri" w:hAnsi="Calibri" w:cs="Calibri"/>
          <w:color w:val="000000"/>
          <w:sz w:val="22"/>
          <w:szCs w:val="22"/>
          <w:u w:val="single"/>
          <w:shd w:val="clear" w:color="auto" w:fill="00FFFF"/>
        </w:rPr>
        <w:t xml:space="preserve">there are </w:t>
      </w:r>
      <w:r>
        <w:rPr>
          <w:rFonts w:ascii="Calibri" w:hAnsi="Calibri" w:cs="Calibri"/>
          <w:b/>
          <w:bCs/>
          <w:color w:val="000000"/>
          <w:sz w:val="22"/>
          <w:szCs w:val="22"/>
          <w:u w:val="single"/>
          <w:shd w:val="clear" w:color="auto" w:fill="00FFFF"/>
        </w:rPr>
        <w:t>additional hurdles</w:t>
      </w:r>
      <w:r>
        <w:rPr>
          <w:rFonts w:ascii="Calibri" w:hAnsi="Calibri" w:cs="Calibri"/>
          <w:color w:val="000000"/>
          <w:sz w:val="22"/>
          <w:szCs w:val="22"/>
        </w:rPr>
        <w:t xml:space="preserve"> as both Congress and the Department of Justice have previously staked out positions on this issue. </w:t>
      </w:r>
      <w:r>
        <w:rPr>
          <w:rFonts w:ascii="Calibri" w:hAnsi="Calibri" w:cs="Calibri"/>
          <w:color w:val="000000"/>
          <w:sz w:val="22"/>
          <w:szCs w:val="22"/>
          <w:u w:val="single"/>
          <w:shd w:val="clear" w:color="auto" w:fill="00FFFF"/>
        </w:rPr>
        <w:t>Congress found that</w:t>
      </w:r>
      <w:r>
        <w:rPr>
          <w:rFonts w:ascii="Calibri" w:hAnsi="Calibri" w:cs="Calibri"/>
          <w:color w:val="000000"/>
          <w:sz w:val="22"/>
          <w:szCs w:val="22"/>
        </w:rPr>
        <w:t xml:space="preserve">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FF"/>
        </w:rPr>
        <w:t>States</w:t>
      </w:r>
      <w:r>
        <w:rPr>
          <w:rFonts w:ascii="Calibri" w:hAnsi="Calibri" w:cs="Calibri"/>
          <w:color w:val="000000"/>
          <w:sz w:val="22"/>
          <w:szCs w:val="22"/>
          <w:u w:val="single"/>
          <w:shd w:val="clear" w:color="auto" w:fill="00FFFF"/>
        </w:rPr>
        <w:t xml:space="preserve"> should have the </w:t>
      </w:r>
      <w:r>
        <w:rPr>
          <w:rFonts w:ascii="Calibri" w:hAnsi="Calibri" w:cs="Calibri"/>
          <w:b/>
          <w:bCs/>
          <w:color w:val="000000"/>
          <w:sz w:val="22"/>
          <w:szCs w:val="22"/>
          <w:u w:val="single"/>
          <w:shd w:val="clear" w:color="auto" w:fill="00FFFF"/>
        </w:rPr>
        <w:t>primary responsibility</w:t>
      </w:r>
      <w:r>
        <w:rPr>
          <w:rFonts w:ascii="Calibri" w:hAnsi="Calibri" w:cs="Calibri"/>
          <w:color w:val="000000"/>
          <w:sz w:val="22"/>
          <w:szCs w:val="22"/>
          <w:u w:val="single"/>
          <w:shd w:val="clear" w:color="auto" w:fill="00FFFF"/>
        </w:rPr>
        <w:t xml:space="preserve"> for determining what forms of gambling may</w:t>
      </w:r>
      <w:r>
        <w:rPr>
          <w:rFonts w:ascii="Calibri" w:hAnsi="Calibri" w:cs="Calibri"/>
          <w:color w:val="000000"/>
          <w:sz w:val="22"/>
          <w:szCs w:val="22"/>
          <w:u w:val="single"/>
        </w:rPr>
        <w:t xml:space="preserve"> legally </w:t>
      </w:r>
      <w:r>
        <w:rPr>
          <w:rFonts w:ascii="Calibri" w:hAnsi="Calibri" w:cs="Calibri"/>
          <w:color w:val="000000"/>
          <w:sz w:val="22"/>
          <w:szCs w:val="22"/>
          <w:u w:val="single"/>
          <w:shd w:val="clear" w:color="auto" w:fill="00FFFF"/>
        </w:rPr>
        <w:t>take place</w:t>
      </w:r>
      <w:r>
        <w:rPr>
          <w:rFonts w:ascii="Calibri" w:hAnsi="Calibri" w:cs="Calibri"/>
          <w:color w:val="000000"/>
          <w:sz w:val="22"/>
          <w:szCs w:val="22"/>
          <w:u w:val="single"/>
        </w:rPr>
        <w:t xml:space="preserve"> within their borders</w:t>
      </w:r>
      <w:r>
        <w:rPr>
          <w:rFonts w:ascii="Calibri" w:hAnsi="Calibri" w:cs="Calibri"/>
          <w:color w:val="000000"/>
          <w:sz w:val="22"/>
          <w:szCs w:val="22"/>
        </w:rPr>
        <w:t>."7 9 In accord, the Justice Department advised that "it is left to the states to decide whether to permit gambling activities based upon sporting events."80 </w:t>
      </w:r>
    </w:p>
    <w:p w14:paraId="11953A73" w14:textId="77777777" w:rsidR="00B01139" w:rsidRDefault="00B01139" w:rsidP="00B01139">
      <w:pPr>
        <w:pStyle w:val="NormalWeb"/>
        <w:spacing w:before="0" w:beforeAutospacing="0" w:after="160" w:afterAutospacing="0"/>
      </w:pPr>
      <w:r>
        <w:rPr>
          <w:rFonts w:ascii="Calibri" w:hAnsi="Calibri" w:cs="Calibri"/>
          <w:color w:val="000000"/>
          <w:sz w:val="22"/>
          <w:szCs w:val="22"/>
        </w:rPr>
        <w:t>Against this backdrop, specific examples from various league and team statements submitted to government regulators and federal/state lawmakers are illustrative.81</w:t>
      </w:r>
    </w:p>
    <w:p w14:paraId="24EFF6C4"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In conjunction with a September 27, </w:t>
      </w:r>
      <w:proofErr w:type="gramStart"/>
      <w:r>
        <w:rPr>
          <w:rFonts w:ascii="Calibri" w:hAnsi="Calibri" w:cs="Calibri"/>
          <w:color w:val="000000"/>
          <w:sz w:val="22"/>
          <w:szCs w:val="22"/>
        </w:rPr>
        <w:t>2018</w:t>
      </w:r>
      <w:proofErr w:type="gramEnd"/>
      <w:r>
        <w:rPr>
          <w:rFonts w:ascii="Calibri" w:hAnsi="Calibri" w:cs="Calibri"/>
          <w:color w:val="000000"/>
          <w:sz w:val="22"/>
          <w:szCs w:val="22"/>
        </w:rPr>
        <w:t xml:space="preserve"> Congressional hearing, the NFL filed a one-page document entitled "Protecting Sports Integrity After PASPA." In its submission, the NFL wrote that one of the "[k]</w:t>
      </w:r>
      <w:proofErr w:type="spellStart"/>
      <w:r>
        <w:rPr>
          <w:rFonts w:ascii="Calibri" w:hAnsi="Calibri" w:cs="Calibri"/>
          <w:color w:val="000000"/>
          <w:sz w:val="22"/>
          <w:szCs w:val="22"/>
        </w:rPr>
        <w:t>ey</w:t>
      </w:r>
      <w:proofErr w:type="spellEnd"/>
      <w:r>
        <w:rPr>
          <w:rFonts w:ascii="Calibri" w:hAnsi="Calibri" w:cs="Calibri"/>
          <w:color w:val="000000"/>
          <w:sz w:val="22"/>
          <w:szCs w:val="22"/>
        </w:rPr>
        <w:t xml:space="preserve"> [c]</w:t>
      </w:r>
      <w:proofErr w:type="spellStart"/>
      <w:r>
        <w:rPr>
          <w:rFonts w:ascii="Calibri" w:hAnsi="Calibri" w:cs="Calibri"/>
          <w:color w:val="000000"/>
          <w:sz w:val="22"/>
          <w:szCs w:val="22"/>
        </w:rPr>
        <w:t>omponents</w:t>
      </w:r>
      <w:proofErr w:type="spellEnd"/>
      <w:r>
        <w:rPr>
          <w:rFonts w:ascii="Calibri" w:hAnsi="Calibri" w:cs="Calibri"/>
          <w:color w:val="000000"/>
          <w:sz w:val="22"/>
          <w:szCs w:val="22"/>
        </w:rPr>
        <w:t xml:space="preserve"> of [m]</w:t>
      </w:r>
      <w:proofErr w:type="spellStart"/>
      <w:r>
        <w:rPr>
          <w:rFonts w:ascii="Calibri" w:hAnsi="Calibri" w:cs="Calibri"/>
          <w:color w:val="000000"/>
          <w:sz w:val="22"/>
          <w:szCs w:val="22"/>
        </w:rPr>
        <w:t>odel</w:t>
      </w:r>
      <w:proofErr w:type="spellEnd"/>
      <w:r>
        <w:rPr>
          <w:rFonts w:ascii="Calibri" w:hAnsi="Calibri" w:cs="Calibri"/>
          <w:color w:val="000000"/>
          <w:sz w:val="22"/>
          <w:szCs w:val="22"/>
        </w:rPr>
        <w:t xml:space="preserve"> [p]</w:t>
      </w:r>
      <w:proofErr w:type="spellStart"/>
      <w:r>
        <w:rPr>
          <w:rFonts w:ascii="Calibri" w:hAnsi="Calibri" w:cs="Calibri"/>
          <w:color w:val="000000"/>
          <w:sz w:val="22"/>
          <w:szCs w:val="22"/>
        </w:rPr>
        <w:t>ost</w:t>
      </w:r>
      <w:proofErr w:type="spellEnd"/>
      <w:r>
        <w:rPr>
          <w:rFonts w:ascii="Calibri" w:hAnsi="Calibri" w:cs="Calibri"/>
          <w:color w:val="000000"/>
          <w:sz w:val="22"/>
          <w:szCs w:val="22"/>
        </w:rPr>
        <w:t>-PASPA [</w:t>
      </w:r>
      <w:proofErr w:type="gramStart"/>
      <w:r>
        <w:rPr>
          <w:rFonts w:ascii="Calibri" w:hAnsi="Calibri" w:cs="Calibri"/>
          <w:color w:val="000000"/>
          <w:sz w:val="22"/>
          <w:szCs w:val="22"/>
        </w:rPr>
        <w:t>1]</w:t>
      </w:r>
      <w:proofErr w:type="spellStart"/>
      <w:r>
        <w:rPr>
          <w:rFonts w:ascii="Calibri" w:hAnsi="Calibri" w:cs="Calibri"/>
          <w:color w:val="000000"/>
          <w:sz w:val="22"/>
          <w:szCs w:val="22"/>
        </w:rPr>
        <w:t>egislation</w:t>
      </w:r>
      <w:proofErr w:type="spellEnd"/>
      <w:proofErr w:type="gramEnd"/>
      <w:r>
        <w:rPr>
          <w:rFonts w:ascii="Calibri" w:hAnsi="Calibri" w:cs="Calibri"/>
          <w:color w:val="000000"/>
          <w:sz w:val="22"/>
          <w:szCs w:val="22"/>
        </w:rPr>
        <w:t>" would include "league consent for betting on league events."' 8 2 The NFL expanded on this point in a separate filing to the same Congressional subcommittee. The NFL wrote: "Specifically, professional and amateur sports organizations should be able to restrict, limit, or exclude wagers that are not determined solely by the final score or outcome of the event[.]"8 3 The foregoing sentence was also included in separate filings in Illinois" and Pennsylvania." </w:t>
      </w:r>
    </w:p>
    <w:p w14:paraId="24DA7E65" w14:textId="77777777" w:rsidR="00B01139" w:rsidRDefault="00B01139" w:rsidP="00B01139">
      <w:pPr>
        <w:pStyle w:val="NormalWeb"/>
        <w:spacing w:before="0" w:beforeAutospacing="0" w:after="160" w:afterAutospacing="0"/>
      </w:pPr>
      <w:r>
        <w:rPr>
          <w:rFonts w:ascii="Calibri" w:hAnsi="Calibri" w:cs="Calibri"/>
          <w:color w:val="000000"/>
          <w:sz w:val="22"/>
          <w:szCs w:val="22"/>
        </w:rPr>
        <w:t>According to a formal statement filed by the NBA in both New York and Kansas: </w:t>
      </w:r>
    </w:p>
    <w:p w14:paraId="6D2F9D37" w14:textId="77777777" w:rsidR="00B01139" w:rsidRDefault="00B01139" w:rsidP="00B01139">
      <w:pPr>
        <w:pStyle w:val="NormalWeb"/>
        <w:spacing w:before="0" w:beforeAutospacing="0" w:after="160" w:afterAutospacing="0"/>
      </w:pPr>
      <w:r>
        <w:rPr>
          <w:rFonts w:ascii="Calibri" w:hAnsi="Calibri" w:cs="Calibri"/>
          <w:color w:val="000000"/>
          <w:sz w:val="22"/>
          <w:szCs w:val="22"/>
        </w:rPr>
        <w:t>[L]</w:t>
      </w:r>
      <w:proofErr w:type="spellStart"/>
      <w:r>
        <w:rPr>
          <w:rFonts w:ascii="Calibri" w:hAnsi="Calibri" w:cs="Calibri"/>
          <w:color w:val="000000"/>
          <w:sz w:val="22"/>
          <w:szCs w:val="22"/>
        </w:rPr>
        <w:t>eagues</w:t>
      </w:r>
      <w:proofErr w:type="spellEnd"/>
      <w:r>
        <w:rPr>
          <w:rFonts w:ascii="Calibri" w:hAnsi="Calibri" w:cs="Calibri"/>
          <w:color w:val="000000"/>
          <w:sz w:val="22"/>
          <w:szCs w:val="22"/>
        </w:rPr>
        <w:t xml:space="preserve"> should have the right to restrict wagering on their own events. Certain types of bets are more susceptible to manipulation than others, such as whether a player will commit the first foul of the game. Different sports will have different types of bets, and so each league needs the ability to approve the types of wagering that are offered." </w:t>
      </w:r>
    </w:p>
    <w:p w14:paraId="56AF2D7B"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In a submission to the Kansas legislature, the Kansas City Royals-an MLB team-posited, in relevant part, that "the following requirements [are] necessary to legalizing sports betting in </w:t>
      </w:r>
      <w:proofErr w:type="gramStart"/>
      <w:r>
        <w:rPr>
          <w:rFonts w:ascii="Calibri" w:hAnsi="Calibri" w:cs="Calibri"/>
          <w:color w:val="000000"/>
          <w:sz w:val="22"/>
          <w:szCs w:val="22"/>
        </w:rPr>
        <w:t>Kansas:. . .</w:t>
      </w:r>
      <w:proofErr w:type="gramEnd"/>
      <w:r>
        <w:rPr>
          <w:rFonts w:ascii="Calibri" w:hAnsi="Calibri" w:cs="Calibri"/>
          <w:color w:val="000000"/>
          <w:sz w:val="22"/>
          <w:szCs w:val="22"/>
        </w:rPr>
        <w:t xml:space="preserve">the ability for sports leagues to opt-out of problematic forms of betting."" In February 2018, the NBA and MLB jointly disseminated a one-page summary sheet in West Virginia entitled "Protecting the Integrity of Sports in a Regulated Sports Betting Market" that declared: "Sports leagues must be able to </w:t>
      </w:r>
      <w:proofErr w:type="gramStart"/>
      <w:r>
        <w:rPr>
          <w:rFonts w:ascii="Calibri" w:hAnsi="Calibri" w:cs="Calibri"/>
          <w:color w:val="000000"/>
          <w:sz w:val="22"/>
          <w:szCs w:val="22"/>
        </w:rPr>
        <w:t>opt[</w:t>
      </w:r>
      <w:proofErr w:type="gramEnd"/>
      <w:r>
        <w:rPr>
          <w:rFonts w:ascii="Calibri" w:hAnsi="Calibri" w:cs="Calibri"/>
          <w:color w:val="000000"/>
          <w:sz w:val="22"/>
          <w:szCs w:val="22"/>
        </w:rPr>
        <w:t xml:space="preserve"> ]out of betting."" The NBA and MLB also reportedly co-wrote a "model" bill for States that included expanded language on this point: </w:t>
      </w:r>
    </w:p>
    <w:p w14:paraId="1970B41C" w14:textId="77777777" w:rsidR="00B01139" w:rsidRDefault="00B01139" w:rsidP="00B01139">
      <w:pPr>
        <w:pStyle w:val="NormalWeb"/>
        <w:spacing w:before="0" w:beforeAutospacing="0" w:after="160" w:afterAutospacing="0"/>
      </w:pPr>
      <w:r>
        <w:rPr>
          <w:rFonts w:ascii="Calibri" w:hAnsi="Calibri" w:cs="Calibri"/>
          <w:color w:val="000000"/>
          <w:sz w:val="22"/>
          <w:szCs w:val="22"/>
        </w:rPr>
        <w:t>A sports governing body may notify [regulating entity] that it desires to restrict, limit, or exclude wagering on its sporting events by providing notice in the form and manner as [regulating entity] may require, including without limitation[,] restrictions on the sources of data and associated video upon which an operator may rely in offering and paying wagers and the bet types that may be offered. Upon receiving such notice, [regulating entity] shall publish the wagering restrictions. Offering or taking wagers contrary to such published restrictions shall be a violation of this Act.89 </w:t>
      </w:r>
    </w:p>
    <w:p w14:paraId="13BA4348" w14:textId="77777777" w:rsidR="00B01139" w:rsidRDefault="00B01139" w:rsidP="00B01139">
      <w:pPr>
        <w:pStyle w:val="NormalWeb"/>
        <w:spacing w:before="0" w:beforeAutospacing="0" w:after="160" w:afterAutospacing="0"/>
      </w:pPr>
      <w:r>
        <w:rPr>
          <w:rFonts w:ascii="Calibri" w:hAnsi="Calibri" w:cs="Calibri"/>
          <w:color w:val="000000"/>
          <w:sz w:val="22"/>
          <w:szCs w:val="22"/>
        </w:rPr>
        <w:t>Beyond the leagues, a group of five player associations has made a similar request. In written testimony submitted to the Congressional hearing on September 27, 2018, the National Basketball Players Association, National Football League Players Association, Major League Baseball Players Association, and Major League Soccer Players Association wrote: "[A]</w:t>
      </w:r>
      <w:proofErr w:type="spellStart"/>
      <w:r>
        <w:rPr>
          <w:rFonts w:ascii="Calibri" w:hAnsi="Calibri" w:cs="Calibri"/>
          <w:color w:val="000000"/>
          <w:sz w:val="22"/>
          <w:szCs w:val="22"/>
        </w:rPr>
        <w:t>greement</w:t>
      </w:r>
      <w:proofErr w:type="spellEnd"/>
      <w:r>
        <w:rPr>
          <w:rFonts w:ascii="Calibri" w:hAnsi="Calibri" w:cs="Calibri"/>
          <w:color w:val="000000"/>
          <w:sz w:val="22"/>
          <w:szCs w:val="22"/>
        </w:rPr>
        <w:t xml:space="preserve"> should be required between the players and the leagues in which they play as to the kinds of bets that will be allowed in their particular sport."90 The formal statements from the various sports leagues and player associations mirror the policy stance of Senator Chuck Schumer (D-NY) who issued a two-page memo on August 29, 2018, that outlined his preferred approach to federal-level regulation. 9 1 Senator Schumer's optimal regulatory framework would "[r]</w:t>
      </w:r>
      <w:proofErr w:type="spellStart"/>
      <w:r>
        <w:rPr>
          <w:rFonts w:ascii="Calibri" w:hAnsi="Calibri" w:cs="Calibri"/>
          <w:color w:val="000000"/>
          <w:sz w:val="22"/>
          <w:szCs w:val="22"/>
        </w:rPr>
        <w:t>equire</w:t>
      </w:r>
      <w:proofErr w:type="spellEnd"/>
      <w:r>
        <w:rPr>
          <w:rFonts w:ascii="Calibri" w:hAnsi="Calibri" w:cs="Calibri"/>
          <w:color w:val="000000"/>
          <w:sz w:val="22"/>
          <w:szCs w:val="22"/>
        </w:rPr>
        <w:t xml:space="preserve"> agreement between the league or appropriate governing body and those entities taking bets on what types of bets will be permitted." 92 </w:t>
      </w:r>
    </w:p>
    <w:p w14:paraId="6BB3E1F8"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During the September 27, </w:t>
      </w:r>
      <w:proofErr w:type="gramStart"/>
      <w:r>
        <w:rPr>
          <w:rFonts w:ascii="Calibri" w:hAnsi="Calibri" w:cs="Calibri"/>
          <w:color w:val="000000"/>
          <w:sz w:val="22"/>
          <w:szCs w:val="22"/>
        </w:rPr>
        <w:t>2018</w:t>
      </w:r>
      <w:proofErr w:type="gramEnd"/>
      <w:r>
        <w:rPr>
          <w:rFonts w:ascii="Calibri" w:hAnsi="Calibri" w:cs="Calibri"/>
          <w:color w:val="000000"/>
          <w:sz w:val="22"/>
          <w:szCs w:val="22"/>
        </w:rPr>
        <w:t xml:space="preserve"> Congressional hearing, the American Gaming Association ("AGA") rebutted the NFL's suggestion that sports leagues should be empowered to regulate sports betting by controlling the type of wagers offered. 93 The AGA's rebuttal focused on Nevada's approach to the issue and practical business considerations, not the constitutional implications stemming from the delegation of regulatory authority to private sports leagues. According to the AGA: </w:t>
      </w:r>
    </w:p>
    <w:p w14:paraId="6EF0C580" w14:textId="77777777" w:rsidR="00B01139" w:rsidRDefault="00B01139" w:rsidP="00B01139">
      <w:pPr>
        <w:pStyle w:val="NormalWeb"/>
        <w:spacing w:before="0" w:beforeAutospacing="0" w:after="160" w:afterAutospacing="0"/>
      </w:pPr>
      <w:r>
        <w:rPr>
          <w:rFonts w:ascii="Calibri" w:hAnsi="Calibri" w:cs="Calibri"/>
          <w:color w:val="000000"/>
          <w:sz w:val="22"/>
          <w:szCs w:val="22"/>
        </w:rPr>
        <w:t>[A] few major sport leagues have proposed they be able to restrict, at their sole discretion, the types of bets allowed on their games. This suggestion was made based on the leagues' concerns that certain types of bets could be more susceptible to manipulation in the betting market. While sports book operators are aligned on the underlying goal of preventing market manipulation-which could severely impact both their business reputations and bottom lines-we see this proposal as counterproductive and unnecessary. Sports book operators already have significant economic incentive to avoid offering bets that pose a significant risk. Moreover, attempts to restrict bets that have broad customer demand would further empower illegal operators that don't abide by the same set of rules. </w:t>
      </w:r>
    </w:p>
    <w:p w14:paraId="25D5BA9C"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As the only state with a long enough history to be used as a case study, Nevada has gotten this right. Sports leagues </w:t>
      </w:r>
      <w:proofErr w:type="gramStart"/>
      <w:r>
        <w:rPr>
          <w:rFonts w:ascii="Calibri" w:hAnsi="Calibri" w:cs="Calibri"/>
          <w:color w:val="000000"/>
          <w:sz w:val="22"/>
          <w:szCs w:val="22"/>
        </w:rPr>
        <w:t>have the ability to</w:t>
      </w:r>
      <w:proofErr w:type="gramEnd"/>
      <w:r>
        <w:rPr>
          <w:rFonts w:ascii="Calibri" w:hAnsi="Calibri" w:cs="Calibri"/>
          <w:color w:val="000000"/>
          <w:sz w:val="22"/>
          <w:szCs w:val="22"/>
        </w:rPr>
        <w:t xml:space="preserve"> ask the Nevada Gaming Commission to restrict wagering on games involving that league's Nevada-based teams, or on league's contests which take place in Nevada. Even then, there is no unilateral ability for any league to call the shots when it comes to what bets sportsbooks can offer. In the past decade, the leagues have not once availed themselves of this option. 94 </w:t>
      </w:r>
    </w:p>
    <w:p w14:paraId="1364B6EF" w14:textId="77777777" w:rsidR="00B01139" w:rsidRDefault="00B01139" w:rsidP="00B01139">
      <w:pPr>
        <w:pStyle w:val="NormalWeb"/>
        <w:spacing w:before="0" w:beforeAutospacing="0" w:after="160" w:afterAutospacing="0"/>
      </w:pPr>
      <w:r>
        <w:rPr>
          <w:rFonts w:ascii="Calibri" w:hAnsi="Calibri" w:cs="Calibri"/>
          <w:color w:val="000000"/>
          <w:sz w:val="22"/>
          <w:szCs w:val="22"/>
        </w:rPr>
        <w:t>Sports leagues are in direct competition with sports betting operators, as illustrated by the following examples: </w:t>
      </w:r>
    </w:p>
    <w:p w14:paraId="19CAB483"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 Sports leagues and owners of league teams hold-or held-equity stakes in FanDuel and DraftKings, two companies that are now functioning as </w:t>
      </w:r>
      <w:proofErr w:type="spellStart"/>
      <w:r>
        <w:rPr>
          <w:rFonts w:ascii="Calibri" w:hAnsi="Calibri" w:cs="Calibri"/>
          <w:color w:val="000000"/>
          <w:sz w:val="22"/>
          <w:szCs w:val="22"/>
        </w:rPr>
        <w:t>fullblown</w:t>
      </w:r>
      <w:proofErr w:type="spellEnd"/>
      <w:r>
        <w:rPr>
          <w:rFonts w:ascii="Calibri" w:hAnsi="Calibri" w:cs="Calibri"/>
          <w:color w:val="000000"/>
          <w:sz w:val="22"/>
          <w:szCs w:val="22"/>
        </w:rPr>
        <w:t xml:space="preserve"> </w:t>
      </w:r>
      <w:proofErr w:type="gramStart"/>
      <w:r>
        <w:rPr>
          <w:rFonts w:ascii="Calibri" w:hAnsi="Calibri" w:cs="Calibri"/>
          <w:color w:val="000000"/>
          <w:sz w:val="22"/>
          <w:szCs w:val="22"/>
        </w:rPr>
        <w:t>sportsbooks;</w:t>
      </w:r>
      <w:proofErr w:type="gramEnd"/>
      <w:r>
        <w:rPr>
          <w:rFonts w:ascii="Calibri" w:hAnsi="Calibri" w:cs="Calibri"/>
          <w:color w:val="000000"/>
          <w:sz w:val="22"/>
          <w:szCs w:val="22"/>
        </w:rPr>
        <w:t xml:space="preserve"> 95 </w:t>
      </w:r>
    </w:p>
    <w:p w14:paraId="107BB639" w14:textId="77777777" w:rsidR="00B01139" w:rsidRDefault="00B01139" w:rsidP="00B01139">
      <w:pPr>
        <w:pStyle w:val="NormalWeb"/>
        <w:spacing w:before="0" w:beforeAutospacing="0" w:after="160" w:afterAutospacing="0"/>
      </w:pPr>
      <w:r>
        <w:rPr>
          <w:rFonts w:ascii="Calibri" w:hAnsi="Calibri" w:cs="Calibri"/>
          <w:color w:val="000000"/>
          <w:sz w:val="22"/>
          <w:szCs w:val="22"/>
        </w:rPr>
        <w:t>* Sports leagues and owners of league teams hold equity stakes in businesses who disseminate gambling data domestically and internationally; 96 </w:t>
      </w:r>
    </w:p>
    <w:p w14:paraId="750A57C2" w14:textId="77777777" w:rsidR="00B01139" w:rsidRDefault="00B01139" w:rsidP="00B01139">
      <w:pPr>
        <w:pStyle w:val="NormalWeb"/>
        <w:spacing w:before="0" w:beforeAutospacing="0" w:after="160" w:afterAutospacing="0"/>
      </w:pPr>
      <w:r>
        <w:rPr>
          <w:rFonts w:ascii="Calibri" w:hAnsi="Calibri" w:cs="Calibri"/>
          <w:color w:val="000000"/>
          <w:sz w:val="22"/>
          <w:szCs w:val="22"/>
        </w:rPr>
        <w:t xml:space="preserve">* Individual league teams and certain sports leagues-such as the NHL, NBA, and MLB-have </w:t>
      </w:r>
      <w:proofErr w:type="gramStart"/>
      <w:r>
        <w:rPr>
          <w:rFonts w:ascii="Calibri" w:hAnsi="Calibri" w:cs="Calibri"/>
          <w:color w:val="000000"/>
          <w:sz w:val="22"/>
          <w:szCs w:val="22"/>
        </w:rPr>
        <w:t>entered into</w:t>
      </w:r>
      <w:proofErr w:type="gramEnd"/>
      <w:r>
        <w:rPr>
          <w:rFonts w:ascii="Calibri" w:hAnsi="Calibri" w:cs="Calibri"/>
          <w:color w:val="000000"/>
          <w:sz w:val="22"/>
          <w:szCs w:val="22"/>
        </w:rPr>
        <w:t xml:space="preserve"> 'official gaming partnerships' or advertising deals with some, but not all, sportsbooks; 97 </w:t>
      </w:r>
    </w:p>
    <w:p w14:paraId="28D5B061" w14:textId="77777777" w:rsidR="00B01139" w:rsidRDefault="00B01139" w:rsidP="00B01139">
      <w:pPr>
        <w:pStyle w:val="NormalWeb"/>
        <w:spacing w:before="0" w:beforeAutospacing="0" w:after="160" w:afterAutospacing="0"/>
      </w:pPr>
      <w:r>
        <w:rPr>
          <w:rFonts w:ascii="Calibri" w:hAnsi="Calibri" w:cs="Calibri"/>
          <w:color w:val="000000"/>
          <w:sz w:val="22"/>
          <w:szCs w:val="22"/>
        </w:rPr>
        <w:t>* Certain sports leagues-such as the NBA and MLB-are lobbying to extract an "integrity fee" and/or "royalty" from sportsbooks; 98 </w:t>
      </w:r>
    </w:p>
    <w:p w14:paraId="28DC394E" w14:textId="77777777" w:rsidR="00B01139" w:rsidRDefault="00B01139" w:rsidP="00B01139">
      <w:pPr>
        <w:pStyle w:val="NormalWeb"/>
        <w:spacing w:before="0" w:beforeAutospacing="0" w:after="160" w:afterAutospacing="0"/>
      </w:pPr>
      <w:r>
        <w:rPr>
          <w:rFonts w:ascii="Calibri" w:hAnsi="Calibri" w:cs="Calibri"/>
          <w:color w:val="000000"/>
          <w:sz w:val="22"/>
          <w:szCs w:val="22"/>
        </w:rPr>
        <w:t>* Certain sports leagues-such as the NCAA, NFL, NBA, and MLB-are lobbying for a statutory mandate pertaining to sports betting-relevant data; 99 and </w:t>
      </w:r>
    </w:p>
    <w:p w14:paraId="238F246D" w14:textId="77777777" w:rsidR="00B01139" w:rsidRDefault="00B01139" w:rsidP="00B01139">
      <w:pPr>
        <w:pStyle w:val="NormalWeb"/>
        <w:spacing w:before="0" w:beforeAutospacing="0" w:after="160" w:afterAutospacing="0"/>
      </w:pPr>
      <w:r>
        <w:rPr>
          <w:rFonts w:ascii="Calibri" w:hAnsi="Calibri" w:cs="Calibri"/>
          <w:color w:val="000000"/>
          <w:sz w:val="22"/>
          <w:szCs w:val="22"/>
        </w:rPr>
        <w:t>* Certain sports leagues-such as the NBA and MLB-are lobbying for sports betting "exclusivity zones" in certain geographic areas.' </w:t>
      </w:r>
    </w:p>
    <w:p w14:paraId="236F38A9" w14:textId="45754130" w:rsidR="00B01139" w:rsidRPr="007E118B" w:rsidRDefault="00B01139" w:rsidP="00B01139">
      <w:pPr>
        <w:rPr>
          <w:sz w:val="16"/>
        </w:rPr>
      </w:pPr>
      <w:r>
        <w:rPr>
          <w:color w:val="000000"/>
        </w:rPr>
        <w:t xml:space="preserve">Suggestions that </w:t>
      </w:r>
      <w:proofErr w:type="gramStart"/>
      <w:r>
        <w:rPr>
          <w:color w:val="000000"/>
        </w:rPr>
        <w:t>sports</w:t>
      </w:r>
      <w:proofErr w:type="gramEnd"/>
      <w:r>
        <w:rPr>
          <w:color w:val="000000"/>
        </w:rPr>
        <w:t xml:space="preserve"> leagues should have the unilateral right to regulate sports betting via statute is the precise type of </w:t>
      </w:r>
      <w:proofErr w:type="gramStart"/>
      <w:r>
        <w:rPr>
          <w:color w:val="000000"/>
        </w:rPr>
        <w:t>privately-held</w:t>
      </w:r>
      <w:proofErr w:type="gramEnd"/>
      <w:r>
        <w:rPr>
          <w:color w:val="000000"/>
        </w:rPr>
        <w:t xml:space="preserve"> regulatory power Justice Alito cautioned against in in his Amtrak concurrence. The concerns expressed in Carter Coal and Amtrak are applicable to any potential case if Congress (or one or more States) were to enact a law providing sports leagues with the right to regulate sports wagering via any type of consent, veto, restriction, or opt-out right. Accordingly</w:t>
      </w:r>
      <w:r>
        <w:rPr>
          <w:color w:val="000000"/>
          <w:u w:val="single"/>
        </w:rPr>
        <w:t xml:space="preserve">, any </w:t>
      </w:r>
      <w:r>
        <w:rPr>
          <w:color w:val="000000"/>
          <w:u w:val="single"/>
          <w:shd w:val="clear" w:color="auto" w:fill="00FFFF"/>
        </w:rPr>
        <w:t>Congressional grant of</w:t>
      </w:r>
      <w:r>
        <w:rPr>
          <w:color w:val="000000"/>
          <w:u w:val="single"/>
        </w:rPr>
        <w:t xml:space="preserve"> such </w:t>
      </w:r>
      <w:r>
        <w:rPr>
          <w:color w:val="000000"/>
          <w:u w:val="single"/>
          <w:shd w:val="clear" w:color="auto" w:fill="00FFFF"/>
        </w:rPr>
        <w:t>regulatory power</w:t>
      </w:r>
      <w:r>
        <w:rPr>
          <w:color w:val="000000"/>
          <w:u w:val="single"/>
        </w:rPr>
        <w:t xml:space="preserve"> to sports leagues </w:t>
      </w:r>
      <w:r>
        <w:rPr>
          <w:color w:val="000000"/>
          <w:u w:val="single"/>
          <w:shd w:val="clear" w:color="auto" w:fill="00FFFF"/>
        </w:rPr>
        <w:t xml:space="preserve">would violate the </w:t>
      </w:r>
      <w:r>
        <w:rPr>
          <w:b/>
          <w:bCs/>
          <w:color w:val="000000"/>
          <w:u w:val="single"/>
          <w:shd w:val="clear" w:color="auto" w:fill="00FFFF"/>
        </w:rPr>
        <w:t>private nondelegation doctrine</w:t>
      </w:r>
      <w:r>
        <w:rPr>
          <w:color w:val="000000"/>
        </w:rPr>
        <w:t xml:space="preserve">.101 </w:t>
      </w:r>
      <w:r>
        <w:rPr>
          <w:color w:val="000000"/>
          <w:u w:val="single"/>
          <w:shd w:val="clear" w:color="auto" w:fill="00FFFF"/>
        </w:rPr>
        <w:t>Bestowing</w:t>
      </w:r>
      <w:r>
        <w:rPr>
          <w:color w:val="000000"/>
          <w:u w:val="single"/>
        </w:rPr>
        <w:t xml:space="preserve"> sports </w:t>
      </w:r>
      <w:r>
        <w:rPr>
          <w:color w:val="000000"/>
          <w:u w:val="single"/>
          <w:shd w:val="clear" w:color="auto" w:fill="00FFFF"/>
        </w:rPr>
        <w:t>leagues with</w:t>
      </w:r>
      <w:r>
        <w:rPr>
          <w:color w:val="000000"/>
          <w:u w:val="single"/>
        </w:rPr>
        <w:t xml:space="preserve"> such </w:t>
      </w:r>
      <w:r>
        <w:rPr>
          <w:color w:val="000000"/>
          <w:u w:val="single"/>
          <w:shd w:val="clear" w:color="auto" w:fill="00FFFF"/>
        </w:rPr>
        <w:t xml:space="preserve">coercive power </w:t>
      </w:r>
      <w:r>
        <w:rPr>
          <w:b/>
          <w:bCs/>
          <w:color w:val="000000"/>
          <w:u w:val="single"/>
          <w:shd w:val="clear" w:color="auto" w:fill="00FFFF"/>
        </w:rPr>
        <w:t>runs counter</w:t>
      </w:r>
      <w:r>
        <w:rPr>
          <w:color w:val="000000"/>
          <w:u w:val="single"/>
          <w:shd w:val="clear" w:color="auto" w:fill="00FFFF"/>
        </w:rPr>
        <w:t xml:space="preserve"> to the </w:t>
      </w:r>
      <w:r>
        <w:rPr>
          <w:b/>
          <w:bCs/>
          <w:color w:val="000000"/>
          <w:u w:val="single"/>
          <w:shd w:val="clear" w:color="auto" w:fill="00FFFF"/>
        </w:rPr>
        <w:t>Due Process Clause</w:t>
      </w:r>
      <w:r>
        <w:rPr>
          <w:color w:val="000000"/>
        </w:rPr>
        <w:t>, too. 102</w:t>
      </w:r>
    </w:p>
    <w:sectPr w:rsidR="00B01139" w:rsidRPr="007E11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93824" w14:textId="77777777" w:rsidR="00986DEB" w:rsidRDefault="00986DEB" w:rsidP="00066D2C">
      <w:pPr>
        <w:spacing w:after="0" w:line="240" w:lineRule="auto"/>
      </w:pPr>
      <w:r>
        <w:separator/>
      </w:r>
    </w:p>
  </w:endnote>
  <w:endnote w:type="continuationSeparator" w:id="0">
    <w:p w14:paraId="11B70A80" w14:textId="77777777" w:rsidR="00986DEB" w:rsidRDefault="00986DE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A8623" w14:textId="77777777" w:rsidR="00986DEB" w:rsidRDefault="00986DEB" w:rsidP="00066D2C">
      <w:pPr>
        <w:spacing w:after="0" w:line="240" w:lineRule="auto"/>
      </w:pPr>
      <w:r>
        <w:separator/>
      </w:r>
    </w:p>
  </w:footnote>
  <w:footnote w:type="continuationSeparator" w:id="0">
    <w:p w14:paraId="7A80689F" w14:textId="77777777" w:rsidR="00986DEB" w:rsidRDefault="00986DE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C91E2D"/>
    <w:multiLevelType w:val="hybridMultilevel"/>
    <w:tmpl w:val="2FCAC1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419969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1688408"/>
    <w:docVar w:name="Team" w:val="Harker"/>
    <w:docVar w:name="VerbatimVersion" w:val="6.0.0"/>
    <w:docVar w:name="WordVersion" w:val="16.0"/>
  </w:docVars>
  <w:rsids>
    <w:rsidRoot w:val="00583C0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044"/>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0A4"/>
    <w:rsid w:val="00113BA1"/>
    <w:rsid w:val="00114316"/>
    <w:rsid w:val="001149FE"/>
    <w:rsid w:val="00117F85"/>
    <w:rsid w:val="00117F87"/>
    <w:rsid w:val="001218F5"/>
    <w:rsid w:val="00122202"/>
    <w:rsid w:val="00126B17"/>
    <w:rsid w:val="00127061"/>
    <w:rsid w:val="00131B53"/>
    <w:rsid w:val="001327C1"/>
    <w:rsid w:val="001329A3"/>
    <w:rsid w:val="00134120"/>
    <w:rsid w:val="001356C8"/>
    <w:rsid w:val="00136B4B"/>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574"/>
    <w:rsid w:val="00186B65"/>
    <w:rsid w:val="00190CDA"/>
    <w:rsid w:val="00196816"/>
    <w:rsid w:val="0019779A"/>
    <w:rsid w:val="001977CD"/>
    <w:rsid w:val="0019782C"/>
    <w:rsid w:val="001A07A2"/>
    <w:rsid w:val="001A1422"/>
    <w:rsid w:val="001A3079"/>
    <w:rsid w:val="001A4D9A"/>
    <w:rsid w:val="001A64F0"/>
    <w:rsid w:val="001A6960"/>
    <w:rsid w:val="001B1595"/>
    <w:rsid w:val="001B1762"/>
    <w:rsid w:val="001B18CF"/>
    <w:rsid w:val="001B2C27"/>
    <w:rsid w:val="001B536D"/>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068"/>
    <w:rsid w:val="002234FB"/>
    <w:rsid w:val="002236EB"/>
    <w:rsid w:val="00225437"/>
    <w:rsid w:val="002263A1"/>
    <w:rsid w:val="00232746"/>
    <w:rsid w:val="00236707"/>
    <w:rsid w:val="00241116"/>
    <w:rsid w:val="0024328E"/>
    <w:rsid w:val="002508CB"/>
    <w:rsid w:val="002514A7"/>
    <w:rsid w:val="00253733"/>
    <w:rsid w:val="00255D2D"/>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74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ECB"/>
    <w:rsid w:val="0031761F"/>
    <w:rsid w:val="00323E50"/>
    <w:rsid w:val="0032545C"/>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7F7"/>
    <w:rsid w:val="0039157C"/>
    <w:rsid w:val="00392D93"/>
    <w:rsid w:val="00393EF2"/>
    <w:rsid w:val="00394F71"/>
    <w:rsid w:val="00396C8D"/>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7F9"/>
    <w:rsid w:val="00413D91"/>
    <w:rsid w:val="00414EB4"/>
    <w:rsid w:val="0042036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3D9"/>
    <w:rsid w:val="00480A40"/>
    <w:rsid w:val="004827C9"/>
    <w:rsid w:val="00486F5E"/>
    <w:rsid w:val="004875B9"/>
    <w:rsid w:val="00491C5F"/>
    <w:rsid w:val="0049341D"/>
    <w:rsid w:val="00493AA8"/>
    <w:rsid w:val="00496937"/>
    <w:rsid w:val="004A2B4E"/>
    <w:rsid w:val="004A40AB"/>
    <w:rsid w:val="004A539A"/>
    <w:rsid w:val="004A74B8"/>
    <w:rsid w:val="004B3C97"/>
    <w:rsid w:val="004B4D3B"/>
    <w:rsid w:val="004B5436"/>
    <w:rsid w:val="004C10F4"/>
    <w:rsid w:val="004C2990"/>
    <w:rsid w:val="004C5E96"/>
    <w:rsid w:val="004C77A3"/>
    <w:rsid w:val="004C7B42"/>
    <w:rsid w:val="004D05AA"/>
    <w:rsid w:val="004D14C3"/>
    <w:rsid w:val="004D2C8F"/>
    <w:rsid w:val="004D43AE"/>
    <w:rsid w:val="004D5D21"/>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C07"/>
    <w:rsid w:val="00585F11"/>
    <w:rsid w:val="005906F9"/>
    <w:rsid w:val="005932B4"/>
    <w:rsid w:val="005A2CE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DA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E9E"/>
    <w:rsid w:val="006633F4"/>
    <w:rsid w:val="0066638E"/>
    <w:rsid w:val="00666CC0"/>
    <w:rsid w:val="00673C22"/>
    <w:rsid w:val="0067482D"/>
    <w:rsid w:val="0067732F"/>
    <w:rsid w:val="00681007"/>
    <w:rsid w:val="0068122B"/>
    <w:rsid w:val="00681DD9"/>
    <w:rsid w:val="00682252"/>
    <w:rsid w:val="00682F5C"/>
    <w:rsid w:val="00687555"/>
    <w:rsid w:val="006905E6"/>
    <w:rsid w:val="00690E39"/>
    <w:rsid w:val="00691FF9"/>
    <w:rsid w:val="0069285F"/>
    <w:rsid w:val="0069752C"/>
    <w:rsid w:val="006A0DE5"/>
    <w:rsid w:val="006A0F5C"/>
    <w:rsid w:val="006A3677"/>
    <w:rsid w:val="006A5B27"/>
    <w:rsid w:val="006B1653"/>
    <w:rsid w:val="006B49A5"/>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066"/>
    <w:rsid w:val="00722E77"/>
    <w:rsid w:val="007245F1"/>
    <w:rsid w:val="007247B8"/>
    <w:rsid w:val="0072731C"/>
    <w:rsid w:val="0073056C"/>
    <w:rsid w:val="00735B1F"/>
    <w:rsid w:val="00737502"/>
    <w:rsid w:val="00740B3A"/>
    <w:rsid w:val="00740C8B"/>
    <w:rsid w:val="00743263"/>
    <w:rsid w:val="007454B6"/>
    <w:rsid w:val="0074789B"/>
    <w:rsid w:val="0075011A"/>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3A4"/>
    <w:rsid w:val="007C0AED"/>
    <w:rsid w:val="007C0BEE"/>
    <w:rsid w:val="007C42F3"/>
    <w:rsid w:val="007C4FA7"/>
    <w:rsid w:val="007C5531"/>
    <w:rsid w:val="007C63A0"/>
    <w:rsid w:val="007C6D52"/>
    <w:rsid w:val="007C6F91"/>
    <w:rsid w:val="007C72C0"/>
    <w:rsid w:val="007D034D"/>
    <w:rsid w:val="007D12ED"/>
    <w:rsid w:val="007D2F9C"/>
    <w:rsid w:val="007E118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A78"/>
    <w:rsid w:val="00844377"/>
    <w:rsid w:val="008443EF"/>
    <w:rsid w:val="00846F90"/>
    <w:rsid w:val="00852FB9"/>
    <w:rsid w:val="008536B7"/>
    <w:rsid w:val="00860F34"/>
    <w:rsid w:val="00862AC4"/>
    <w:rsid w:val="0086319B"/>
    <w:rsid w:val="00866926"/>
    <w:rsid w:val="008674A6"/>
    <w:rsid w:val="0087210F"/>
    <w:rsid w:val="0087564D"/>
    <w:rsid w:val="00876000"/>
    <w:rsid w:val="0089108B"/>
    <w:rsid w:val="008915E4"/>
    <w:rsid w:val="00892EE6"/>
    <w:rsid w:val="008931B4"/>
    <w:rsid w:val="008973A2"/>
    <w:rsid w:val="008A0E76"/>
    <w:rsid w:val="008A42FE"/>
    <w:rsid w:val="008A4F23"/>
    <w:rsid w:val="008A713B"/>
    <w:rsid w:val="008A766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A48"/>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BF3"/>
    <w:rsid w:val="009632EF"/>
    <w:rsid w:val="00973D8A"/>
    <w:rsid w:val="009804B4"/>
    <w:rsid w:val="00980709"/>
    <w:rsid w:val="00980BE0"/>
    <w:rsid w:val="0098278C"/>
    <w:rsid w:val="00986DEB"/>
    <w:rsid w:val="00991819"/>
    <w:rsid w:val="00992BBB"/>
    <w:rsid w:val="00995C85"/>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CB6"/>
    <w:rsid w:val="009E53AF"/>
    <w:rsid w:val="009E6896"/>
    <w:rsid w:val="009E6D4B"/>
    <w:rsid w:val="009E6DF5"/>
    <w:rsid w:val="009F02C5"/>
    <w:rsid w:val="009F076C"/>
    <w:rsid w:val="009F34CC"/>
    <w:rsid w:val="009F3C4D"/>
    <w:rsid w:val="009F479E"/>
    <w:rsid w:val="009F66D9"/>
    <w:rsid w:val="009F7D45"/>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A4D"/>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CBF"/>
    <w:rsid w:val="00AB2843"/>
    <w:rsid w:val="00AB3118"/>
    <w:rsid w:val="00AB6EF9"/>
    <w:rsid w:val="00AB6F32"/>
    <w:rsid w:val="00AC46C7"/>
    <w:rsid w:val="00AC5B71"/>
    <w:rsid w:val="00AC5F18"/>
    <w:rsid w:val="00AC6ED5"/>
    <w:rsid w:val="00AE00AE"/>
    <w:rsid w:val="00AE56E1"/>
    <w:rsid w:val="00AE6C9A"/>
    <w:rsid w:val="00AF2207"/>
    <w:rsid w:val="00AF2612"/>
    <w:rsid w:val="00AF2A61"/>
    <w:rsid w:val="00AF30D9"/>
    <w:rsid w:val="00AF5055"/>
    <w:rsid w:val="00AF63BF"/>
    <w:rsid w:val="00AF6B3B"/>
    <w:rsid w:val="00AF79DD"/>
    <w:rsid w:val="00AF7F2C"/>
    <w:rsid w:val="00AF7F46"/>
    <w:rsid w:val="00B01139"/>
    <w:rsid w:val="00B0178C"/>
    <w:rsid w:val="00B019F0"/>
    <w:rsid w:val="00B02885"/>
    <w:rsid w:val="00B04EC7"/>
    <w:rsid w:val="00B06440"/>
    <w:rsid w:val="00B07DC4"/>
    <w:rsid w:val="00B1231F"/>
    <w:rsid w:val="00B17927"/>
    <w:rsid w:val="00B2113E"/>
    <w:rsid w:val="00B2123B"/>
    <w:rsid w:val="00B2410E"/>
    <w:rsid w:val="00B2727D"/>
    <w:rsid w:val="00B301A2"/>
    <w:rsid w:val="00B31306"/>
    <w:rsid w:val="00B31350"/>
    <w:rsid w:val="00B315A8"/>
    <w:rsid w:val="00B32C3E"/>
    <w:rsid w:val="00B34A5A"/>
    <w:rsid w:val="00B41D37"/>
    <w:rsid w:val="00B45128"/>
    <w:rsid w:val="00B53152"/>
    <w:rsid w:val="00B53DB3"/>
    <w:rsid w:val="00B53E20"/>
    <w:rsid w:val="00B55654"/>
    <w:rsid w:val="00B66AF2"/>
    <w:rsid w:val="00B72848"/>
    <w:rsid w:val="00B74544"/>
    <w:rsid w:val="00B76600"/>
    <w:rsid w:val="00B77754"/>
    <w:rsid w:val="00B81054"/>
    <w:rsid w:val="00B820DB"/>
    <w:rsid w:val="00B837F0"/>
    <w:rsid w:val="00B83896"/>
    <w:rsid w:val="00B8493A"/>
    <w:rsid w:val="00B860A9"/>
    <w:rsid w:val="00B97264"/>
    <w:rsid w:val="00BA0143"/>
    <w:rsid w:val="00BA028B"/>
    <w:rsid w:val="00BA227A"/>
    <w:rsid w:val="00BA4C69"/>
    <w:rsid w:val="00BA61AF"/>
    <w:rsid w:val="00BB1630"/>
    <w:rsid w:val="00BB6860"/>
    <w:rsid w:val="00BC3256"/>
    <w:rsid w:val="00BC3592"/>
    <w:rsid w:val="00BC36DF"/>
    <w:rsid w:val="00BC4B41"/>
    <w:rsid w:val="00BC66ED"/>
    <w:rsid w:val="00BD11D3"/>
    <w:rsid w:val="00BD23EF"/>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CEA"/>
    <w:rsid w:val="00C12370"/>
    <w:rsid w:val="00C15000"/>
    <w:rsid w:val="00C15897"/>
    <w:rsid w:val="00C1616B"/>
    <w:rsid w:val="00C16B21"/>
    <w:rsid w:val="00C16DFC"/>
    <w:rsid w:val="00C2079E"/>
    <w:rsid w:val="00C221CD"/>
    <w:rsid w:val="00C24303"/>
    <w:rsid w:val="00C27729"/>
    <w:rsid w:val="00C312FA"/>
    <w:rsid w:val="00C332C4"/>
    <w:rsid w:val="00C334F5"/>
    <w:rsid w:val="00C3436E"/>
    <w:rsid w:val="00C35A03"/>
    <w:rsid w:val="00C36A05"/>
    <w:rsid w:val="00C40BA5"/>
    <w:rsid w:val="00C432D9"/>
    <w:rsid w:val="00C44166"/>
    <w:rsid w:val="00C45B5B"/>
    <w:rsid w:val="00C46F26"/>
    <w:rsid w:val="00C51687"/>
    <w:rsid w:val="00C5289C"/>
    <w:rsid w:val="00C56008"/>
    <w:rsid w:val="00C56CBC"/>
    <w:rsid w:val="00C602B7"/>
    <w:rsid w:val="00C617B0"/>
    <w:rsid w:val="00C62D2B"/>
    <w:rsid w:val="00C6344F"/>
    <w:rsid w:val="00C659E2"/>
    <w:rsid w:val="00C669AD"/>
    <w:rsid w:val="00C72510"/>
    <w:rsid w:val="00C731CA"/>
    <w:rsid w:val="00C77A6B"/>
    <w:rsid w:val="00C816E6"/>
    <w:rsid w:val="00C82587"/>
    <w:rsid w:val="00C84097"/>
    <w:rsid w:val="00C85607"/>
    <w:rsid w:val="00C87FA4"/>
    <w:rsid w:val="00C9181A"/>
    <w:rsid w:val="00C9487D"/>
    <w:rsid w:val="00C955CB"/>
    <w:rsid w:val="00C95664"/>
    <w:rsid w:val="00C96E53"/>
    <w:rsid w:val="00C96F39"/>
    <w:rsid w:val="00CA1597"/>
    <w:rsid w:val="00CA25CC"/>
    <w:rsid w:val="00CA2BA2"/>
    <w:rsid w:val="00CA3ACE"/>
    <w:rsid w:val="00CA5FFF"/>
    <w:rsid w:val="00CA7F86"/>
    <w:rsid w:val="00CB32EF"/>
    <w:rsid w:val="00CC1BDF"/>
    <w:rsid w:val="00CC21EC"/>
    <w:rsid w:val="00CC482B"/>
    <w:rsid w:val="00CD105E"/>
    <w:rsid w:val="00CD1FD1"/>
    <w:rsid w:val="00CD2E9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6"/>
    <w:rsid w:val="00D30C6D"/>
    <w:rsid w:val="00D321DB"/>
    <w:rsid w:val="00D32460"/>
    <w:rsid w:val="00D32EBF"/>
    <w:rsid w:val="00D343B3"/>
    <w:rsid w:val="00D35073"/>
    <w:rsid w:val="00D36085"/>
    <w:rsid w:val="00D421D9"/>
    <w:rsid w:val="00D43605"/>
    <w:rsid w:val="00D47529"/>
    <w:rsid w:val="00D47713"/>
    <w:rsid w:val="00D51103"/>
    <w:rsid w:val="00D53B1C"/>
    <w:rsid w:val="00D54A46"/>
    <w:rsid w:val="00D55A7A"/>
    <w:rsid w:val="00D568D5"/>
    <w:rsid w:val="00D56B6F"/>
    <w:rsid w:val="00D57878"/>
    <w:rsid w:val="00D60AB7"/>
    <w:rsid w:val="00D6226F"/>
    <w:rsid w:val="00D62BF7"/>
    <w:rsid w:val="00D70E15"/>
    <w:rsid w:val="00D714E5"/>
    <w:rsid w:val="00D7546D"/>
    <w:rsid w:val="00D75C54"/>
    <w:rsid w:val="00D839C5"/>
    <w:rsid w:val="00D84043"/>
    <w:rsid w:val="00D91348"/>
    <w:rsid w:val="00D93E62"/>
    <w:rsid w:val="00D9566D"/>
    <w:rsid w:val="00DA0EF7"/>
    <w:rsid w:val="00DA4B3F"/>
    <w:rsid w:val="00DA4EB6"/>
    <w:rsid w:val="00DA5F0C"/>
    <w:rsid w:val="00DB20EB"/>
    <w:rsid w:val="00DB33F6"/>
    <w:rsid w:val="00DB38CC"/>
    <w:rsid w:val="00DC08B6"/>
    <w:rsid w:val="00DC277F"/>
    <w:rsid w:val="00DC5193"/>
    <w:rsid w:val="00DD0950"/>
    <w:rsid w:val="00DD0BFE"/>
    <w:rsid w:val="00DD29B1"/>
    <w:rsid w:val="00DD4AF9"/>
    <w:rsid w:val="00DD5DF4"/>
    <w:rsid w:val="00DD5EE9"/>
    <w:rsid w:val="00DD7497"/>
    <w:rsid w:val="00DD782F"/>
    <w:rsid w:val="00DE0414"/>
    <w:rsid w:val="00DE0860"/>
    <w:rsid w:val="00DE0982"/>
    <w:rsid w:val="00DE1D11"/>
    <w:rsid w:val="00DE28ED"/>
    <w:rsid w:val="00DE419E"/>
    <w:rsid w:val="00DE44C3"/>
    <w:rsid w:val="00DE4D5E"/>
    <w:rsid w:val="00DE5819"/>
    <w:rsid w:val="00DE6892"/>
    <w:rsid w:val="00DF139C"/>
    <w:rsid w:val="00DF7D53"/>
    <w:rsid w:val="00E12F22"/>
    <w:rsid w:val="00E16008"/>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4A4"/>
    <w:rsid w:val="00E97D8B"/>
    <w:rsid w:val="00E97E1C"/>
    <w:rsid w:val="00EA3A5E"/>
    <w:rsid w:val="00EA5878"/>
    <w:rsid w:val="00EA7F55"/>
    <w:rsid w:val="00EB1CE6"/>
    <w:rsid w:val="00EB1F19"/>
    <w:rsid w:val="00EB7375"/>
    <w:rsid w:val="00EC06EA"/>
    <w:rsid w:val="00EC2660"/>
    <w:rsid w:val="00EC3057"/>
    <w:rsid w:val="00EC47C5"/>
    <w:rsid w:val="00ED087B"/>
    <w:rsid w:val="00ED5626"/>
    <w:rsid w:val="00ED5EB9"/>
    <w:rsid w:val="00ED6BFE"/>
    <w:rsid w:val="00ED6EE4"/>
    <w:rsid w:val="00ED7FE5"/>
    <w:rsid w:val="00EE0176"/>
    <w:rsid w:val="00EE0CD0"/>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C4EA89"/>
  <w15:chartTrackingRefBased/>
  <w15:docId w15:val="{77639721-E694-8F4E-BD39-2561B3EEF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0BE0"/>
    <w:rPr>
      <w:rFonts w:ascii="Calibri" w:hAnsi="Calibri" w:cs="Calibri"/>
    </w:rPr>
  </w:style>
  <w:style w:type="paragraph" w:styleId="Heading1">
    <w:name w:val="heading 1"/>
    <w:aliases w:val="Pocket"/>
    <w:basedOn w:val="Normal"/>
    <w:next w:val="Normal"/>
    <w:link w:val="Heading1Char"/>
    <w:qFormat/>
    <w:rsid w:val="00980B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80B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80B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980B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0BE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80B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0BE0"/>
  </w:style>
  <w:style w:type="character" w:styleId="Emphasis">
    <w:name w:val="Emphasis"/>
    <w:basedOn w:val="DefaultParagraphFont"/>
    <w:uiPriority w:val="8"/>
    <w:qFormat/>
    <w:rsid w:val="00980BE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80BE0"/>
    <w:rPr>
      <w:color w:val="auto"/>
      <w:u w:val="none"/>
    </w:rPr>
  </w:style>
  <w:style w:type="character" w:customStyle="1" w:styleId="Heading1Char">
    <w:name w:val="Heading 1 Char"/>
    <w:aliases w:val="Pocket Char"/>
    <w:basedOn w:val="DefaultParagraphFont"/>
    <w:link w:val="Heading1"/>
    <w:rsid w:val="00980B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0BE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80BE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80BE0"/>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980BE0"/>
    <w:rPr>
      <w:b/>
      <w:bCs/>
      <w:sz w:val="26"/>
      <w:u w:val="none"/>
    </w:rPr>
  </w:style>
  <w:style w:type="character" w:customStyle="1" w:styleId="StyleUnderline">
    <w:name w:val="Style Underline"/>
    <w:aliases w:val="Underline"/>
    <w:basedOn w:val="DefaultParagraphFont"/>
    <w:uiPriority w:val="7"/>
    <w:qFormat/>
    <w:rsid w:val="00980BE0"/>
    <w:rPr>
      <w:b w:val="0"/>
      <w:sz w:val="22"/>
      <w:u w:val="single"/>
    </w:rPr>
  </w:style>
  <w:style w:type="character" w:styleId="Strong">
    <w:name w:val="Strong"/>
    <w:basedOn w:val="DefaultParagraphFont"/>
    <w:uiPriority w:val="22"/>
    <w:semiHidden/>
    <w:qFormat/>
    <w:rsid w:val="00980BE0"/>
    <w:rPr>
      <w:b/>
      <w:bCs/>
    </w:rPr>
  </w:style>
  <w:style w:type="character" w:styleId="BookTitle">
    <w:name w:val="Book Title"/>
    <w:basedOn w:val="DefaultParagraphFont"/>
    <w:uiPriority w:val="33"/>
    <w:semiHidden/>
    <w:qFormat/>
    <w:rsid w:val="00980BE0"/>
    <w:rPr>
      <w:b/>
      <w:bCs/>
      <w:i/>
      <w:iCs/>
      <w:spacing w:val="5"/>
    </w:rPr>
  </w:style>
  <w:style w:type="character" w:customStyle="1" w:styleId="Heading5Char">
    <w:name w:val="Heading 5 Char"/>
    <w:basedOn w:val="DefaultParagraphFont"/>
    <w:link w:val="Heading5"/>
    <w:uiPriority w:val="9"/>
    <w:semiHidden/>
    <w:rsid w:val="00980B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0BE0"/>
  </w:style>
  <w:style w:type="paragraph" w:styleId="Header">
    <w:name w:val="header"/>
    <w:basedOn w:val="Normal"/>
    <w:link w:val="HeaderChar"/>
    <w:uiPriority w:val="99"/>
    <w:semiHidden/>
    <w:rsid w:val="00980B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0BE0"/>
    <w:rPr>
      <w:rFonts w:ascii="Calibri" w:hAnsi="Calibri" w:cs="Calibri"/>
    </w:rPr>
  </w:style>
  <w:style w:type="paragraph" w:styleId="Footer">
    <w:name w:val="footer"/>
    <w:basedOn w:val="Normal"/>
    <w:link w:val="FooterChar"/>
    <w:uiPriority w:val="99"/>
    <w:semiHidden/>
    <w:rsid w:val="00980BE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0BE0"/>
    <w:rPr>
      <w:rFonts w:ascii="Calibri" w:hAnsi="Calibri" w:cs="Calibri"/>
    </w:rPr>
  </w:style>
  <w:style w:type="paragraph" w:styleId="BodyText">
    <w:name w:val="Body Text"/>
    <w:basedOn w:val="Normal"/>
    <w:link w:val="BodyTextChar"/>
    <w:uiPriority w:val="99"/>
    <w:semiHidden/>
    <w:unhideWhenUsed/>
    <w:rsid w:val="00980BE0"/>
    <w:pPr>
      <w:spacing w:after="120"/>
    </w:pPr>
  </w:style>
  <w:style w:type="character" w:customStyle="1" w:styleId="BodyTextChar">
    <w:name w:val="Body Text Char"/>
    <w:basedOn w:val="DefaultParagraphFont"/>
    <w:link w:val="BodyText"/>
    <w:uiPriority w:val="99"/>
    <w:semiHidden/>
    <w:rsid w:val="00980BE0"/>
    <w:rPr>
      <w:rFonts w:ascii="Calibri" w:hAnsi="Calibri" w:cs="Calibri"/>
    </w:rPr>
  </w:style>
  <w:style w:type="paragraph" w:styleId="NoSpacing">
    <w:name w:val="No Spacing"/>
    <w:link w:val="NoSpacingChar"/>
    <w:uiPriority w:val="99"/>
    <w:semiHidden/>
    <w:unhideWhenUsed/>
    <w:qFormat/>
    <w:rsid w:val="00980BE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80BE0"/>
    <w:rPr>
      <w:rFonts w:ascii="Calibri" w:hAnsi="Calibri" w:cs="Calibri"/>
    </w:rPr>
  </w:style>
  <w:style w:type="character" w:styleId="Hyperlink">
    <w:name w:val="Hyperlink"/>
    <w:basedOn w:val="DefaultParagraphFont"/>
    <w:uiPriority w:val="99"/>
    <w:unhideWhenUsed/>
    <w:rsid w:val="00980BE0"/>
    <w:rPr>
      <w:color w:val="0563C1" w:themeColor="hyperlink"/>
      <w:u w:val="single"/>
    </w:rPr>
  </w:style>
  <w:style w:type="character" w:styleId="UnresolvedMention">
    <w:name w:val="Unresolved Mention"/>
    <w:basedOn w:val="DefaultParagraphFont"/>
    <w:uiPriority w:val="99"/>
    <w:semiHidden/>
    <w:unhideWhenUsed/>
    <w:rsid w:val="00980BE0"/>
    <w:rPr>
      <w:color w:val="605E5C"/>
      <w:shd w:val="clear" w:color="auto" w:fill="E1DFDD"/>
    </w:rPr>
  </w:style>
  <w:style w:type="paragraph" w:styleId="NormalWeb">
    <w:name w:val="Normal (Web)"/>
    <w:basedOn w:val="Normal"/>
    <w:uiPriority w:val="99"/>
    <w:semiHidden/>
    <w:unhideWhenUsed/>
    <w:rsid w:val="002236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serpagebio">
    <w:name w:val="user_page_bio"/>
    <w:basedOn w:val="Normal"/>
    <w:rsid w:val="00C3436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603D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61</TotalTime>
  <Pages>1</Pages>
  <Words>7096</Words>
  <Characters>41796</Characters>
  <Application>Microsoft Office Word</Application>
  <DocSecurity>0</DocSecurity>
  <Lines>509</Lines>
  <Paragraphs>205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248</cp:revision>
  <dcterms:created xsi:type="dcterms:W3CDTF">2026-01-28T16:52:00Z</dcterms:created>
  <dcterms:modified xsi:type="dcterms:W3CDTF">2026-01-31T18:05:00Z</dcterms:modified>
</cp:coreProperties>
</file>