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12E6B" w14:textId="5F699324" w:rsidR="00EA7DCD" w:rsidRPr="00E12182" w:rsidRDefault="00F141E1" w:rsidP="00EA7DCD">
      <w:pPr>
        <w:spacing w:line="192" w:lineRule="auto"/>
        <w:rPr>
          <w:b/>
          <w:smallCaps/>
          <w:sz w:val="28"/>
        </w:rPr>
      </w:pPr>
      <w:r w:rsidRPr="00F141E1">
        <w:rPr>
          <w:b/>
          <w:smallCaps/>
          <w:sz w:val="28"/>
        </w:rPr>
        <w:t>P-456</w:t>
      </w:r>
      <w:r w:rsidR="00EA7DCD" w:rsidRPr="00E12182">
        <w:rPr>
          <w:b/>
          <w:smallCaps/>
          <w:sz w:val="28"/>
        </w:rPr>
        <w:t xml:space="preserve"> </w:t>
      </w:r>
      <w:r w:rsidR="00EA7DCD" w:rsidRPr="00EA7DCD">
        <w:rPr>
          <w:b/>
          <w:smallCaps/>
          <w:sz w:val="28"/>
        </w:rPr>
        <w:t xml:space="preserve">Going MAD before </w:t>
      </w:r>
      <w:proofErr w:type="spellStart"/>
      <w:r w:rsidR="00EA7DCD" w:rsidRPr="00EA7DCD">
        <w:rPr>
          <w:b/>
          <w:smallCaps/>
          <w:sz w:val="28"/>
        </w:rPr>
        <w:t>hardlock</w:t>
      </w:r>
      <w:proofErr w:type="spellEnd"/>
      <w:r w:rsidR="00EA7DCD" w:rsidRPr="00EA7DCD">
        <w:rPr>
          <w:b/>
          <w:smallCaps/>
          <w:sz w:val="28"/>
        </w:rPr>
        <w:t>: robust statistics for trial database cleaning</w:t>
      </w:r>
    </w:p>
    <w:p w14:paraId="661E95B6" w14:textId="77777777" w:rsidR="00EA7DCD" w:rsidRDefault="00EA7DCD" w:rsidP="00EA7DCD">
      <w:pPr>
        <w:spacing w:after="0" w:line="240" w:lineRule="auto"/>
      </w:pPr>
      <w:r>
        <w:t xml:space="preserve">Marianna Nodale, </w:t>
      </w:r>
      <w:hyperlink r:id="rId8" w:history="1">
        <w:r w:rsidRPr="003D22C7">
          <w:rPr>
            <w:rStyle w:val="Hyperlink"/>
          </w:rPr>
          <w:t>mn348@medschl.cam.ac.uk</w:t>
        </w:r>
      </w:hyperlink>
    </w:p>
    <w:p w14:paraId="3E6254F6" w14:textId="25EC00BE" w:rsidR="00EA7DCD" w:rsidRDefault="00EA7DCD" w:rsidP="00EA7DCD">
      <w:pPr>
        <w:spacing w:after="0" w:line="240" w:lineRule="auto"/>
      </w:pPr>
      <w:r>
        <w:t xml:space="preserve">Simon Bond, </w:t>
      </w:r>
      <w:hyperlink r:id="rId9" w:history="1">
        <w:r w:rsidR="001C76EC" w:rsidRPr="00A32B30">
          <w:rPr>
            <w:rStyle w:val="Hyperlink"/>
          </w:rPr>
          <w:t>simon.bond7@nhs.net</w:t>
        </w:r>
      </w:hyperlink>
      <w:r w:rsidR="001C76EC">
        <w:t xml:space="preserve"> </w:t>
      </w:r>
    </w:p>
    <w:p w14:paraId="35720750" w14:textId="252C9B71" w:rsidR="00C7295C" w:rsidRDefault="00EA7DCD" w:rsidP="001C76EC">
      <w:pPr>
        <w:spacing w:before="240" w:line="192" w:lineRule="auto"/>
      </w:pPr>
      <w:r>
        <w:t xml:space="preserve">Cambridge Clinical Trials Unit, Cambridge, United Kingdom </w:t>
      </w:r>
    </w:p>
    <w:p w14:paraId="00473CA1" w14:textId="6FBB211C" w:rsidR="00C7295C" w:rsidRDefault="00A9334D" w:rsidP="00EA7DCD">
      <w:pPr>
        <w:jc w:val="center"/>
        <w:rPr>
          <w:i/>
          <w:color w:val="606060"/>
          <w:sz w:val="18"/>
        </w:rPr>
      </w:pPr>
      <w:r w:rsidRPr="00A9334D">
        <w:rPr>
          <w:i/>
          <w:color w:val="606060"/>
          <w:sz w:val="18"/>
        </w:rPr>
        <w:t>Accepted Poster Presentation</w:t>
      </w:r>
      <w:r>
        <w:rPr>
          <w:i/>
          <w:color w:val="606060"/>
          <w:sz w:val="18"/>
        </w:rPr>
        <w:t>,</w:t>
      </w:r>
      <w:r w:rsidR="00EA7DCD" w:rsidRPr="00D67F0E">
        <w:rPr>
          <w:i/>
          <w:color w:val="606060"/>
          <w:sz w:val="18"/>
        </w:rPr>
        <w:t xml:space="preserve"> ICTMC 2026</w:t>
      </w:r>
    </w:p>
    <w:p w14:paraId="7AEB6BD4" w14:textId="7FA60253" w:rsidR="00A9334D" w:rsidRPr="00946F09" w:rsidRDefault="00A9334D" w:rsidP="00946F09">
      <w:pPr>
        <w:jc w:val="center"/>
        <w:rPr>
          <w:i/>
          <w:color w:val="606060"/>
          <w:sz w:val="18"/>
        </w:rPr>
      </w:pPr>
      <w:r w:rsidRPr="00946F09">
        <w:rPr>
          <w:i/>
          <w:color w:val="606060"/>
          <w:sz w:val="18"/>
        </w:rPr>
        <w:t>Poster Viewing Session - Wednesday (with refreshments)</w:t>
      </w:r>
      <w:r w:rsidRPr="00946F09">
        <w:rPr>
          <w:i/>
          <w:color w:val="606060"/>
          <w:sz w:val="18"/>
        </w:rPr>
        <w:br/>
        <w:t>Wednesday, Sep 16, 2026</w:t>
      </w:r>
      <w:r w:rsidRPr="00946F09">
        <w:rPr>
          <w:i/>
          <w:color w:val="606060"/>
          <w:sz w:val="18"/>
        </w:rPr>
        <w:br/>
        <w:t>14:45 - 15:45</w:t>
      </w:r>
    </w:p>
    <w:p w14:paraId="1DBBC53A" w14:textId="77777777" w:rsidR="005A1CBB" w:rsidRDefault="00293F7A">
      <w:pPr>
        <w:spacing w:before="160" w:after="40"/>
        <w:rPr>
          <w:b/>
          <w:color w:val="1F4E79"/>
          <w:sz w:val="23"/>
        </w:rPr>
      </w:pPr>
      <w:r w:rsidRPr="00D67F0E">
        <w:rPr>
          <w:b/>
          <w:color w:val="1F4E79"/>
          <w:sz w:val="23"/>
        </w:rPr>
        <w:t>Introduction</w:t>
      </w:r>
    </w:p>
    <w:p w14:paraId="78DBEC0B" w14:textId="77777777" w:rsidR="00CE38B6" w:rsidRPr="00D67F0E" w:rsidRDefault="00CE38B6" w:rsidP="00CE38B6">
      <w:pPr>
        <w:spacing w:before="160" w:after="40"/>
      </w:pPr>
      <w:r w:rsidRPr="00B157E1">
        <w:t>In large multicentre trials, database cleaning can become a</w:t>
      </w:r>
      <w:r>
        <w:t xml:space="preserve"> major</w:t>
      </w:r>
      <w:r w:rsidRPr="00B157E1">
        <w:t xml:space="preserve"> barrier to timely final analysis when teams inherit data late, resources are limited, and electronic case report forms have little built-in range or logic validation. We describe a pragmatic </w:t>
      </w:r>
      <w:r>
        <w:t xml:space="preserve">statistical </w:t>
      </w:r>
      <w:r w:rsidRPr="00B157E1">
        <w:t xml:space="preserve">workflow developed at CCTU after last-patient-last-visit for a complex crossover trial. The trial included repeated blood pressure measurements, multiple secondary endpoints, biomarkers and baseline covariates, creating a heterogeneous dataset requiring </w:t>
      </w:r>
      <w:r>
        <w:t xml:space="preserve">rapid, </w:t>
      </w:r>
      <w:r w:rsidRPr="00B157E1">
        <w:t xml:space="preserve">auditable review before </w:t>
      </w:r>
      <w:proofErr w:type="spellStart"/>
      <w:r w:rsidRPr="00B157E1">
        <w:t>hardlock</w:t>
      </w:r>
      <w:proofErr w:type="spellEnd"/>
      <w:r w:rsidRPr="00B157E1">
        <w:t>.</w:t>
      </w:r>
    </w:p>
    <w:p w14:paraId="16A89EFA" w14:textId="77777777" w:rsidR="005A1CBB" w:rsidRPr="00D67F0E" w:rsidRDefault="00293F7A">
      <w:pPr>
        <w:spacing w:before="160" w:after="40"/>
      </w:pPr>
      <w:r w:rsidRPr="00D67F0E">
        <w:rPr>
          <w:b/>
          <w:color w:val="1F4E79"/>
          <w:sz w:val="23"/>
        </w:rPr>
        <w:t>Methods/Approach</w:t>
      </w:r>
    </w:p>
    <w:p w14:paraId="22DA7338" w14:textId="77777777" w:rsidR="009B479A" w:rsidRPr="00D67F0E" w:rsidRDefault="009B479A" w:rsidP="009B479A">
      <w:r w:rsidRPr="00D67F0E">
        <w:t>The trial comprised 936 randomised participants, 53 checked variables and 98,733 analysed data points. QC covered six attended/unattended blood pressure and heart-rate variables across up to 9</w:t>
      </w:r>
      <w:r>
        <w:t xml:space="preserve"> or 11</w:t>
      </w:r>
      <w:r w:rsidRPr="00D67F0E">
        <w:t xml:space="preserve"> visits </w:t>
      </w:r>
      <w:r>
        <w:t>depending on treatment</w:t>
      </w:r>
      <w:r w:rsidRPr="00D67F0E">
        <w:t>, plus demographics, laboratory biochemistry and secondary endpoint data, and safety bloods. A simple R script (~500 lines) pooled values across subjects, visits and study component, generated histograms, and flagged the most extreme 1% of observations using median absolute deviation (MAD) scores. Output spreadsheets were ranked by MAD score and split by data type, allowing focused subject-, visit- and variable-specific queries for source verification.</w:t>
      </w:r>
    </w:p>
    <w:p w14:paraId="19693055" w14:textId="77777777" w:rsidR="005A1CBB" w:rsidRPr="00D67F0E" w:rsidRDefault="00293F7A">
      <w:pPr>
        <w:spacing w:before="160" w:after="40"/>
      </w:pPr>
      <w:r w:rsidRPr="00D67F0E">
        <w:rPr>
          <w:b/>
          <w:color w:val="1F4E79"/>
          <w:sz w:val="23"/>
        </w:rPr>
        <w:t>Results</w:t>
      </w:r>
    </w:p>
    <w:p w14:paraId="1CAA4F76" w14:textId="77777777" w:rsidR="007F3C9E" w:rsidRDefault="007F3C9E" w:rsidP="007F3C9E">
      <w:r w:rsidRPr="00D67F0E">
        <w:t xml:space="preserve">The initial scripted review identified 2,436 outliers at </w:t>
      </w:r>
      <w:proofErr w:type="spellStart"/>
      <w:r w:rsidRPr="00D67F0E">
        <w:t>softlock</w:t>
      </w:r>
      <w:proofErr w:type="spellEnd"/>
      <w:r w:rsidRPr="00D67F0E">
        <w:t xml:space="preserve"> (2.5% of analysed data points), including 770 blood-pressure, 102 demographic, 1,303 laboratory biochemistry/secondary-endpoint, and 261 safety-blood values. Likely errors included missing decimal places, transcription errors, swapped variables, implausible scales, wrong units and physiologically impossible values. The process was iterated across five post-</w:t>
      </w:r>
      <w:proofErr w:type="spellStart"/>
      <w:r w:rsidRPr="00D67F0E">
        <w:t>softlock</w:t>
      </w:r>
      <w:proofErr w:type="spellEnd"/>
      <w:r w:rsidRPr="00D67F0E">
        <w:t xml:space="preserve"> data downloads until </w:t>
      </w:r>
      <w:proofErr w:type="spellStart"/>
      <w:r w:rsidRPr="00D67F0E">
        <w:t>hardlock</w:t>
      </w:r>
      <w:proofErr w:type="spellEnd"/>
      <w:r w:rsidRPr="00D67F0E">
        <w:t xml:space="preserve">. By </w:t>
      </w:r>
      <w:proofErr w:type="spellStart"/>
      <w:r w:rsidRPr="00D67F0E">
        <w:t>hardlock</w:t>
      </w:r>
      <w:proofErr w:type="spellEnd"/>
      <w:r w:rsidRPr="00D67F0E">
        <w:t>, total flagged outliers had fallen to 2,133 (2.2%), with most reduction in laboratory biochemistry/secondary-endpoint values (1,303 to 1,035) and safety bloods (261 to 226). Of the original flagged observations, 352/2436 (14.4%) were corrected and no longer appeared as outliers, 2084/2436 (85.6%) remained and were verified as genuine tail values, and 49 new outliers emerged after correction-induced distribution shifts.</w:t>
      </w:r>
    </w:p>
    <w:p w14:paraId="295D2DEF" w14:textId="77777777" w:rsidR="005A1CBB" w:rsidRPr="00D67F0E" w:rsidRDefault="00293F7A">
      <w:pPr>
        <w:spacing w:before="160" w:after="40"/>
      </w:pPr>
      <w:r w:rsidRPr="00D67F0E">
        <w:rPr>
          <w:b/>
          <w:color w:val="1F4E79"/>
          <w:sz w:val="23"/>
        </w:rPr>
        <w:t>Discussion</w:t>
      </w:r>
    </w:p>
    <w:p w14:paraId="188F4635" w14:textId="77777777" w:rsidR="00AF3FA3" w:rsidRDefault="00AF3FA3" w:rsidP="00AF3FA3">
      <w:r w:rsidRPr="00D67F0E">
        <w:t xml:space="preserve">This rough-and-ready robust-statistics approach was not intended to be sophisticated; its value was operational. It converted an unstructured “needle in a haystack” task into a manageable, reproducible and auditable workflow that could be implemented quickly by one statistician and one data manager, with minimal reliance on sites or wider trial staff, and contributed to achieving </w:t>
      </w:r>
      <w:proofErr w:type="spellStart"/>
      <w:r w:rsidRPr="00D67F0E">
        <w:t>hardlock</w:t>
      </w:r>
      <w:proofErr w:type="spellEnd"/>
      <w:r w:rsidRPr="00D67F0E">
        <w:t xml:space="preserve"> within six months.</w:t>
      </w:r>
      <w:r>
        <w:t xml:space="preserve"> </w:t>
      </w:r>
      <w:r w:rsidRPr="00512F40">
        <w:t>This approach was designed to identify extreme individual observations in pooled data and was less well suited to detecting systematic site-level discrepancies.</w:t>
      </w:r>
    </w:p>
    <w:p w14:paraId="5C004554" w14:textId="31F9EA6B" w:rsidR="00E26558" w:rsidRPr="00946F09" w:rsidRDefault="00AF3FA3" w:rsidP="00AF3FA3">
      <w:pPr>
        <w:rPr>
          <w:color w:val="000000" w:themeColor="text1"/>
        </w:rPr>
      </w:pPr>
      <w:r w:rsidRPr="00946F09">
        <w:rPr>
          <w:color w:val="000000" w:themeColor="text1"/>
        </w:rPr>
        <w:lastRenderedPageBreak/>
        <w:t>A later Bayesian mixture model for unit mismatch was also unrevealing in pooled data; the issue emerged only when site-level structure was considered, underscoring that methodological sophistication cannot compensate for missing operational knowledge.</w:t>
      </w:r>
    </w:p>
    <w:sectPr w:rsidR="00E26558" w:rsidRPr="00946F09" w:rsidSect="005F5FCC">
      <w:pgSz w:w="12240" w:h="15840"/>
      <w:pgMar w:top="1134" w:right="1298" w:bottom="11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C8E24" w14:textId="77777777" w:rsidR="002E3412" w:rsidRPr="00D67F0E" w:rsidRDefault="002E3412">
      <w:pPr>
        <w:spacing w:after="0" w:line="240" w:lineRule="auto"/>
      </w:pPr>
      <w:r w:rsidRPr="00D67F0E">
        <w:separator/>
      </w:r>
    </w:p>
  </w:endnote>
  <w:endnote w:type="continuationSeparator" w:id="0">
    <w:p w14:paraId="1C575B13" w14:textId="77777777" w:rsidR="002E3412" w:rsidRPr="00D67F0E" w:rsidRDefault="002E3412">
      <w:pPr>
        <w:spacing w:after="0" w:line="240" w:lineRule="auto"/>
      </w:pPr>
      <w:r w:rsidRPr="00D67F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CF3E4" w14:textId="77777777" w:rsidR="002E3412" w:rsidRPr="00D67F0E" w:rsidRDefault="002E3412">
      <w:pPr>
        <w:spacing w:after="0" w:line="240" w:lineRule="auto"/>
      </w:pPr>
      <w:r w:rsidRPr="00D67F0E">
        <w:separator/>
      </w:r>
    </w:p>
  </w:footnote>
  <w:footnote w:type="continuationSeparator" w:id="0">
    <w:p w14:paraId="75EDF224" w14:textId="77777777" w:rsidR="002E3412" w:rsidRPr="00D67F0E" w:rsidRDefault="002E3412">
      <w:pPr>
        <w:spacing w:after="0" w:line="240" w:lineRule="auto"/>
      </w:pPr>
      <w:r w:rsidRPr="00D67F0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4905731">
    <w:abstractNumId w:val="8"/>
  </w:num>
  <w:num w:numId="2" w16cid:durableId="102698559">
    <w:abstractNumId w:val="6"/>
  </w:num>
  <w:num w:numId="3" w16cid:durableId="851334320">
    <w:abstractNumId w:val="5"/>
  </w:num>
  <w:num w:numId="4" w16cid:durableId="497185932">
    <w:abstractNumId w:val="4"/>
  </w:num>
  <w:num w:numId="5" w16cid:durableId="1384671977">
    <w:abstractNumId w:val="7"/>
  </w:num>
  <w:num w:numId="6" w16cid:durableId="1334070809">
    <w:abstractNumId w:val="3"/>
  </w:num>
  <w:num w:numId="7" w16cid:durableId="20404643">
    <w:abstractNumId w:val="2"/>
  </w:num>
  <w:num w:numId="8" w16cid:durableId="959993704">
    <w:abstractNumId w:val="1"/>
  </w:num>
  <w:num w:numId="9" w16cid:durableId="2133084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6EC"/>
    <w:rsid w:val="00293F7A"/>
    <w:rsid w:val="0029639D"/>
    <w:rsid w:val="002E3412"/>
    <w:rsid w:val="0030383F"/>
    <w:rsid w:val="00326F90"/>
    <w:rsid w:val="003F18D8"/>
    <w:rsid w:val="00452FBF"/>
    <w:rsid w:val="00512F40"/>
    <w:rsid w:val="005A1CBB"/>
    <w:rsid w:val="005A4DD3"/>
    <w:rsid w:val="005C18B6"/>
    <w:rsid w:val="005F5FCC"/>
    <w:rsid w:val="00622BE1"/>
    <w:rsid w:val="0067651C"/>
    <w:rsid w:val="006A774A"/>
    <w:rsid w:val="007F3C9E"/>
    <w:rsid w:val="00823AC0"/>
    <w:rsid w:val="00946F09"/>
    <w:rsid w:val="009B479A"/>
    <w:rsid w:val="00A01900"/>
    <w:rsid w:val="00A64E19"/>
    <w:rsid w:val="00A9334D"/>
    <w:rsid w:val="00AA1D8D"/>
    <w:rsid w:val="00AF3FA3"/>
    <w:rsid w:val="00B157E1"/>
    <w:rsid w:val="00B47730"/>
    <w:rsid w:val="00C34F64"/>
    <w:rsid w:val="00C7295C"/>
    <w:rsid w:val="00CB0664"/>
    <w:rsid w:val="00CB13B7"/>
    <w:rsid w:val="00CE38B6"/>
    <w:rsid w:val="00D068FD"/>
    <w:rsid w:val="00D67F0E"/>
    <w:rsid w:val="00D91648"/>
    <w:rsid w:val="00DA2A8F"/>
    <w:rsid w:val="00E26558"/>
    <w:rsid w:val="00E504A4"/>
    <w:rsid w:val="00EA7DCD"/>
    <w:rsid w:val="00F141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A1A4FB"/>
  <w14:defaultImageDpi w14:val="300"/>
  <w15:docId w15:val="{BABDF194-F47C-42D3-A563-2771D183E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DCD"/>
    <w:pPr>
      <w:spacing w:after="120" w:line="259" w:lineRule="auto"/>
    </w:pPr>
    <w:rPr>
      <w:rFonts w:ascii="Aptos" w:hAnsi="Aptos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729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9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n348@medschl.cam.ac.u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imon.bond7@nh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Marianna Nodale</cp:lastModifiedBy>
  <cp:revision>19</cp:revision>
  <dcterms:created xsi:type="dcterms:W3CDTF">2026-04-20T12:13:00Z</dcterms:created>
  <dcterms:modified xsi:type="dcterms:W3CDTF">2026-08-27T00:19:00Z</dcterms:modified>
  <cp:category/>
</cp:coreProperties>
</file>