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Survey Assessing Risks from AI (SARA) — USA</w:t>
      </w:r>
    </w:p>
    <w:p>
      <w:pPr>
        <w:spacing w:after="120"/>
      </w:pPr>
      <w:r>
        <w:rPr>
          <w:b/>
          <w:bCs/>
          <w:color w:val="2E5496"/>
          <w:sz w:val="28"/>
          <w:szCs w:val="28"/>
        </w:rPr>
        <w:t xml:space="preserve">Survey Protocol and Instrument — Version 3 (skeptical-reviewer hardening + environment module)</w:t>
      </w:r>
    </w:p>
    <w:p>
      <w:pPr>
        <w:spacing w:after="120"/>
      </w:pPr>
      <w:r>
        <w:t xml:space="preserve">Michael Noetel (UQ) and Alor Sahoo (MIT). Version date: 15 June 2026. </w:t>
      </w:r>
      <w:r>
        <w:t xml:space="preserve">Version 3 builds on the Round-1 revisions (v2) by operationalising a hostile-reviewer (Ball-style) critique into pre-registered methods, and adds an environment and data-centre module that red-teams anti-AI sentiment. It supersedes v2; v2 and the November 2025 draft (with its original 25 comments) remain archived in this folder.</w:t>
      </w:r>
    </w:p>
    <w:p>
      <w:pPr>
        <w:spacing w:after="60"/>
      </w:pPr>
      <w:r>
        <w:t xml:space="preserve"/>
      </w:r>
    </w:p>
    <w:p>
      <w:pPr>
        <w:pStyle w:val="Heading1"/>
      </w:pPr>
      <w:r>
        <w:t xml:space="preserve">1. Summary and purpose</w:t>
      </w:r>
    </w:p>
    <w:p>
      <w:pPr>
        <w:spacing w:after="120"/>
      </w:pPr>
      <w:r>
        <w:t xml:space="preserve">This survey answers two questions about US public opinion on AI risk, </w:t>
      </w:r>
      <w:r>
        <w:rPr>
          <w:b/>
          <w:bCs/>
        </w:rPr>
        <w:t xml:space="preserve">without</w:t>
      </w:r>
      <w:r>
        <w:t xml:space="preserve"> asking the public to produce probability estimates or to know which technical mitigations to apply:</w:t>
      </w:r>
    </w:p>
    <w:p>
      <w:pPr>
        <w:pStyle w:val="ListParagraph"/>
        <w:numPr>
          <w:ilvl w:val="0"/>
          <w:numId w:val="2"/>
        </w:numPr>
        <w:spacing w:after="60"/>
      </w:pPr>
      <w:r>
        <w:t xml:space="preserve">Is the current level of AI risk tolerable to the US public? (Status-quo judgement.)</w:t>
      </w:r>
    </w:p>
    <w:p>
      <w:pPr>
        <w:pStyle w:val="ListParagraph"/>
        <w:numPr>
          <w:ilvl w:val="0"/>
          <w:numId w:val="2"/>
        </w:numPr>
        <w:spacing w:after="60"/>
      </w:pPr>
      <w:r>
        <w:t xml:space="preserve">What level of safety does the public expect AI to reach? (Expected-standard judgement.)</w:t>
      </w:r>
    </w:p>
    <w:p>
      <w:pPr>
        <w:spacing w:after="120"/>
      </w:pPr>
      <w:r>
        <w:t xml:space="preserve">Both are values questions that voters are entitled to answer. Technical risk estimation stays with experts; choosing which mitigations bring risk down to a tolerable level stays with technocrats. The public's job here is to </w:t>
      </w:r>
      <w:r>
        <w:rPr>
          <w:i/>
          <w:iCs/>
        </w:rPr>
        <w:t xml:space="preserve">judge</w:t>
      </w:r>
      <w:r>
        <w:t xml:space="preserve">, not to </w:t>
      </w:r>
      <w:r>
        <w:rPr>
          <w:i/>
          <w:iCs/>
        </w:rPr>
        <w:t xml:space="preserve">calculate</w:t>
      </w:r>
      <w:r>
        <w:t xml:space="preserve">.</w:t>
      </w:r>
    </w:p>
    <w:p>
      <w:pPr>
        <w:pStyle w:val="Heading2"/>
      </w:pPr>
      <w:r>
        <w:t xml:space="preserve">What v2 already did (carried forward)</w:t>
      </w:r>
    </w:p>
    <w:p>
      <w:pPr>
        <w:spacing w:after="120"/>
      </w:pPr>
      <w:r>
        <w:t xml:space="preserve">Round-1 reviewers (Peter Barnett, Oscar Delaney) worried the public cannot reliably </w:t>
      </w:r>
      <w:r>
        <w:rPr>
          <w:i/>
          <w:iCs/>
        </w:rPr>
        <w:t xml:space="preserve">generate</w:t>
      </w:r>
      <w:r>
        <w:t xml:space="preserve"> risk thresholds. v2 demoted direct elicitation to a validation role; made tolerability-of-the-status-quo and relative-standard anchoring the primaries; added a quantitative back-out from the relative items; added a counter-message arm; and added Benjamin Reid's individual-difference measures (CRT, Berlin Numeracy, political orientation, AI familiarity). Those remain.</w:t>
      </w:r>
    </w:p>
    <w:p>
      <w:pPr>
        <w:pStyle w:val="Heading2"/>
      </w:pPr>
      <w:r>
        <w:t xml:space="preserve">What changed in Version 3</w:t>
      </w:r>
    </w:p>
    <w:p>
      <w:pPr>
        <w:spacing w:after="120"/>
      </w:pPr>
      <w:r>
        <w:t xml:space="preserve">v3 answers a deliberately hostile reviewer (modelled on the regulation-skeptical, technically literate critique a reader like Dean Ball would bring) and adds a module that turns the same red-teaming on anti-AI sentiment:</w:t>
      </w:r>
    </w:p>
    <w:p>
      <w:pPr>
        <w:pStyle w:val="ListParagraph"/>
        <w:numPr>
          <w:ilvl w:val="0"/>
          <w:numId w:val="3"/>
        </w:numPr>
        <w:spacing w:after="60"/>
      </w:pPr>
      <w:r>
        <w:t xml:space="preserve">Operationalised the skeptical critique into pre-registered methods (Section 4): symmetric anchors, adversarial review, a disconfirmation commitment, multiverse analysis, MRP validation, and power analysis.</w:t>
      </w:r>
    </w:p>
    <w:p>
      <w:pPr>
        <w:pStyle w:val="ListParagraph"/>
        <w:numPr>
          <w:ilvl w:val="0"/>
          <w:numId w:val="3"/>
        </w:numPr>
        <w:spacing w:after="60"/>
      </w:pPr>
      <w:r>
        <w:t xml:space="preserve">Fixed the loaded anchors. Module 2 now shows low-end estimates (researchers near 0%) alongside high-end ones (Amodei 25%), randomised and reported by anchor, so we are not curating only alarming numbers.</w:t>
      </w:r>
    </w:p>
    <w:p>
      <w:pPr>
        <w:pStyle w:val="ListParagraph"/>
        <w:numPr>
          <w:ilvl w:val="0"/>
          <w:numId w:val="3"/>
        </w:numPr>
        <w:spacing w:after="60"/>
      </w:pPr>
      <w:r>
        <w:t xml:space="preserve">Added a frame-applicability item, so we measure rather than assume that AI risk can be placed on a numerical safety standard at all.</w:t>
      </w:r>
    </w:p>
    <w:p>
      <w:pPr>
        <w:pStyle w:val="ListParagraph"/>
        <w:numPr>
          <w:ilvl w:val="0"/>
          <w:numId w:val="3"/>
        </w:numPr>
        <w:spacing w:after="60"/>
      </w:pPr>
      <w:r>
        <w:t xml:space="preserve">Gave the liability item a negligence / duty-of-care middle, instead of forcing a choice between strict liability and none.</w:t>
      </w:r>
    </w:p>
    <w:p>
      <w:pPr>
        <w:pStyle w:val="ListParagraph"/>
        <w:numPr>
          <w:ilvl w:val="0"/>
          <w:numId w:val="3"/>
        </w:numPr>
        <w:spacing w:after="60"/>
      </w:pPr>
      <w:r>
        <w:t xml:space="preserve">Neutralised the superintelligence-ban wording and added a symmetric counter-framed version to estimate the wording effect.</w:t>
      </w:r>
    </w:p>
    <w:p>
      <w:pPr>
        <w:pStyle w:val="ListParagraph"/>
        <w:numPr>
          <w:ilvl w:val="0"/>
          <w:numId w:val="3"/>
        </w:numPr>
        <w:spacing w:after="60"/>
      </w:pPr>
      <w:r>
        <w:t xml:space="preserve">Added Module 8: Environment, energy, and data centres, testing Masley-style status-quo-bias reframing and an AI-label (reverse-halo) experiment.</w:t>
      </w:r>
    </w:p>
    <w:p>
      <w:pPr>
        <w:pStyle w:val="ListParagraph"/>
        <w:numPr>
          <w:ilvl w:val="0"/>
          <w:numId w:val="3"/>
        </w:numPr>
        <w:spacing w:after="60"/>
      </w:pPr>
      <w:r>
        <w:t xml:space="preserve">Separated the durable policy questions and the environment module from the catastrophe items so the useful findings are not hostage to the contested ones (see Section 4).</w:t>
      </w:r>
    </w:p>
    <w:p>
      <w:pPr>
        <w:pStyle w:val="ListParagraph"/>
        <w:numPr>
          <w:ilvl w:val="0"/>
          <w:numId w:val="3"/>
        </w:numPr>
        <w:spacing w:after="60"/>
      </w:pPr>
      <w:r>
        <w:t xml:space="preserve">Cut and quarantined items that biased or confused respondents (see the Dumpster, Section 7).</w:t>
      </w:r>
    </w:p>
    <w:p>
      <w:pPr>
        <w:pStyle w:val="Heading1"/>
      </w:pPr>
      <w:r>
        <w:t xml:space="preserve">2. Design principles</w:t>
      </w:r>
    </w:p>
    <w:p>
      <w:pPr>
        <w:spacing w:after="120"/>
      </w:pPr>
      <w:r>
        <w:rPr>
          <w:b/>
          <w:bCs/>
        </w:rPr>
        <w:t xml:space="preserve">Judgement over generation. </w:t>
      </w:r>
      <w:r>
        <w:t xml:space="preserve">People are poor at producing a number like 1 in 1,000,000 but reasonably good at saying “that is not good enough” when handed one. Recognition beats free recall. So wherever possible we supply the risk figure and ask the respondent to evaluate it.</w:t>
      </w:r>
    </w:p>
    <w:p>
      <w:pPr>
        <w:spacing w:after="120"/>
      </w:pPr>
      <w:r>
        <w:rPr>
          <w:b/>
          <w:bCs/>
        </w:rPr>
        <w:t xml:space="preserve">Triangulation. </w:t>
      </w:r>
      <w:r>
        <w:t xml:space="preserve">We ask each underlying question three ways (status-quo recognition, relative-standard anchoring, and direct elicitation). A conclusion that holds across all three survives whichever method a given critic distrusts.</w:t>
      </w:r>
    </w:p>
    <w:p>
      <w:pPr>
        <w:spacing w:after="120"/>
      </w:pPr>
      <w:r>
        <w:rPr>
          <w:b/>
          <w:bCs/>
        </w:rPr>
        <w:t xml:space="preserve">Population-level scope sensitivity. </w:t>
      </w:r>
      <w:r>
        <w:t xml:space="preserve">Individuals are scope-insensitive to probability. We vary probability and severity between subjects (randomised), so scope sensitivity is estimable across the sample even where it is absent within a person, and we repeat the primary analysis within the high-numeracy subsample.</w:t>
      </w:r>
    </w:p>
    <w:p>
      <w:pPr>
        <w:spacing w:after="120"/>
      </w:pPr>
      <w:r>
        <w:rPr>
          <w:b/>
          <w:bCs/>
        </w:rPr>
        <w:t xml:space="preserve">Neutral framing. </w:t>
      </w:r>
      <w:r>
        <w:t xml:space="preserve">We avoid wording that primes acceptance or reads as advocacy, name every source we cite, and let the data carry the argument.</w:t>
      </w:r>
    </w:p>
    <w:p>
      <w:pPr>
        <w:spacing w:after="120"/>
      </w:pPr>
      <w:r>
        <w:rPr>
          <w:b/>
          <w:bCs/>
        </w:rPr>
        <w:t xml:space="preserve">The output is the gap, not a point estimate. </w:t>
      </w:r>
      <w:r>
        <w:t xml:space="preserve">Reviewer Peter Barnett is right that current AI risk estimates sit several orders of magnitude above any tolerated engineering standard, so a precise F–N threshold would “overshoot the graph” and risk being dismissed as implausible. We therefore report the robust gap (“the risk the developers themselves admit to is judged intolerable, across methods, numeracy levels, and framings”) rather than a single tolerated probability.</w:t>
      </w:r>
    </w:p>
    <w:p>
      <w:pPr>
        <w:pStyle w:val="Heading1"/>
      </w:pPr>
      <w:r>
        <w:t xml:space="preserve">3. Response to Round-1 reviewer feedback</w:t>
      </w:r>
    </w:p>
    <w:p>
      <w:pPr>
        <w:spacing w:after="120"/>
      </w:pPr>
      <w:r>
        <w:t xml:space="preserve">Every Round-1 comment is logged below with the response and the action taken in Version 2. The original comments remain untouched in the archived briefing. Reviewer initials: PB = Peter Barnett, OD = Oscar Delaney, AS = Alor Sahoo.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3870"/>
        <w:gridCol w:w="3870"/>
      </w:tblGrid>
      <w:tr>
        <w:trPr>
          <w:tblHeader/>
        </w:trPr>
        <w:tc>
          <w:tcPr>
            <w:tcW w:type="dxa" w:w="5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w:t>
            </w:r>
          </w:p>
        </w:tc>
        <w:tc>
          <w:tcPr>
            <w:tcW w:type="dxa" w:w="11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By</w:t>
            </w:r>
          </w:p>
        </w:tc>
        <w:tc>
          <w:tcPr>
            <w:tcW w:type="dxa" w:w="387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Comment (paraphrased)</w:t>
            </w:r>
          </w:p>
        </w:tc>
        <w:tc>
          <w:tcPr>
            <w:tcW w:type="dxa" w:w="387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Response and action in v2</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 (+PB)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Don’t trust people to think well about probabilities and severities; wouldn’t weight what they say. Relative comparisons (AI vs nuclear, pandemics) are more interesting.</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Agreed and rebalanced. Direct elicitation demoted to validation. Primaries are now status-quo recognition (Module 2) and relative-standard anchoring (Module 3). We back out a quantitative expectation from the relative answers, so the F–N reading survives without public-generated numbers.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People are scope-insensitive; they treat 1/100,000 and 1/10,000,000 as the same.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Probability and severity randomised between subjects, so population-level scope sensitivity is estimable. We report a scope-sensitivity diagnostic and repeat primaries within the high-numeracy subsample.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 tolerability Likert will just measure how people feel about AI, not a considered threshold.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Accepted as a construct-validity risk. We triangulate across three modes, add a within-person consistency check, add counter-message robustness, and report numeracy moderation. The Likert is framed as an affect-laden judgement, not a precise threshold.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4</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Tolerability items rely on people accurately assessing risk, which they do badly or over-optimistically.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We supply the risk number (recognition) rather than ask respondents to estimate it.</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ToC concern: AI risk is 3–12 orders of magnitude above tolerated standards; the F–N chart overshoots and may be discounted as crazy.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Reframed the headline from “the public’s tolerated threshold” to “the risk developers admit to is judged intolerable, robustly.” Axes extended; the gap is the product, not a point estimate.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It may not matter what people think; they won’t engage tradeoffs (the “foreign aid 10%” problem).</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Every preference is costed (delay, dollars, lost cures, China race). Salience caveat added to Limitations. Policy use rests on the developer-number gap, not on the public setting the number.</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7</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Consider counter-message testing: how do views change after a16z-type talking points?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randomised message arm (acceleration/competitiveness prime vs safety prime vs none) precedes the tolerance items; the shift is a pre-registered outcome (Module 7).</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8</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technologies carry risk” framing is misleading: normal cases are ~1/100,000, AI is ~1/100.</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Removed that preamble from all public-facing items; retained only in the methods rationale.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9</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“Negligent” reads weaker than “Intolerable”; and does “Intolerable” mean brought down to tolerable levels?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Tolerability scale relabelled and reordered to be monotonic, with explicit definitions (Acceptable &lt; Tolerable &lt; Intolerable &lt; Unacceptable / should be illegal).</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 mitigation should mean actually reducing risk, not convincing people things are fine.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Mitigation definitions reworded to specify genuine risk reduction.</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11</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Results are very dependent on what you call “experts.”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Each source is named and labelled (Altman, Amodei, Musk; superforecasters; XPT experts), and which source a respondent sees is randomised.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Comparison items need to be quantitative to be meaningful; AI should be much less strict than aviation/FDA, but not 12 orders of magnitude less.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Relative items anchored to named quantitative standards; we report the implied quantitative band for each response (Module 3).</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13</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Make one attention check “more strict” and one “less strict.”</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Bidirectional attention checks added (Module 7).</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14</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Neutrally give people an intuition for what risk levels mean by comparing to other fields.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Familiar-technology comparators used as neutral anchors; the societal-risk anchors that confused Australian respondents are cut; cognitive pre-test added.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Ambiguous: “X risk” vs “x-risk.”</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Reworded to remove the ambiguity.</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16</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Several dead links; some numbers appear made up.</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links checked and replaced; placeholder figures replaced with sourced numbers.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17</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Also ask about slowing harms — people who dislike AI’s effects on society even setting catastrophe aside.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non-catastrophic “pace and disruption” tolerance item (Module 2) and retained the slow-benefits tradeoff.</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18</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 like this question” / “nice” (status-quo tolerability).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Featured as a primary item (Module 2).</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19</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Housekeeping: comments left open ~2 weeks to gather expert consensus.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No action needed; this protocol is the consolidation of that round.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 might be too doomy, would love to be wrong.”</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Acknowledged. The counter-message and numeracy analyses are designed partly to test exactly this.</w:t>
            </w:r>
          </w:p>
        </w:tc>
      </w:tr>
    </w:tbl>
    <w:p>
      <w:pPr>
        <w:pStyle w:val="Heading1"/>
        <w:pageBreakBefore/>
      </w:pPr>
      <w:r>
        <w:t xml:space="preserve">4. Methodological commitments (answering the skeptical reviewer)</w:t>
      </w:r>
    </w:p>
    <w:p>
      <w:pPr>
        <w:spacing w:after="120"/>
      </w:pPr>
      <w:r>
        <w:t xml:space="preserve">We red-teamed v2 as a regulation-skeptical, technically literate reader (a “Ball-style” critique) would. The objections were sharp and several were correct. Rather than rebut them in prose, v3 converts each into a method we commit to in advance. The single most persuasive of these is the first: a project whose theory of change is openly advocacy can only earn trust by pre-committing to report results that cut against it, and by letting skeptics mark our work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Skeptical objection</w:t>
            </w:r>
          </w:p>
        </w:tc>
        <w:tc>
          <w:tcPr>
            <w:tcW w:type="dxa" w:w="60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Pre-registered commitment in v3</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“This is advocacy in a lab coat; the theory of change states an agenda.”</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Disconfirmation commitment + adversarial review. We pre-register the specific results that would cut against the advocacy hypothesis (a majority judging the status quo tolerable; counter-messaging erasing concern; an AI-label penalty near zero; willingness-to-forgo revenue below the actual tax take) and commit to reporting them prominently. Before launch we invite a regulation-skeptic and an environment-skeptic to review the instrument and we publish their unedited critiques alongside the results, exactly as the Round-1 comments are archived.</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“Module 2 anchors are a curated set of alarming numbers.”</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Symmetric anchors. Module 2 now spans low-end estimates (ML researchers near 0%, the base rate of failed doom predictions) to high-end (Amodei 25%, XPT 5%), randomised across respondents. Results are reported by anchor; no aggregate headline hides the spread.</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“Tolerable / ALARP / F–N assumes a quantifiable risk and smuggles the conclusion.”</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Frame-applicability item (2d). We ask whether the respondent thinks AI risk can be put on a numerical safety standard at all, and report the primaries separately for those who accept versus reject the frame, instead of assuming it.</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back-out manufactures false precision.”</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Banded, gated, multiverse. The relative-to-quantitative back-out is reported only as a band with uncertainty, and only if the cognitive pre-test confirms respondents read “stricter” as monotonic in risk. If it fails, Module 3 is ordinal-only and no F–N dots are published. A multiverse / specification-curve analysis reports the estimate across every defensible mapping rather than a single number.</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“What decision does this change? Opinion is shallow and unstable.”</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We treat stability as an outcome, not an assumption. The counter-message swing (Module 7a) is a primary, pre-registered result. The durable policy items (Module 6) and the environment module (Module 8) are pre-specified to be analysed and publishable on their own, so the useful findings do not depend on the catastrophe items landing.</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liability options make strict liability sound like the moderate choice.”</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negligence / duty-of-care middle (Module 6d) and balanced the option wording so no single answer is the obvious default.</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superintelligence stem is a loaded campaign statement.”</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Neutralised the wording and added a symmetric counter-framed twin (Module 7d). The difference between the two is reported as a wording effect.</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“State-level maps over-claim on thin samples.”</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Pre-registered minimum effective-sample-per-state rule. MRP estimates are validated by posterior predictive checks and leave-one-state-out cross-validation; no state map is published unless the thresholds clear.</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“Demand effects and order effects will drive the answers.”</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Item and option order randomised throughout; bidirectional attention checks; speeding and authenticity flags; all primaries reported with and without quality exclusions.</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General</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Open science. The instrument, raw data, weighting syntax, and analysis code are published; the report follows the registered template; every deviation from pre-registration is logged.</w:t>
            </w:r>
          </w:p>
        </w:tc>
      </w:tr>
    </w:tbl>
    <w:p>
      <w:pPr>
        <w:pStyle w:val="Heading1"/>
        <w:pageBreakBefore/>
      </w:pPr>
      <w:r>
        <w:t xml:space="preserve">5. Survey instrument</w:t>
      </w:r>
    </w:p>
    <w:p>
      <w:pPr>
        <w:spacing w:after="120"/>
      </w:pPr>
      <w:r>
        <w:t xml:space="preserve">Modules run in the order below. Square brackets mark randomisation or programming logic. Each participant sees only a subset of the threshold/tradeoff items (matrix sampling) to keep the burden realistic.</w:t>
      </w:r>
    </w:p>
    <w:p>
      <w:pPr>
        <w:pStyle w:val="Heading2"/>
      </w:pPr>
      <w:r>
        <w:t xml:space="preserve">Module 1. Attitudes and context (short)</w:t>
      </w:r>
    </w:p>
    <w:p>
      <w:pPr>
        <w:spacing w:after="60" w:before="100"/>
      </w:pPr>
      <w:r>
        <w:rPr>
          <w:b/>
          <w:bCs/>
        </w:rPr>
        <w:t xml:space="preserve">Overall stance (carried from SARA core).</w:t>
      </w:r>
    </w:p>
    <w:p>
      <w:pPr>
        <w:spacing w:after="60"/>
      </w:pPr>
      <w:r>
        <w:rPr>
          <w:i/>
          <w:iCs/>
        </w:rPr>
        <w:t xml:space="preserve">Do you think AI will do more good or harm overall?</w:t>
      </w:r>
    </w:p>
    <w:p>
      <w:pPr>
        <w:pStyle w:val="ListParagraph"/>
        <w:numPr>
          <w:ilvl w:val="0"/>
          <w:numId w:val="3"/>
        </w:numPr>
        <w:spacing w:after="60"/>
      </w:pPr>
      <w:r>
        <w:t xml:space="preserve">More good than harm</w:t>
      </w:r>
    </w:p>
    <w:p>
      <w:pPr>
        <w:pStyle w:val="ListParagraph"/>
        <w:numPr>
          <w:ilvl w:val="0"/>
          <w:numId w:val="3"/>
        </w:numPr>
        <w:spacing w:after="60"/>
      </w:pPr>
      <w:r>
        <w:t xml:space="preserve">Neutral / about the same</w:t>
      </w:r>
    </w:p>
    <w:p>
      <w:pPr>
        <w:pStyle w:val="ListParagraph"/>
        <w:numPr>
          <w:ilvl w:val="0"/>
          <w:numId w:val="3"/>
        </w:numPr>
        <w:spacing w:after="60"/>
      </w:pPr>
      <w:r>
        <w:t xml:space="preserve">More harm than good</w:t>
      </w:r>
    </w:p>
    <w:p>
      <w:pPr>
        <w:pStyle w:val="ListParagraph"/>
        <w:numPr>
          <w:ilvl w:val="0"/>
          <w:numId w:val="3"/>
        </w:numPr>
        <w:spacing w:after="60"/>
      </w:pPr>
      <w:r>
        <w:t xml:space="preserve">Don’t know</w:t>
      </w:r>
    </w:p>
    <w:p>
      <w:pPr>
        <w:spacing w:after="60" w:before="100"/>
      </w:pPr>
      <w:r>
        <w:rPr>
          <w:b/>
          <w:bCs/>
        </w:rPr>
        <w:t xml:space="preserve">Loss of control (carried).</w:t>
      </w:r>
    </w:p>
    <w:p>
      <w:pPr>
        <w:spacing w:after="60"/>
      </w:pPr>
      <w:r>
        <w:rPr>
          <w:i/>
          <w:iCs/>
        </w:rPr>
        <w:t xml:space="preserve">How worried, if at all, are you that humans will lose control of AI?</w:t>
      </w:r>
    </w:p>
    <w:p>
      <w:pPr>
        <w:pStyle w:val="ListParagraph"/>
        <w:numPr>
          <w:ilvl w:val="0"/>
          <w:numId w:val="3"/>
        </w:numPr>
        <w:spacing w:after="60"/>
      </w:pPr>
      <w:r>
        <w:t xml:space="preserve">Very worried</w:t>
      </w:r>
    </w:p>
    <w:p>
      <w:pPr>
        <w:pStyle w:val="ListParagraph"/>
        <w:numPr>
          <w:ilvl w:val="0"/>
          <w:numId w:val="3"/>
        </w:numPr>
        <w:spacing w:after="60"/>
      </w:pPr>
      <w:r>
        <w:t xml:space="preserve">Fairly worried</w:t>
      </w:r>
    </w:p>
    <w:p>
      <w:pPr>
        <w:pStyle w:val="ListParagraph"/>
        <w:numPr>
          <w:ilvl w:val="0"/>
          <w:numId w:val="3"/>
        </w:numPr>
        <w:spacing w:after="60"/>
      </w:pPr>
      <w:r>
        <w:t xml:space="preserve">Not very worried</w:t>
      </w:r>
    </w:p>
    <w:p>
      <w:pPr>
        <w:pStyle w:val="ListParagraph"/>
        <w:numPr>
          <w:ilvl w:val="0"/>
          <w:numId w:val="3"/>
        </w:numPr>
        <w:spacing w:after="60"/>
      </w:pPr>
      <w:r>
        <w:t xml:space="preserve">Not at all worried</w:t>
      </w:r>
    </w:p>
    <w:p>
      <w:pPr>
        <w:pStyle w:val="ListParagraph"/>
        <w:numPr>
          <w:ilvl w:val="0"/>
          <w:numId w:val="3"/>
        </w:numPr>
        <w:spacing w:after="60"/>
      </w:pPr>
      <w:r>
        <w:t xml:space="preserve">Don’t know</w:t>
      </w:r>
    </w:p>
    <w:p>
      <w:pPr>
        <w:pStyle w:val="Heading2"/>
      </w:pPr>
      <w:r>
        <w:t xml:space="preserve">Module 2. Tolerability of the status quo  [Primary, Goal 1]</w:t>
      </w:r>
    </w:p>
    <w:p>
      <w:pPr>
        <w:spacing w:after="120"/>
      </w:pPr>
      <w:r>
        <w:t xml:space="preserve">Respondents judge risk levels that named actors have actually stated. This is recognition, not estimation. We use one tolerability scale throughout:</w:t>
      </w:r>
    </w:p>
    <w:p>
      <w:pPr>
        <w:spacing w:after="120"/>
      </w:pPr>
      <w:r>
        <w:rPr>
          <w:b/>
          <w:bCs/>
        </w:rPr>
        <w:t xml:space="preserve">Tolerability scale (revised, monotonic).</w:t>
      </w:r>
    </w:p>
    <w:p>
      <w:pPr>
        <w:pStyle w:val="ListParagraph"/>
        <w:numPr>
          <w:ilvl w:val="0"/>
          <w:numId w:val="3"/>
        </w:numPr>
        <w:spacing w:after="60"/>
      </w:pPr>
      <w:r>
        <w:t xml:space="preserve">Acceptable — safe enough that we don’t need to do anything about it.</w:t>
      </w:r>
    </w:p>
    <w:p>
      <w:pPr>
        <w:pStyle w:val="ListParagraph"/>
        <w:numPr>
          <w:ilvl w:val="0"/>
          <w:numId w:val="3"/>
        </w:numPr>
        <w:spacing w:after="60"/>
      </w:pPr>
      <w:r>
        <w:t xml:space="preserve">Tolerable — acceptable only if actively managed and reduced where reasonably practicable.</w:t>
      </w:r>
    </w:p>
    <w:p>
      <w:pPr>
        <w:pStyle w:val="ListParagraph"/>
        <w:numPr>
          <w:ilvl w:val="0"/>
          <w:numId w:val="3"/>
        </w:numPr>
        <w:spacing w:after="60"/>
      </w:pPr>
      <w:r>
        <w:t xml:space="preserve">Intolerable — not acceptable; must be reduced to at least a tolerable level before continuing.</w:t>
      </w:r>
    </w:p>
    <w:p>
      <w:pPr>
        <w:pStyle w:val="ListParagraph"/>
        <w:numPr>
          <w:ilvl w:val="0"/>
          <w:numId w:val="3"/>
        </w:numPr>
        <w:spacing w:after="60"/>
      </w:pPr>
      <w:r>
        <w:t xml:space="preserve">Unacceptable / should be illegal — so irresponsible it should not be permitted.</w:t>
      </w:r>
    </w:p>
    <w:p>
      <w:pPr>
        <w:spacing w:after="120"/>
      </w:pPr>
      <w:r>
        <w:rPr>
          <w:b/>
          <w:bCs/>
        </w:rPr>
        <w:t xml:space="preserve">v3 change (symmetric anchors). </w:t>
      </w:r>
      <w:r>
        <w:t xml:space="preserve">Each respondent sees one statement drawn at random from a deliberately balanced pool that runs from near-zero to high. We report tolerability by anchor, never as a single aggregate that hides the spread. This answers the objection that we curated only frightening numbers.</w:t>
      </w:r>
    </w:p>
    <w:p>
      <w:pPr>
        <w:spacing w:after="60" w:before="100"/>
      </w:pPr>
      <w:r>
        <w:rPr>
          <w:b/>
          <w:bCs/>
        </w:rPr>
        <w:t xml:space="preserve">2a. Industry figures’ own estimates.  [randomise which statement is shown]</w:t>
      </w:r>
    </w:p>
    <w:p>
      <w:pPr>
        <w:spacing w:after="60"/>
      </w:pPr>
      <w:r>
        <w:t xml:space="preserve">How tolerable is the level of risk described below?</w:t>
      </w:r>
    </w:p>
    <w:p>
      <w:pPr>
        <w:pStyle w:val="ListParagraph"/>
        <w:numPr>
          <w:ilvl w:val="0"/>
          <w:numId w:val="3"/>
        </w:numPr>
        <w:spacing w:after="60"/>
      </w:pPr>
      <w:r>
        <w:t xml:space="preserve">Yann LeCun, Meta’s chief AI scientist, has dismissed the idea that AI poses an extinction risk, calling such fears wildly overblown.</w:t>
      </w:r>
    </w:p>
    <w:p>
      <w:pPr>
        <w:pStyle w:val="ListParagraph"/>
        <w:numPr>
          <w:ilvl w:val="0"/>
          <w:numId w:val="3"/>
        </w:numPr>
        <w:spacing w:after="60"/>
      </w:pPr>
      <w:r>
        <w:t xml:space="preserve">Sam Altman, CEO of OpenAI, has estimated roughly a 2% chance of AI “killing everyone.”</w:t>
      </w:r>
    </w:p>
    <w:p>
      <w:pPr>
        <w:pStyle w:val="ListParagraph"/>
        <w:numPr>
          <w:ilvl w:val="0"/>
          <w:numId w:val="3"/>
        </w:numPr>
        <w:spacing w:after="60"/>
      </w:pPr>
      <w:r>
        <w:t xml:space="preserve">Elon Musk has put the risk of “killer robots annihilating humanity” at 10–20%.</w:t>
      </w:r>
    </w:p>
    <w:p>
      <w:pPr>
        <w:pStyle w:val="ListParagraph"/>
        <w:numPr>
          <w:ilvl w:val="0"/>
          <w:numId w:val="3"/>
        </w:numPr>
        <w:spacing w:after="60"/>
      </w:pPr>
      <w:r>
        <w:t xml:space="preserve">Dario Amodei, CEO of Anthropic, has estimated roughly a 25% chance of AI “going really, really badly.”</w:t>
      </w:r>
    </w:p>
    <w:p>
      <w:pPr>
        <w:spacing w:after="60"/>
      </w:pPr>
      <w:r>
        <w:t xml:space="preserve">[Tolerability scale]</w:t>
      </w:r>
    </w:p>
    <w:p>
      <w:pPr>
        <w:spacing w:after="60"/>
      </w:pPr>
      <w:r>
        <w:rPr>
          <w:b/>
          <w:bCs/>
          <w:i/>
          <w:iCs/>
        </w:rPr>
        <w:t xml:space="preserve">Why ask this: </w:t>
      </w:r>
      <w:r>
        <w:rPr>
          <w:i/>
          <w:iCs/>
        </w:rPr>
        <w:t xml:space="preserve">The judgement is about a number named figures volunteered, so it does not depend on public numeracy. The low-end LeCun anchor is included by design so the pool is not stacked toward alarm (skeptical-reviewer fix). Source named and randomised per PB#11.</w:t>
      </w:r>
    </w:p>
    <w:p>
      <w:pPr>
        <w:spacing w:after="60" w:before="100"/>
      </w:pPr>
      <w:r>
        <w:rPr>
          <w:b/>
          <w:bCs/>
        </w:rPr>
        <w:t xml:space="preserve">2b. Forecaster and expert estimates.  [randomise which statement is shown]</w:t>
      </w:r>
    </w:p>
    <w:p>
      <w:pPr>
        <w:pStyle w:val="ListParagraph"/>
        <w:numPr>
          <w:ilvl w:val="0"/>
          <w:numId w:val="3"/>
        </w:numPr>
        <w:spacing w:after="60"/>
      </w:pPr>
      <w:r>
        <w:t xml:space="preserve">Superforecasters estimate the chance of human extinction from AI by 2050 at about 1 in 3,400 (0.03%).</w:t>
      </w:r>
    </w:p>
    <w:p>
      <w:pPr>
        <w:pStyle w:val="ListParagraph"/>
        <w:numPr>
          <w:ilvl w:val="0"/>
          <w:numId w:val="3"/>
        </w:numPr>
        <w:spacing w:after="60"/>
      </w:pPr>
      <w:r>
        <w:t xml:space="preserve">Superforecasters estimate the chance of an AI catastrophe (around 800 million deaths) by 2050 at about 1 in 140 (0.73%).</w:t>
      </w:r>
    </w:p>
    <w:p>
      <w:pPr>
        <w:pStyle w:val="ListParagraph"/>
        <w:numPr>
          <w:ilvl w:val="0"/>
          <w:numId w:val="3"/>
        </w:numPr>
        <w:spacing w:after="60"/>
      </w:pPr>
      <w:r>
        <w:t xml:space="preserve">AI domain experts (XPT) estimate the chance of AI-caused extinction by 2050 at about 1.1%.</w:t>
      </w:r>
    </w:p>
    <w:p>
      <w:pPr>
        <w:pStyle w:val="ListParagraph"/>
        <w:numPr>
          <w:ilvl w:val="0"/>
          <w:numId w:val="3"/>
        </w:numPr>
        <w:spacing w:after="60"/>
      </w:pPr>
      <w:r>
        <w:t xml:space="preserve">AI domain experts (XPT) estimate the chance of an AI catastrophe by 2050 at about 5%.</w:t>
      </w:r>
    </w:p>
    <w:p>
      <w:pPr>
        <w:spacing w:after="60"/>
      </w:pPr>
      <w:r>
        <w:t xml:space="preserve">[Tolerability scale]</w:t>
      </w:r>
    </w:p>
    <w:p>
      <w:pPr>
        <w:spacing w:after="60"/>
      </w:pPr>
      <w:r>
        <w:rPr>
          <w:b/>
          <w:bCs/>
          <w:i/>
          <w:iCs/>
        </w:rPr>
        <w:t xml:space="preserve">Why ask this: </w:t>
      </w:r>
      <w:r>
        <w:rPr>
          <w:i/>
          <w:iCs/>
        </w:rPr>
        <w:t xml:space="preserve">Pairs optimistic (superforecaster) and pessimistic (expert) anchors so the status-quo judgement is bracketed rather than cherry-picked.</w:t>
      </w:r>
    </w:p>
    <w:p>
      <w:pPr>
        <w:spacing w:after="60" w:before="100"/>
      </w:pPr>
      <w:r>
        <w:rPr>
          <w:b/>
          <w:bCs/>
        </w:rPr>
        <w:t xml:space="preserve">2c. Pace and disruption (non-catastrophic).  [added per PB#17]</w:t>
      </w:r>
    </w:p>
    <w:p>
      <w:pPr>
        <w:spacing w:after="60"/>
      </w:pPr>
      <w:r>
        <w:rPr>
          <w:i/>
          <w:iCs/>
        </w:rPr>
        <w:t xml:space="preserve">Setting aside catastrophic risks, how tolerable is the current pace at which AI is changing work, information, and daily life?</w:t>
      </w:r>
    </w:p>
    <w:p>
      <w:pPr>
        <w:spacing w:after="60"/>
      </w:pPr>
      <w:r>
        <w:t xml:space="preserve">[Tolerability scale]</w:t>
      </w:r>
    </w:p>
    <w:p>
      <w:pPr>
        <w:spacing w:after="60"/>
      </w:pPr>
      <w:r>
        <w:rPr>
          <w:b/>
          <w:bCs/>
          <w:i/>
          <w:iCs/>
        </w:rPr>
        <w:t xml:space="preserve">Why ask this: </w:t>
      </w:r>
      <w:r>
        <w:rPr>
          <w:i/>
          <w:iCs/>
        </w:rPr>
        <w:t xml:space="preserve">Captures the large group who dislike AI’s societal effects even if they are unconcerned about catastrophe.</w:t>
      </w:r>
    </w:p>
    <w:p>
      <w:pPr>
        <w:spacing w:after="60" w:before="100"/>
      </w:pPr>
      <w:r>
        <w:rPr>
          <w:b/>
          <w:bCs/>
        </w:rPr>
        <w:t xml:space="preserve">2d. Frame-applicability check.  [v3 addition — skeptical-reviewer fix]</w:t>
      </w:r>
    </w:p>
    <w:p>
      <w:pPr>
        <w:spacing w:after="60"/>
      </w:pPr>
      <w:r>
        <w:rPr>
          <w:i/>
          <w:iCs/>
        </w:rPr>
        <w:t xml:space="preserve">Some people think the risk from advanced AI can be estimated and held to a numerical safety standard, the way aviation or nuclear power are. Others think it is too uncertain, or too different in kind, for that to make sense. Which is closer to your view?</w:t>
      </w:r>
    </w:p>
    <w:p>
      <w:pPr>
        <w:pStyle w:val="ListParagraph"/>
        <w:numPr>
          <w:ilvl w:val="0"/>
          <w:numId w:val="3"/>
        </w:numPr>
        <w:spacing w:after="60"/>
      </w:pPr>
      <w:r>
        <w:t xml:space="preserve">AI risk can be estimated and held to a numerical safety standard</w:t>
      </w:r>
    </w:p>
    <w:p>
      <w:pPr>
        <w:pStyle w:val="ListParagraph"/>
        <w:numPr>
          <w:ilvl w:val="0"/>
          <w:numId w:val="3"/>
        </w:numPr>
        <w:spacing w:after="60"/>
      </w:pPr>
      <w:r>
        <w:t xml:space="preserve">AI risk is too uncertain or too novel to put a meaningful number on</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Modules 3 and 4 assume risk can be quantified and compared to other technologies. This item measures that premise rather than assuming it; primaries are reported separately for respondents who accept versus reject the frame, so the engineering-risk paradigm is not smuggled in.</w:t>
      </w:r>
    </w:p>
    <w:p>
      <w:pPr>
        <w:pStyle w:val="Heading2"/>
      </w:pPr>
      <w:r>
        <w:t xml:space="preserve">Module 3. Expected safety standard  [Primary, Goal 2]</w:t>
      </w:r>
    </w:p>
    <w:p>
      <w:pPr>
        <w:spacing w:after="120"/>
      </w:pPr>
      <w:r>
        <w:t xml:space="preserve">Instead of asking for a number, we ask how AI should compare with technologies the public already lives with. Each comparator carries a known quantitative standard, so the qualitative answer implies a band on the F–N axes (the “back-out”). This gives Oscar the relative comparison he trusts and still gives us a curve.</w:t>
      </w:r>
    </w:p>
    <w:p>
      <w:pPr>
        <w:spacing w:after="60" w:before="100"/>
      </w:pPr>
      <w:r>
        <w:rPr>
          <w:b/>
          <w:bCs/>
        </w:rPr>
        <w:t xml:space="preserve">3a. Comparative standard.  [randomise comparator]</w:t>
      </w:r>
    </w:p>
    <w:p>
      <w:pPr>
        <w:spacing w:after="60"/>
      </w:pPr>
      <w:r>
        <w:rPr>
          <w:i/>
          <w:iCs/>
        </w:rPr>
        <w:t xml:space="preserve">Different technologies are held to different safety standards. Compared with [randomise: commercial aviation / nuclear power / new prescription medicines / cars / food safety], advanced AI systems should be held to:</w:t>
      </w:r>
    </w:p>
    <w:p>
      <w:pPr>
        <w:pStyle w:val="ListParagraph"/>
        <w:numPr>
          <w:ilvl w:val="0"/>
          <w:numId w:val="3"/>
        </w:numPr>
        <w:spacing w:after="60"/>
      </w:pPr>
      <w:r>
        <w:t xml:space="preserve">Much stricter safety standards</w:t>
      </w:r>
    </w:p>
    <w:p>
      <w:pPr>
        <w:pStyle w:val="ListParagraph"/>
        <w:numPr>
          <w:ilvl w:val="0"/>
          <w:numId w:val="3"/>
        </w:numPr>
        <w:spacing w:after="60"/>
      </w:pPr>
      <w:r>
        <w:t xml:space="preserve">Somewhat stricter standards</w:t>
      </w:r>
    </w:p>
    <w:p>
      <w:pPr>
        <w:pStyle w:val="ListParagraph"/>
        <w:numPr>
          <w:ilvl w:val="0"/>
          <w:numId w:val="3"/>
        </w:numPr>
        <w:spacing w:after="60"/>
      </w:pPr>
      <w:r>
        <w:t xml:space="preserve">About the same standards</w:t>
      </w:r>
    </w:p>
    <w:p>
      <w:pPr>
        <w:pStyle w:val="ListParagraph"/>
        <w:numPr>
          <w:ilvl w:val="0"/>
          <w:numId w:val="3"/>
        </w:numPr>
        <w:spacing w:after="60"/>
      </w:pPr>
      <w:r>
        <w:t xml:space="preserve">Somewhat less strict standards</w:t>
      </w:r>
    </w:p>
    <w:p>
      <w:pPr>
        <w:pStyle w:val="ListParagraph"/>
        <w:numPr>
          <w:ilvl w:val="0"/>
          <w:numId w:val="3"/>
        </w:numPr>
        <w:spacing w:after="60"/>
      </w:pPr>
      <w:r>
        <w:t xml:space="preserve">Much less strict standards</w:t>
      </w:r>
    </w:p>
    <w:p>
      <w:pPr>
        <w:pStyle w:val="ListParagraph"/>
        <w:numPr>
          <w:ilvl w:val="0"/>
          <w:numId w:val="3"/>
        </w:numPr>
        <w:spacing w:after="60"/>
      </w:pPr>
      <w:r>
        <w:t xml:space="preserve">Cannot compare these technologies</w:t>
      </w:r>
    </w:p>
    <w:p>
      <w:pPr>
        <w:spacing w:after="60"/>
      </w:pPr>
      <w:r>
        <w:rPr>
          <w:b/>
          <w:bCs/>
          <w:i/>
          <w:iCs/>
        </w:rPr>
        <w:t xml:space="preserve">Why ask this: </w:t>
      </w:r>
      <w:r>
        <w:rPr>
          <w:i/>
          <w:iCs/>
        </w:rPr>
        <w:t xml:space="preserve">Reveals the expected stringency ordinally; the named anchor gives it quantitative meaning (PB#12, PB#14).</w:t>
      </w:r>
    </w:p>
    <w:p>
      <w:pPr>
        <w:spacing w:after="120"/>
      </w:pPr>
      <w:r>
        <w:rPr>
          <w:i/>
          <w:iCs/>
        </w:rPr>
        <w:t xml:space="preserve">Reference anchors used (shown to respondents in plain language; quantitative values used only in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Comparator</w:t>
            </w:r>
          </w:p>
        </w:tc>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Known risk standard</w:t>
            </w:r>
          </w:p>
        </w:tc>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Implied level if “about the same”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Commercial aviation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&lt; 1 in 10,000,000 per flight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~10⁻⁷ per exposure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Nuclear power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&lt; 1 in 100,000 chance of any death per year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~10⁻⁵ per year</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New prescription medicines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Serious-harm rates reviewed pre-approval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Tightly regulated, pre-market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Cars (driving)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 in 10,000 annual fatality risk</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~10⁻⁴ per year</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Food safety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Low, familiar, involuntary-but-trusted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Strict, routine oversight</w:t>
            </w:r>
          </w:p>
        </w:tc>
      </w:tr>
    </w:tbl>
    <w:p>
      <w:pPr>
        <w:spacing w:after="120"/>
      </w:pPr>
      <w:r>
        <w:rPr>
          <w:b/>
          <w:bCs/>
        </w:rPr>
        <w:t xml:space="preserve">Back-out logic and its caveat. </w:t>
      </w:r>
      <w:r>
        <w:t xml:space="preserve">“Same as nuclear” maps to ~10⁻⁵/yr; “stricter” and “looser” shift the band up or down. Aggregating across the randomised comparators yields a distribution of expected stringency anchored to real numbers the public already accepts, without anyone being asked to produce one. This assumes respondents read “stricter” as monotonic in risk; we test that assumption in the cognitive pre-test (Section 6) and, if it fails, treat these items as ordinal only.</w:t>
      </w:r>
    </w:p>
    <w:p>
      <w:pPr>
        <w:pStyle w:val="Heading2"/>
      </w:pPr>
      <w:r>
        <w:t xml:space="preserve">Module 4. Direct threshold elicitation  [Secondary / validation]</w:t>
      </w:r>
    </w:p>
    <w:p>
      <w:pPr>
        <w:spacing w:after="120"/>
      </w:pPr>
      <w:r>
        <w:t xml:space="preserve">Kept for triangulation against Modules 2–3, not as the headline. No societal-risk anchors and no icon arrays (see Dumpster).</w:t>
      </w:r>
    </w:p>
    <w:p>
      <w:pPr>
        <w:spacing w:after="60" w:before="100"/>
      </w:pPr>
      <w:r>
        <w:rPr>
          <w:b/>
          <w:bCs/>
        </w:rPr>
        <w:t xml:space="preserve">4a. Reasonable risk of critical harm.  [randomise threshold: 50 or 100 deaths]</w:t>
      </w:r>
    </w:p>
    <w:p>
      <w:pPr>
        <w:spacing w:after="60"/>
      </w:pPr>
      <w:r>
        <w:rPr>
          <w:i/>
          <w:iCs/>
        </w:rPr>
        <w:t xml:space="preserve">Let’s define “critical harm” from AI as the death or serious injury of [50 / 100] or more people. What is the highest risk of critical harm you would consider reasonable? (Any higher risk would be unreasonable.)</w:t>
      </w:r>
    </w:p>
    <w:p>
      <w:pPr>
        <w:pStyle w:val="ListParagraph"/>
        <w:numPr>
          <w:ilvl w:val="0"/>
          <w:numId w:val="3"/>
        </w:numPr>
        <w:spacing w:after="60"/>
      </w:pPr>
      <w:r>
        <w:t xml:space="preserve">10% (1 in 10)</w:t>
      </w:r>
    </w:p>
    <w:p>
      <w:pPr>
        <w:pStyle w:val="ListParagraph"/>
        <w:numPr>
          <w:ilvl w:val="0"/>
          <w:numId w:val="3"/>
        </w:numPr>
        <w:spacing w:after="60"/>
      </w:pPr>
      <w:r>
        <w:t xml:space="preserve">1% (1 in 100)</w:t>
      </w:r>
    </w:p>
    <w:p>
      <w:pPr>
        <w:pStyle w:val="ListParagraph"/>
        <w:numPr>
          <w:ilvl w:val="0"/>
          <w:numId w:val="3"/>
        </w:numPr>
        <w:spacing w:after="60"/>
      </w:pPr>
      <w:r>
        <w:t xml:space="preserve">0.1% (1 in 1,000)</w:t>
      </w:r>
    </w:p>
    <w:p>
      <w:pPr>
        <w:pStyle w:val="ListParagraph"/>
        <w:numPr>
          <w:ilvl w:val="0"/>
          <w:numId w:val="3"/>
        </w:numPr>
        <w:spacing w:after="60"/>
      </w:pPr>
      <w:r>
        <w:t xml:space="preserve">0.01% (1 in 10,000)</w:t>
      </w:r>
    </w:p>
    <w:p>
      <w:pPr>
        <w:pStyle w:val="ListParagraph"/>
        <w:numPr>
          <w:ilvl w:val="0"/>
          <w:numId w:val="3"/>
        </w:numPr>
        <w:spacing w:after="60"/>
      </w:pPr>
      <w:r>
        <w:t xml:space="preserve">0.001% (1 in 100,000)</w:t>
      </w:r>
    </w:p>
    <w:p>
      <w:pPr>
        <w:pStyle w:val="ListParagraph"/>
        <w:numPr>
          <w:ilvl w:val="0"/>
          <w:numId w:val="3"/>
        </w:numPr>
        <w:spacing w:after="60"/>
      </w:pPr>
      <w:r>
        <w:t xml:space="preserve">0.0001% (1 in 1,000,000)</w:t>
      </w:r>
    </w:p>
    <w:p>
      <w:pPr>
        <w:pStyle w:val="ListParagraph"/>
        <w:numPr>
          <w:ilvl w:val="0"/>
          <w:numId w:val="3"/>
        </w:numPr>
        <w:spacing w:after="60"/>
      </w:pPr>
      <w:r>
        <w:t xml:space="preserve">≤0.00001% (1 in 10,000,000 or less)</w:t>
      </w:r>
    </w:p>
    <w:p>
      <w:pPr>
        <w:pStyle w:val="ListParagraph"/>
        <w:numPr>
          <w:ilvl w:val="0"/>
          <w:numId w:val="3"/>
        </w:numPr>
        <w:spacing w:after="60"/>
      </w:pPr>
      <w:r>
        <w:t xml:space="preserve">Zero risk only is reasonable</w:t>
      </w:r>
    </w:p>
    <w:p>
      <w:pPr>
        <w:pStyle w:val="ListParagraph"/>
        <w:numPr>
          <w:ilvl w:val="0"/>
          <w:numId w:val="3"/>
        </w:numPr>
        <w:spacing w:after="60"/>
      </w:pPr>
      <w:r>
        <w:t xml:space="preserve">This is too speculative to answer meaningfully</w:t>
      </w:r>
    </w:p>
    <w:p>
      <w:pPr>
        <w:spacing w:after="60"/>
      </w:pPr>
      <w:r>
        <w:rPr>
          <w:b/>
          <w:bCs/>
          <w:i/>
          <w:iCs/>
        </w:rPr>
        <w:t xml:space="preserve">Why ask this: </w:t>
      </w:r>
      <w:r>
        <w:rPr>
          <w:i/>
          <w:iCs/>
        </w:rPr>
        <w:t xml:space="preserve">The RAISE Act bars “unreasonable” risk of critical harm but never defines the level; public expectation is a legitimate input. Randomising 50/100 lets us compare to both SB 53 (50) and the RAISE Act (100).</w:t>
      </w:r>
    </w:p>
    <w:p>
      <w:pPr>
        <w:spacing w:after="60" w:before="100"/>
      </w:pPr>
      <w:r>
        <w:rPr>
          <w:b/>
          <w:bCs/>
        </w:rPr>
        <w:t xml:space="preserve">4b. F–N classification (matrix-sampled, one harm class per person).</w:t>
      </w:r>
    </w:p>
    <w:p>
      <w:pPr>
        <w:spacing w:after="60"/>
      </w:pPr>
      <w:r>
        <w:rPr>
          <w:i/>
          <w:iCs/>
        </w:rPr>
        <w:t xml:space="preserve">If there were a [probability] chance of [harm class] from AI, that risk would be…  [Tolerability scale]</w:t>
      </w:r>
    </w:p>
    <w:p>
      <w:pPr>
        <w:spacing w:after="60"/>
      </w:pPr>
      <w:r>
        <w:t xml:space="preserve">Probabilities, asked one at a time in randomised order (no anchors, per the US decision):</w:t>
      </w:r>
    </w:p>
    <w:p>
      <w:pPr>
        <w:pStyle w:val="ListParagraph"/>
        <w:numPr>
          <w:ilvl w:val="0"/>
          <w:numId w:val="3"/>
        </w:numPr>
        <w:spacing w:after="60"/>
      </w:pPr>
      <w:r>
        <w:t xml:space="preserve">10% (1 in 10)</w:t>
      </w:r>
    </w:p>
    <w:p>
      <w:pPr>
        <w:pStyle w:val="ListParagraph"/>
        <w:numPr>
          <w:ilvl w:val="0"/>
          <w:numId w:val="3"/>
        </w:numPr>
        <w:spacing w:after="60"/>
      </w:pPr>
      <w:r>
        <w:t xml:space="preserve">1% (1 in 100)</w:t>
      </w:r>
    </w:p>
    <w:p>
      <w:pPr>
        <w:pStyle w:val="ListParagraph"/>
        <w:numPr>
          <w:ilvl w:val="0"/>
          <w:numId w:val="3"/>
        </w:numPr>
        <w:spacing w:after="60"/>
      </w:pPr>
      <w:r>
        <w:t xml:space="preserve">0.1% (1 in 1,000)</w:t>
      </w:r>
    </w:p>
    <w:p>
      <w:pPr>
        <w:pStyle w:val="ListParagraph"/>
        <w:numPr>
          <w:ilvl w:val="0"/>
          <w:numId w:val="3"/>
        </w:numPr>
        <w:spacing w:after="60"/>
      </w:pPr>
      <w:r>
        <w:t xml:space="preserve">0.01% (1 in 10,000)</w:t>
      </w:r>
    </w:p>
    <w:p>
      <w:pPr>
        <w:pStyle w:val="ListParagraph"/>
        <w:numPr>
          <w:ilvl w:val="0"/>
          <w:numId w:val="3"/>
        </w:numPr>
        <w:spacing w:after="60"/>
      </w:pPr>
      <w:r>
        <w:t xml:space="preserve">0.001% (1 in 100,000)</w:t>
      </w:r>
    </w:p>
    <w:p>
      <w:pPr>
        <w:pStyle w:val="ListParagraph"/>
        <w:numPr>
          <w:ilvl w:val="0"/>
          <w:numId w:val="3"/>
        </w:numPr>
        <w:spacing w:after="60"/>
      </w:pPr>
      <w:r>
        <w:t xml:space="preserve">0.0001% (1 in 1,000,000)</w:t>
      </w:r>
    </w:p>
    <w:p>
      <w:pPr>
        <w:spacing w:after="60"/>
      </w:pPr>
      <w:r>
        <w:t xml:space="preserve">Harm classes (one assigned per respondent): Negligible, Minor, Substantial, Severe, Catastrophic (each defined in plain language).</w:t>
      </w:r>
    </w:p>
    <w:p>
      <w:pPr>
        <w:spacing w:after="60"/>
      </w:pPr>
      <w:r>
        <w:rPr>
          <w:b/>
          <w:bCs/>
          <w:i/>
          <w:iCs/>
        </w:rPr>
        <w:t xml:space="preserve">Why ask this: </w:t>
      </w:r>
      <w:r>
        <w:rPr>
          <w:i/>
          <w:iCs/>
        </w:rPr>
        <w:t xml:space="preserve">Produces dots across the F–N plot at population level. Logical-monotonicity violations are used as a soft data-quality signal, not an exclusion, and are examined in sensitivity analysis.</w:t>
      </w:r>
    </w:p>
    <w:p>
      <w:pPr>
        <w:pStyle w:val="Heading2"/>
      </w:pPr>
      <w:r>
        <w:t xml:space="preserve">Module 5. Costed tradeoffs</w:t>
      </w:r>
    </w:p>
    <w:p>
      <w:pPr>
        <w:spacing w:after="120"/>
      </w:pPr>
      <w:r>
        <w:t xml:space="preserve">Each respondent sees one or two. Costs are explicit so preferences are not free (OD#6).</w:t>
      </w:r>
    </w:p>
    <w:p>
      <w:pPr>
        <w:spacing w:after="60" w:before="100"/>
      </w:pPr>
      <w:r>
        <w:rPr>
          <w:b/>
          <w:bCs/>
        </w:rPr>
        <w:t xml:space="preserve">5a. Willingness to pay.</w:t>
      </w:r>
    </w:p>
    <w:p>
      <w:pPr>
        <w:spacing w:after="60"/>
      </w:pPr>
      <w:r>
        <w:rPr>
          <w:i/>
          <w:iCs/>
        </w:rPr>
        <w:t xml:space="preserve">What is the most you would personally pay each year (through government spending or higher AI prices) to cut AI catastrophic risk (&gt;800 million deaths) from 1 in 20 (5%) to 1 in 100 (1%) over the next 30 years?</w:t>
      </w:r>
    </w:p>
    <w:p>
      <w:pPr>
        <w:pStyle w:val="ListParagraph"/>
        <w:numPr>
          <w:ilvl w:val="0"/>
          <w:numId w:val="3"/>
        </w:numPr>
        <w:spacing w:after="60"/>
      </w:pPr>
      <w:r>
        <w:t xml:space="preserve">$0</w:t>
      </w:r>
    </w:p>
    <w:p>
      <w:pPr>
        <w:pStyle w:val="ListParagraph"/>
        <w:numPr>
          <w:ilvl w:val="0"/>
          <w:numId w:val="3"/>
        </w:numPr>
        <w:spacing w:after="60"/>
      </w:pPr>
      <w:r>
        <w:t xml:space="preserve">$1–25</w:t>
      </w:r>
    </w:p>
    <w:p>
      <w:pPr>
        <w:pStyle w:val="ListParagraph"/>
        <w:numPr>
          <w:ilvl w:val="0"/>
          <w:numId w:val="3"/>
        </w:numPr>
        <w:spacing w:after="60"/>
      </w:pPr>
      <w:r>
        <w:t xml:space="preserve">$26–100</w:t>
      </w:r>
    </w:p>
    <w:p>
      <w:pPr>
        <w:pStyle w:val="ListParagraph"/>
        <w:numPr>
          <w:ilvl w:val="0"/>
          <w:numId w:val="3"/>
        </w:numPr>
        <w:spacing w:after="60"/>
      </w:pPr>
      <w:r>
        <w:t xml:space="preserve">$101–500</w:t>
      </w:r>
    </w:p>
    <w:p>
      <w:pPr>
        <w:pStyle w:val="ListParagraph"/>
        <w:numPr>
          <w:ilvl w:val="0"/>
          <w:numId w:val="3"/>
        </w:numPr>
        <w:spacing w:after="60"/>
      </w:pPr>
      <w:r>
        <w:t xml:space="preserve">$501–1,000</w:t>
      </w:r>
    </w:p>
    <w:p>
      <w:pPr>
        <w:pStyle w:val="ListParagraph"/>
        <w:numPr>
          <w:ilvl w:val="0"/>
          <w:numId w:val="3"/>
        </w:numPr>
        <w:spacing w:after="60"/>
      </w:pPr>
      <w:r>
        <w:t xml:space="preserve">More than $1,000</w:t>
      </w:r>
    </w:p>
    <w:p>
      <w:pPr>
        <w:pStyle w:val="ListParagraph"/>
        <w:numPr>
          <w:ilvl w:val="0"/>
          <w:numId w:val="3"/>
        </w:numPr>
        <w:spacing w:after="60"/>
      </w:pPr>
      <w:r>
        <w:t xml:space="preserve">This is so important I’d pay whatever it takes</w:t>
      </w:r>
    </w:p>
    <w:p>
      <w:pPr>
        <w:pStyle w:val="ListParagraph"/>
        <w:numPr>
          <w:ilvl w:val="0"/>
          <w:numId w:val="3"/>
        </w:numPr>
        <w:spacing w:after="60"/>
      </w:pPr>
      <w:r>
        <w:t xml:space="preserve">I don’t know how much I’d pay</w:t>
      </w:r>
    </w:p>
    <w:p>
      <w:pPr>
        <w:spacing w:after="60" w:before="100"/>
      </w:pPr>
      <w:r>
        <w:rPr>
          <w:b/>
          <w:bCs/>
        </w:rPr>
        <w:t xml:space="preserve">5b. Delay tradeoff.  [randomise delay: 2/5/10/15/25/50 years]</w:t>
      </w:r>
    </w:p>
    <w:p>
      <w:pPr>
        <w:spacing w:after="60"/>
      </w:pPr>
      <w:r>
        <w:rPr>
          <w:i/>
          <w:iCs/>
        </w:rPr>
        <w:t xml:space="preserve">If delaying advanced AI by [X] years would cut catastrophic risk (&gt;800m deaths) from 5% to 1%, that delay would be:</w:t>
      </w:r>
    </w:p>
    <w:p>
      <w:pPr>
        <w:pStyle w:val="ListParagraph"/>
        <w:numPr>
          <w:ilvl w:val="0"/>
          <w:numId w:val="3"/>
        </w:numPr>
        <w:spacing w:after="60"/>
      </w:pPr>
      <w:r>
        <w:t xml:space="preserve">Clearly worthwhile</w:t>
      </w:r>
    </w:p>
    <w:p>
      <w:pPr>
        <w:pStyle w:val="ListParagraph"/>
        <w:numPr>
          <w:ilvl w:val="0"/>
          <w:numId w:val="3"/>
        </w:numPr>
        <w:spacing w:after="60"/>
      </w:pPr>
      <w:r>
        <w:t xml:space="preserve">Probably worthwhile</w:t>
      </w:r>
    </w:p>
    <w:p>
      <w:pPr>
        <w:pStyle w:val="ListParagraph"/>
        <w:numPr>
          <w:ilvl w:val="0"/>
          <w:numId w:val="3"/>
        </w:numPr>
        <w:spacing w:after="60"/>
      </w:pPr>
      <w:r>
        <w:t xml:space="preserve">Difficult to judge</w:t>
      </w:r>
    </w:p>
    <w:p>
      <w:pPr>
        <w:pStyle w:val="ListParagraph"/>
        <w:numPr>
          <w:ilvl w:val="0"/>
          <w:numId w:val="3"/>
        </w:numPr>
        <w:spacing w:after="60"/>
      </w:pPr>
      <w:r>
        <w:t xml:space="preserve">Probably not worthwhile</w:t>
      </w:r>
    </w:p>
    <w:p>
      <w:pPr>
        <w:pStyle w:val="ListParagraph"/>
        <w:numPr>
          <w:ilvl w:val="0"/>
          <w:numId w:val="3"/>
        </w:numPr>
        <w:spacing w:after="60"/>
      </w:pPr>
      <w:r>
        <w:t xml:space="preserve">Clearly not worthwhile</w:t>
      </w:r>
    </w:p>
    <w:p>
      <w:pPr>
        <w:spacing w:after="60" w:before="100"/>
      </w:pPr>
      <w:r>
        <w:rPr>
          <w:b/>
          <w:bCs/>
        </w:rPr>
        <w:t xml:space="preserve">5c. Lost-benefits, acceleration, and race variants.</w:t>
      </w:r>
    </w:p>
    <w:p>
      <w:pPr>
        <w:spacing w:after="60"/>
      </w:pPr>
      <w:r>
        <w:t xml:space="preserve">Same 5-point scale, varying the cost: delayed cures and climate solutions (slow-benefit); faster cures but higher risk (accelerate); China catches up to the USA (race).</w:t>
      </w:r>
    </w:p>
    <w:p>
      <w:pPr>
        <w:spacing w:after="60"/>
      </w:pPr>
      <w:r>
        <w:rPr>
          <w:b/>
          <w:bCs/>
          <w:i/>
          <w:iCs/>
        </w:rPr>
        <w:t xml:space="preserve">Why ask this: </w:t>
      </w:r>
      <w:r>
        <w:rPr>
          <w:i/>
          <w:iCs/>
        </w:rPr>
        <w:t xml:space="preserve">Tests whether tolerance is benefit-dependent and whether competitiveness framings move it; mirrors the counter-message arm.</w:t>
      </w:r>
    </w:p>
    <w:p>
      <w:pPr>
        <w:pStyle w:val="Heading2"/>
      </w:pPr>
      <w:r>
        <w:t xml:space="preserve">Module 6. Policy preferences</w:t>
      </w:r>
    </w:p>
    <w:p>
      <w:pPr>
        <w:spacing w:after="60" w:before="100"/>
      </w:pPr>
      <w:r>
        <w:rPr>
          <w:b/>
          <w:bCs/>
        </w:rPr>
        <w:t xml:space="preserve">6a. Who should certify AI as safe before deployment?</w:t>
      </w:r>
    </w:p>
    <w:p>
      <w:pPr>
        <w:pStyle w:val="ListParagraph"/>
        <w:numPr>
          <w:ilvl w:val="0"/>
          <w:numId w:val="3"/>
        </w:numPr>
        <w:spacing w:after="60"/>
      </w:pPr>
      <w:r>
        <w:t xml:space="preserve">The companies that build them</w:t>
      </w:r>
    </w:p>
    <w:p>
      <w:pPr>
        <w:pStyle w:val="ListParagraph"/>
        <w:numPr>
          <w:ilvl w:val="0"/>
          <w:numId w:val="3"/>
        </w:numPr>
        <w:spacing w:after="60"/>
      </w:pPr>
      <w:r>
        <w:t xml:space="preserve">Government agencies</w:t>
      </w:r>
    </w:p>
    <w:p>
      <w:pPr>
        <w:pStyle w:val="ListParagraph"/>
        <w:numPr>
          <w:ilvl w:val="0"/>
          <w:numId w:val="3"/>
        </w:numPr>
        <w:spacing w:after="60"/>
      </w:pPr>
      <w:r>
        <w:t xml:space="preserve">Independent third-party auditors</w:t>
      </w:r>
    </w:p>
    <w:p>
      <w:pPr>
        <w:pStyle w:val="ListParagraph"/>
        <w:numPr>
          <w:ilvl w:val="0"/>
          <w:numId w:val="3"/>
        </w:numPr>
        <w:spacing w:after="60"/>
      </w:pPr>
      <w:r>
        <w:t xml:space="preserve">No certification needed; the market will self-regulate</w:t>
      </w:r>
    </w:p>
    <w:p>
      <w:pPr>
        <w:spacing w:after="60" w:before="100"/>
      </w:pPr>
      <w:r>
        <w:rPr>
          <w:b/>
          <w:bCs/>
        </w:rPr>
        <w:t xml:space="preserve">6b. Federal vs state.</w:t>
      </w:r>
    </w:p>
    <w:p>
      <w:pPr>
        <w:spacing w:after="60"/>
      </w:pPr>
      <w:r>
        <w:rPr>
          <w:i/>
          <w:iCs/>
        </w:rPr>
        <w:t xml:space="preserve">Should the US have one national AI policy, or let each state set its own rules?</w:t>
      </w:r>
    </w:p>
    <w:p>
      <w:pPr>
        <w:pStyle w:val="ListParagraph"/>
        <w:numPr>
          <w:ilvl w:val="0"/>
          <w:numId w:val="3"/>
        </w:numPr>
        <w:spacing w:after="60"/>
      </w:pPr>
      <w:r>
        <w:t xml:space="preserve">Strongly prefer unified federal policy</w:t>
      </w:r>
    </w:p>
    <w:p>
      <w:pPr>
        <w:pStyle w:val="ListParagraph"/>
        <w:numPr>
          <w:ilvl w:val="0"/>
          <w:numId w:val="3"/>
        </w:numPr>
        <w:spacing w:after="60"/>
      </w:pPr>
      <w:r>
        <w:t xml:space="preserve">Somewhat prefer federal</w:t>
      </w:r>
    </w:p>
    <w:p>
      <w:pPr>
        <w:pStyle w:val="ListParagraph"/>
        <w:numPr>
          <w:ilvl w:val="0"/>
          <w:numId w:val="3"/>
        </w:numPr>
        <w:spacing w:after="60"/>
      </w:pPr>
      <w:r>
        <w:t xml:space="preserve">Somewhat prefer state-by-state</w:t>
      </w:r>
    </w:p>
    <w:p>
      <w:pPr>
        <w:pStyle w:val="ListParagraph"/>
        <w:numPr>
          <w:ilvl w:val="0"/>
          <w:numId w:val="3"/>
        </w:numPr>
        <w:spacing w:after="60"/>
      </w:pPr>
      <w:r>
        <w:t xml:space="preserve">Strongly prefer state-by-state</w:t>
      </w:r>
    </w:p>
    <w:p>
      <w:pPr>
        <w:spacing w:after="60"/>
      </w:pPr>
      <w:r>
        <w:rPr>
          <w:b/>
          <w:bCs/>
          <w:i/>
          <w:iCs/>
        </w:rPr>
        <w:t xml:space="preserve">Why ask this: </w:t>
      </w:r>
      <w:r>
        <w:rPr>
          <w:i/>
          <w:iCs/>
        </w:rPr>
        <w:t xml:space="preserve">Tests whether the RAISE Act can model federal legislation; fragmentation is a US-specific concern.</w:t>
      </w:r>
    </w:p>
    <w:p>
      <w:pPr>
        <w:spacing w:after="60" w:before="100"/>
      </w:pPr>
      <w:r>
        <w:rPr>
          <w:b/>
          <w:bCs/>
        </w:rPr>
        <w:t xml:space="preserve">6c. Emergency shutdown.</w:t>
      </w:r>
    </w:p>
    <w:p>
      <w:pPr>
        <w:spacing w:after="60"/>
      </w:pPr>
      <w:r>
        <w:rPr>
          <w:i/>
          <w:iCs/>
        </w:rPr>
        <w:t xml:space="preserve">Should advanced AI be legally required to have an emergency ‘kill switch’ to shut it down if it behaves dangerously?</w:t>
      </w:r>
    </w:p>
    <w:p>
      <w:pPr>
        <w:pStyle w:val="ListParagraph"/>
        <w:numPr>
          <w:ilvl w:val="0"/>
          <w:numId w:val="3"/>
        </w:numPr>
        <w:spacing w:after="60"/>
      </w:pPr>
      <w:r>
        <w:t xml:space="preserve">Yes, for all AI systems</w:t>
      </w:r>
    </w:p>
    <w:p>
      <w:pPr>
        <w:pStyle w:val="ListParagraph"/>
        <w:numPr>
          <w:ilvl w:val="0"/>
          <w:numId w:val="3"/>
        </w:numPr>
        <w:spacing w:after="60"/>
      </w:pPr>
      <w:r>
        <w:t xml:space="preserve">Yes, but only for high-risk systems</w:t>
      </w:r>
    </w:p>
    <w:p>
      <w:pPr>
        <w:pStyle w:val="ListParagraph"/>
        <w:numPr>
          <w:ilvl w:val="0"/>
          <w:numId w:val="3"/>
        </w:numPr>
        <w:spacing w:after="60"/>
      </w:pPr>
      <w:r>
        <w:t xml:space="preserve">No, voluntary guidelines are enough</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Neither RAISE nor SB 53 addresses post-deployment intervention; this finds whether the public wants the gap filled.</w:t>
      </w:r>
    </w:p>
    <w:p>
      <w:pPr>
        <w:spacing w:after="60" w:before="100"/>
      </w:pPr>
      <w:r>
        <w:rPr>
          <w:b/>
          <w:bCs/>
        </w:rPr>
        <w:t xml:space="preserve">6d. Liability for critical harm.  [randomise threshold: 50 or 100; v3 rebalanced options]</w:t>
      </w:r>
    </w:p>
    <w:p>
      <w:pPr>
        <w:spacing w:after="60"/>
      </w:pPr>
      <w:r>
        <w:rPr>
          <w:i/>
          <w:iCs/>
        </w:rPr>
        <w:t xml:space="preserve">If an AI system causes critical harm ([50/100]+ deaths or $1B+ damage), under what conditions should the company that built it be financially liable?</w:t>
      </w:r>
    </w:p>
    <w:p>
      <w:pPr>
        <w:pStyle w:val="ListParagraph"/>
        <w:numPr>
          <w:ilvl w:val="0"/>
          <w:numId w:val="3"/>
        </w:numPr>
        <w:spacing w:after="60"/>
      </w:pPr>
      <w:r>
        <w:t xml:space="preserve">Fully liable, even if it followed every applicable rule (strict liability)</w:t>
      </w:r>
    </w:p>
    <w:p>
      <w:pPr>
        <w:pStyle w:val="ListParagraph"/>
        <w:numPr>
          <w:ilvl w:val="0"/>
          <w:numId w:val="3"/>
        </w:numPr>
        <w:spacing w:after="60"/>
      </w:pPr>
      <w:r>
        <w:t xml:space="preserve">Liable only if it failed to take reasonable care (a negligence / duty-of-care standard)</w:t>
      </w:r>
    </w:p>
    <w:p>
      <w:pPr>
        <w:pStyle w:val="ListParagraph"/>
        <w:numPr>
          <w:ilvl w:val="0"/>
          <w:numId w:val="3"/>
        </w:numPr>
        <w:spacing w:after="60"/>
      </w:pPr>
      <w:r>
        <w:t xml:space="preserve">Liable only if it broke a specific written rule</w:t>
      </w:r>
    </w:p>
    <w:p>
      <w:pPr>
        <w:pStyle w:val="ListParagraph"/>
        <w:numPr>
          <w:ilvl w:val="0"/>
          <w:numId w:val="3"/>
        </w:numPr>
        <w:spacing w:after="60"/>
      </w:pPr>
      <w:r>
        <w:t xml:space="preserve">Not liable if it followed all applicable safety standards</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v3 fix: the negligence / duty-of-care middle is now an explicit option, and the wording no longer presents strict liability as the default reasonable answer. This is the standard most real proposals occupy, so omitting it overstated support for strict liability.</w:t>
      </w:r>
    </w:p>
    <w:p>
      <w:pPr>
        <w:pStyle w:val="Heading2"/>
      </w:pPr>
      <w:r>
        <w:t xml:space="preserve">Module 7. Validation and robustness layer</w:t>
      </w:r>
    </w:p>
    <w:p>
      <w:pPr>
        <w:spacing w:after="60" w:before="100"/>
      </w:pPr>
      <w:r>
        <w:rPr>
          <w:b/>
          <w:bCs/>
        </w:rPr>
        <w:t xml:space="preserve">7a. Counter-message randomisation.  [added per OD#7 — assign one of three arms before Modules 2–5]</w:t>
      </w:r>
    </w:p>
    <w:p>
      <w:pPr>
        <w:pStyle w:val="ListParagraph"/>
        <w:numPr>
          <w:ilvl w:val="0"/>
          <w:numId w:val="3"/>
        </w:numPr>
        <w:spacing w:after="60"/>
      </w:pPr>
      <w:r>
        <w:t xml:space="preserve">Arm A (no message): proceed directly.</w:t>
      </w:r>
    </w:p>
    <w:p>
      <w:pPr>
        <w:pStyle w:val="ListParagraph"/>
        <w:numPr>
          <w:ilvl w:val="0"/>
          <w:numId w:val="3"/>
        </w:numPr>
        <w:spacing w:after="60"/>
      </w:pPr>
      <w:r>
        <w:t xml:space="preserve">Arm B (acceleration / competitiveness prime): “Some argue that heavy AI regulation would slow innovation, cost jobs, and let rival nations such as China take the lead, and that AI’s benefits far outweigh speculative risks.”</w:t>
      </w:r>
    </w:p>
    <w:p>
      <w:pPr>
        <w:pStyle w:val="ListParagraph"/>
        <w:numPr>
          <w:ilvl w:val="0"/>
          <w:numId w:val="3"/>
        </w:numPr>
        <w:spacing w:after="60"/>
      </w:pPr>
      <w:r>
        <w:t xml:space="preserve">Arm C (safety prime): “Some argue that AI is advancing faster than our ability to make it safe, that leading developers themselves warn of catastrophic risk, and that strong safeguards are needed before deployment.”</w:t>
      </w:r>
    </w:p>
    <w:p>
      <w:pPr>
        <w:spacing w:after="60"/>
      </w:pPr>
      <w:r>
        <w:rPr>
          <w:b/>
          <w:bCs/>
          <w:i/>
          <w:iCs/>
        </w:rPr>
        <w:t xml:space="preserve">Why ask this: </w:t>
      </w:r>
      <w:r>
        <w:rPr>
          <w:i/>
          <w:iCs/>
        </w:rPr>
        <w:t xml:space="preserve">If tolerance barely moves across arms, that rebuts “shallow made-up numbers.” If it swings hard, the fragility is itself the honest finding. Either way we learn something true rather than assuming.</w:t>
      </w:r>
    </w:p>
    <w:p>
      <w:pPr>
        <w:spacing w:after="60" w:before="100"/>
      </w:pPr>
      <w:r>
        <w:rPr>
          <w:b/>
          <w:bCs/>
        </w:rPr>
        <w:t xml:space="preserve">7b. Bidirectional attention checks.  [PB#13]</w:t>
      </w:r>
    </w:p>
    <w:p>
      <w:pPr>
        <w:spacing w:after="60"/>
      </w:pPr>
      <w:r>
        <w:t xml:space="preserve">Check 1 (less strict): “…please select ‘Somewhat less strict than nuclear power’…”</w:t>
      </w:r>
    </w:p>
    <w:p>
      <w:pPr>
        <w:spacing w:after="60"/>
      </w:pPr>
      <w:r>
        <w:t xml:space="preserve">Check 2 (more strict): “…please select ‘Somewhat stricter than dam safety’…”</w:t>
      </w:r>
    </w:p>
    <w:p>
      <w:pPr>
        <w:spacing w:after="60" w:before="100"/>
      </w:pPr>
      <w:r>
        <w:rPr>
          <w:b/>
          <w:bCs/>
        </w:rPr>
        <w:t xml:space="preserve">7c. Within-person consistency check.</w:t>
      </w:r>
    </w:p>
    <w:p>
      <w:pPr>
        <w:spacing w:after="60"/>
      </w:pPr>
      <w:r>
        <w:rPr>
          <w:i/>
          <w:iCs/>
        </w:rPr>
        <w:t xml:space="preserve">Earlier you indicated [X%] was your highest acceptable risk for [Y] deaths from AI. A technology with a [X%] chance of [Y] deaths is:</w:t>
      </w:r>
    </w:p>
    <w:p>
      <w:pPr>
        <w:pStyle w:val="ListParagraph"/>
        <w:numPr>
          <w:ilvl w:val="0"/>
          <w:numId w:val="3"/>
        </w:numPr>
        <w:spacing w:after="60"/>
      </w:pPr>
      <w:r>
        <w:t xml:space="preserve">Far too risky</w:t>
      </w:r>
    </w:p>
    <w:p>
      <w:pPr>
        <w:pStyle w:val="ListParagraph"/>
        <w:numPr>
          <w:ilvl w:val="0"/>
          <w:numId w:val="3"/>
        </w:numPr>
        <w:spacing w:after="60"/>
      </w:pPr>
      <w:r>
        <w:t xml:space="preserve">Somewhat too risky</w:t>
      </w:r>
    </w:p>
    <w:p>
      <w:pPr>
        <w:pStyle w:val="ListParagraph"/>
        <w:numPr>
          <w:ilvl w:val="0"/>
          <w:numId w:val="3"/>
        </w:numPr>
        <w:spacing w:after="60"/>
      </w:pPr>
      <w:r>
        <w:t xml:space="preserve">About right</w:t>
      </w:r>
    </w:p>
    <w:p>
      <w:pPr>
        <w:pStyle w:val="ListParagraph"/>
        <w:numPr>
          <w:ilvl w:val="0"/>
          <w:numId w:val="3"/>
        </w:numPr>
        <w:spacing w:after="60"/>
      </w:pPr>
      <w:r>
        <w:t xml:space="preserve">Could accept somewhat higher risk</w:t>
      </w:r>
    </w:p>
    <w:p>
      <w:pPr>
        <w:pStyle w:val="ListParagraph"/>
        <w:numPr>
          <w:ilvl w:val="0"/>
          <w:numId w:val="3"/>
        </w:numPr>
        <w:spacing w:after="60"/>
      </w:pPr>
      <w:r>
        <w:t xml:space="preserve">Could accept much higher risk</w:t>
      </w:r>
    </w:p>
    <w:p>
      <w:pPr>
        <w:spacing w:after="60" w:before="100"/>
      </w:pPr>
      <w:r>
        <w:rPr>
          <w:b/>
          <w:bCs/>
        </w:rPr>
        <w:t xml:space="preserve">7d. Superintelligence governance.  [randomise stem A/B to estimate the wording effect; within each, randomise preamble: none / statement context]</w:t>
      </w:r>
    </w:p>
    <w:p>
      <w:pPr>
        <w:spacing w:after="60"/>
      </w:pPr>
      <w:r>
        <w:t xml:space="preserve">Stem A (restriction-framed): “I support a ban on developing smarter-than-human AI until there is broad scientific consensus that it can be done safely and controllably, and strong public buy-in.”</w:t>
      </w:r>
    </w:p>
    <w:p>
      <w:pPr>
        <w:spacing w:after="60"/>
      </w:pPr>
      <w:r>
        <w:t xml:space="preserve">Stem B (permission-framed): “Developers should be free to build smarter-than-human AI, with the government stepping in only if specific harms appear, rather than banning it in advance.”</w:t>
      </w:r>
    </w:p>
    <w:p>
      <w:pPr>
        <w:spacing w:after="60"/>
      </w:pPr>
      <w:r>
        <w:t xml:space="preserve">[Strongly agree … Strongly disagree], then an authenticity check: a free-text reason of 50+ words, no AI tools.</w:t>
      </w:r>
    </w:p>
    <w:p>
      <w:pPr>
        <w:spacing w:after="60"/>
      </w:pPr>
      <w:r>
        <w:rPr>
          <w:b/>
          <w:bCs/>
          <w:i/>
          <w:iCs/>
        </w:rPr>
        <w:t xml:space="preserve">Why ask this: </w:t>
      </w:r>
      <w:r>
        <w:rPr>
          <w:i/>
          <w:iCs/>
        </w:rPr>
        <w:t xml:space="preserve">v3 fix: Stem A is the FLI/ControlAI campaign wording, whose conditions (only until it is safe and popular) inflate agreement by construction. Stem B is a symmetric permission framing. The A-minus-B gap estimates how much support is an artefact of wording rather than a stable preference. We report both, not just the flattering one.</w:t>
      </w:r>
    </w:p>
    <w:p>
      <w:pPr>
        <w:pStyle w:val="Heading2"/>
      </w:pPr>
      <w:r>
        <w:t xml:space="preserve">Module 8. Environment, energy, and data centres  [v3 addition — red-teaming anti-AI sentiment]</w:t>
      </w:r>
    </w:p>
    <w:p>
      <w:pPr>
        <w:spacing w:after="120"/>
      </w:pPr>
      <w:r>
        <w:t xml:space="preserve">This module turns the survey's red-teaming on the other side. The catastrophe modules probe whether the public is too complacent; this one probes whether opposition to AI data centres tracks the real balance of costs and benefits, or two framing biases: status-quo bias (Andy Masley, “A simple trick to fix the data center debate,” blog.andymasley.com, June 2026) and an AI-specific affective penalty (a reverse halo). Including it is a deliberate symmetry move, and the strongest single answer to the charge that the project only red-teams one side.</w:t>
      </w:r>
    </w:p>
    <w:p>
      <w:pPr>
        <w:spacing w:after="120"/>
      </w:pPr>
      <w:r>
        <w:rPr>
          <w:b/>
          <w:bCs/>
        </w:rPr>
        <w:t xml:space="preserve">Important caveat. </w:t>
      </w:r>
      <w:r>
        <w:t xml:space="preserve">Masley's empirical claim that data-centre tax revenue could fully offset local externalities is contested (see the comment thread on his post, e.g. the critique of the carbon-offset math). We therefore test framing effects on stated preferences, not whether the offsets are real. Dollar and percentage figures shown to respondents are illustrative and regionally varied; the live values will be drawn from a small set anchored to real counties (e.g. Loudoun County, where data centres pay on the order of $2,800 per resident per year).</w:t>
      </w:r>
    </w:p>
    <w:p>
      <w:pPr>
        <w:spacing w:after="60" w:before="100"/>
      </w:pPr>
      <w:r>
        <w:rPr>
          <w:b/>
          <w:bCs/>
        </w:rPr>
        <w:t xml:space="preserve">8a. Status-quo-reversal experiment (Masley reframing).  [between-subjects: Frame A vs Frame B; randomise the tax magnitude Z]</w:t>
      </w:r>
    </w:p>
    <w:p>
      <w:pPr>
        <w:spacing w:after="60"/>
      </w:pPr>
      <w:r>
        <w:t xml:space="preserve">Frame A (build decision; default is no data centre): “A company wants to build a large data centre in your county. It would use about [W]% of the county's water and [L]% of its land and modestly raise local emissions, while paying about $[Z] per resident per year in taxes that fund local services like schools and roads. Should the county approve it?”  [Definitely approve … Definitely oppose]</w:t>
      </w:r>
    </w:p>
    <w:p>
      <w:pPr>
        <w:spacing w:after="60"/>
      </w:pPr>
      <w:r>
        <w:t xml:space="preserve">Frame B (Masley reframe; default is the revenue exists): “Your county receives about $[Z] per resident per year from a local data centre. Suppose it gave up that revenue to avoid the data centre's water use, land use, and emissions. Would giving up the money to avoid those effects be worth it?”  [Definitely worth it … Definitely not worth it]</w:t>
      </w:r>
    </w:p>
    <w:p>
      <w:pPr>
        <w:spacing w:after="60"/>
      </w:pPr>
      <w:r>
        <w:t xml:space="preserve">The two scales map onto the same underlying support-for-the-data-centre preference.</w:t>
      </w:r>
    </w:p>
    <w:p>
      <w:pPr>
        <w:spacing w:after="60"/>
      </w:pPr>
      <w:r>
        <w:rPr>
          <w:b/>
          <w:bCs/>
          <w:i/>
          <w:iCs/>
        </w:rPr>
        <w:t xml:space="preserve">Why ask this: </w:t>
      </w:r>
      <w:r>
        <w:rPr>
          <w:i/>
          <w:iCs/>
        </w:rPr>
        <w:t xml:space="preserve">Same tradeoff, opposite default. A preference reversal between frames is status-quo bias, not a considered judgement. The Frame B minus Frame A gap is the pre-registered estimate of that bias.</w:t>
      </w:r>
    </w:p>
    <w:p>
      <w:pPr>
        <w:spacing w:after="60" w:before="100"/>
      </w:pPr>
      <w:r>
        <w:rPr>
          <w:b/>
          <w:bCs/>
        </w:rPr>
        <w:t xml:space="preserve">8b. Willingness-to-forgo elicitation (continuous).</w:t>
      </w:r>
    </w:p>
    <w:p>
      <w:pPr>
        <w:spacing w:after="60"/>
      </w:pPr>
      <w:r>
        <w:rPr>
          <w:i/>
          <w:iCs/>
        </w:rPr>
        <w:t xml:space="preserve">What is the most tax revenue per resident per year your county should be willing to give up to avoid a data centre's water use, land use, and emissions?</w:t>
      </w:r>
    </w:p>
    <w:p>
      <w:pPr>
        <w:pStyle w:val="ListParagraph"/>
        <w:numPr>
          <w:ilvl w:val="0"/>
          <w:numId w:val="3"/>
        </w:numPr>
        <w:spacing w:after="60"/>
      </w:pPr>
      <w:r>
        <w:t xml:space="preserve">$0</w:t>
      </w:r>
    </w:p>
    <w:p>
      <w:pPr>
        <w:pStyle w:val="ListParagraph"/>
        <w:numPr>
          <w:ilvl w:val="0"/>
          <w:numId w:val="3"/>
        </w:numPr>
        <w:spacing w:after="60"/>
      </w:pPr>
      <w:r>
        <w:t xml:space="preserve">$1–50</w:t>
      </w:r>
    </w:p>
    <w:p>
      <w:pPr>
        <w:pStyle w:val="ListParagraph"/>
        <w:numPr>
          <w:ilvl w:val="0"/>
          <w:numId w:val="3"/>
        </w:numPr>
        <w:spacing w:after="60"/>
      </w:pPr>
      <w:r>
        <w:t xml:space="preserve">$51–150</w:t>
      </w:r>
    </w:p>
    <w:p>
      <w:pPr>
        <w:pStyle w:val="ListParagraph"/>
        <w:numPr>
          <w:ilvl w:val="0"/>
          <w:numId w:val="3"/>
        </w:numPr>
        <w:spacing w:after="60"/>
      </w:pPr>
      <w:r>
        <w:t xml:space="preserve">$151–500</w:t>
      </w:r>
    </w:p>
    <w:p>
      <w:pPr>
        <w:pStyle w:val="ListParagraph"/>
        <w:numPr>
          <w:ilvl w:val="0"/>
          <w:numId w:val="3"/>
        </w:numPr>
        <w:spacing w:after="60"/>
      </w:pPr>
      <w:r>
        <w:t xml:space="preserve">$501–1,500</w:t>
      </w:r>
    </w:p>
    <w:p>
      <w:pPr>
        <w:pStyle w:val="ListParagraph"/>
        <w:numPr>
          <w:ilvl w:val="0"/>
          <w:numId w:val="3"/>
        </w:numPr>
        <w:spacing w:after="60"/>
      </w:pPr>
      <w:r>
        <w:t xml:space="preserve">More than $1,500</w:t>
      </w:r>
    </w:p>
    <w:p>
      <w:pPr>
        <w:pStyle w:val="ListParagraph"/>
        <w:numPr>
          <w:ilvl w:val="0"/>
          <w:numId w:val="3"/>
        </w:numPr>
        <w:spacing w:after="60"/>
      </w:pPr>
      <w:r>
        <w:t xml:space="preserve">It should be avoided at any cost</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Quantifies Masley's trick. If the stated amount is below the actual revenue [Z], the respondent has revealed, on their own terms, that the data centre is worth it. Comparable to real per-resident tax figures.</w:t>
      </w:r>
    </w:p>
    <w:p>
      <w:pPr>
        <w:spacing w:after="60" w:before="100"/>
      </w:pPr>
      <w:r>
        <w:rPr>
          <w:b/>
          <w:bCs/>
        </w:rPr>
        <w:t xml:space="preserve">8c. AI-label (reverse-halo) experiment.  [conjoint preferred; vignette fallback. Randomise LABEL, hold facts constant]</w:t>
      </w:r>
    </w:p>
    <w:p>
      <w:pPr>
        <w:spacing w:after="60"/>
      </w:pPr>
      <w:r>
        <w:rPr>
          <w:i/>
          <w:iCs/>
        </w:rPr>
        <w:t xml:space="preserve">A [LABEL] wants to buy land, electricity, and water in your area to run a large facility. It would create few local jobs, mainly serve customers elsewhere, and earn the company a large profit, while paying $[Z] per resident per year in local taxes. How acceptable is this?</w:t>
      </w:r>
    </w:p>
    <w:p>
      <w:pPr>
        <w:pStyle w:val="ListParagraph"/>
        <w:numPr>
          <w:ilvl w:val="0"/>
          <w:numId w:val="3"/>
        </w:numPr>
        <w:spacing w:after="60"/>
      </w:pPr>
      <w:r>
        <w:t xml:space="preserve">Completely acceptable</w:t>
      </w:r>
    </w:p>
    <w:p>
      <w:pPr>
        <w:pStyle w:val="ListParagraph"/>
        <w:numPr>
          <w:ilvl w:val="0"/>
          <w:numId w:val="3"/>
        </w:numPr>
        <w:spacing w:after="60"/>
      </w:pPr>
      <w:r>
        <w:t xml:space="preserve">Mostly acceptable</w:t>
      </w:r>
    </w:p>
    <w:p>
      <w:pPr>
        <w:pStyle w:val="ListParagraph"/>
        <w:numPr>
          <w:ilvl w:val="0"/>
          <w:numId w:val="3"/>
        </w:numPr>
        <w:spacing w:after="60"/>
      </w:pPr>
      <w:r>
        <w:t xml:space="preserve">Neither</w:t>
      </w:r>
    </w:p>
    <w:p>
      <w:pPr>
        <w:pStyle w:val="ListParagraph"/>
        <w:numPr>
          <w:ilvl w:val="0"/>
          <w:numId w:val="3"/>
        </w:numPr>
        <w:spacing w:after="60"/>
      </w:pPr>
      <w:r>
        <w:t xml:space="preserve">Mostly unacceptable</w:t>
      </w:r>
    </w:p>
    <w:p>
      <w:pPr>
        <w:pStyle w:val="ListParagraph"/>
        <w:numPr>
          <w:ilvl w:val="0"/>
          <w:numId w:val="3"/>
        </w:numPr>
        <w:spacing w:after="60"/>
      </w:pPr>
      <w:r>
        <w:t xml:space="preserve">Completely unacceptable</w:t>
      </w:r>
    </w:p>
    <w:p>
      <w:pPr>
        <w:spacing w:after="60"/>
      </w:pPr>
      <w:r>
        <w:t xml:space="preserve">LABEL randomised across: a manufacturing plant / a semiconductor factory / a bottling plant / a data centre / an AI data centre.</w:t>
      </w:r>
    </w:p>
    <w:p>
      <w:pPr>
        <w:spacing w:after="60"/>
      </w:pPr>
      <w:r>
        <w:rPr>
          <w:b/>
          <w:bCs/>
          <w:i/>
          <w:iCs/>
        </w:rPr>
        <w:t xml:space="preserve">Why ask this: </w:t>
      </w:r>
      <w:r>
        <w:rPr>
          <w:i/>
          <w:iCs/>
        </w:rPr>
        <w:t xml:space="preserve">Mike's hypothesis: the generic-industry framing draws assent the AI framing does not. The (AI data centre) minus (generic industry) difference, holding the facts constant, estimates the AI-specific penalty (reverse halo). Preferred design: a full conjoint that randomises the label together with attributes (water use, jobs, who benefits, tax revenue, local ownership), so the label effect is estimated net of everything else. Note the fixed “few jobs / serves elsewhere / large profit” wording depresses approval across all labels, so we interpret the label contrast, not the absolute level.</w:t>
      </w:r>
    </w:p>
    <w:p>
      <w:pPr>
        <w:spacing w:after="60" w:before="100"/>
      </w:pPr>
      <w:r>
        <w:rPr>
          <w:b/>
          <w:bCs/>
        </w:rPr>
        <w:t xml:space="preserve">8d. Comparison-quality probe (Masley's “million bottles of water”).  [optional, between-subjects]</w:t>
      </w:r>
    </w:p>
    <w:p>
      <w:pPr>
        <w:spacing w:after="60"/>
      </w:pPr>
      <w:r>
        <w:rPr>
          <w:i/>
          <w:iCs/>
        </w:rPr>
        <w:t xml:space="preserve">The same water use is presented one of three ways, then: How concerned does this make you?</w:t>
      </w:r>
    </w:p>
    <w:p>
      <w:pPr>
        <w:pStyle w:val="ListParagraph"/>
        <w:numPr>
          <w:ilvl w:val="0"/>
          <w:numId w:val="3"/>
        </w:numPr>
        <w:spacing w:after="60"/>
      </w:pPr>
      <w:r>
        <w:t xml:space="preserve">Raw: “about 1.6 billion gallons a year”</w:t>
      </w:r>
    </w:p>
    <w:p>
      <w:pPr>
        <w:pStyle w:val="ListParagraph"/>
        <w:numPr>
          <w:ilvl w:val="0"/>
          <w:numId w:val="3"/>
        </w:numPr>
        <w:spacing w:after="60"/>
      </w:pPr>
      <w:r>
        <w:t xml:space="preserve">Share: “about 10% of the county's water”</w:t>
      </w:r>
    </w:p>
    <w:p>
      <w:pPr>
        <w:pStyle w:val="ListParagraph"/>
        <w:numPr>
          <w:ilvl w:val="0"/>
          <w:numId w:val="3"/>
        </w:numPr>
        <w:spacing w:after="60"/>
      </w:pPr>
      <w:r>
        <w:t xml:space="preserve">Benchmarked: “about as much as [a comparable local industry]”</w:t>
      </w:r>
    </w:p>
    <w:p>
      <w:pPr>
        <w:spacing w:after="60"/>
      </w:pPr>
      <w:r>
        <w:rPr>
          <w:b/>
          <w:bCs/>
          <w:i/>
          <w:iCs/>
        </w:rPr>
        <w:t xml:space="preserve">Why ask this: </w:t>
      </w:r>
      <w:r>
        <w:rPr>
          <w:i/>
          <w:iCs/>
        </w:rPr>
        <w:t xml:space="preserve">Tests whether concern is driven by scale-free anchoring rather than the actual share. Masley's point that decontextualised comparisons are uninformative becomes a measurable framing effect.</w:t>
      </w:r>
    </w:p>
    <w:p>
      <w:pPr>
        <w:spacing w:after="60" w:before="100"/>
      </w:pPr>
      <w:r>
        <w:rPr>
          <w:b/>
          <w:bCs/>
        </w:rPr>
        <w:t xml:space="preserve">8e. Baseline environment attitudes (for correlation).</w:t>
      </w:r>
    </w:p>
    <w:p>
      <w:pPr>
        <w:spacing w:after="60"/>
      </w:pPr>
      <w:r>
        <w:t xml:space="preserve">“How worried are you about AI's impact on the environment, including its energy and water use?” [worry scale]</w:t>
      </w:r>
    </w:p>
    <w:p>
      <w:pPr>
        <w:spacing w:after="60"/>
      </w:pPr>
      <w:r>
        <w:t xml:space="preserve">“Should governments restrict where and how AI data centres can be built?” [support scale]</w:t>
      </w:r>
    </w:p>
    <w:p>
      <w:pPr>
        <w:spacing w:after="120"/>
      </w:pPr>
      <w:r>
        <w:rPr>
          <w:b/>
          <w:bCs/>
        </w:rPr>
        <w:t xml:space="preserve">Pre-registered predictions and disconfirmation. </w:t>
      </w:r>
      <w:r>
        <w:t xml:space="preserve">We register in advance: (i) Frame B support &gt; Frame A support (status-quo bias &gt; 0); (ii) AI-label penalty &gt; 0; (iii) the share and benchmark framings in 8d lower concern relative to the raw number. Disconfirmation is informative and will be reported: if the AI-label penalty is near zero and Frame A and Frame B agree, that is evidence the public's data-centre opposition is considered rather than biased, and we say so.</w:t>
      </w:r>
    </w:p>
    <w:p>
      <w:pPr>
        <w:pStyle w:val="Heading2"/>
      </w:pPr>
      <w:r>
        <w:t xml:space="preserve">Module 9. Individual differences  [Benjamin Reid’s requested measures — included in full]</w:t>
      </w:r>
    </w:p>
    <w:p>
      <w:pPr>
        <w:pStyle w:val="Heading3"/>
      </w:pPr>
      <w:r>
        <w:t xml:space="preserve">9a. Cognitive Reflection Test (CRT)</w:t>
      </w:r>
    </w:p>
    <w:p>
      <w:pPr>
        <w:spacing w:after="120"/>
      </w:pPr>
      <w:r>
        <w:t xml:space="preserve">Four items; intuitive-but-wrong answers in brackets are for scoring only and not shown to respondents.</w:t>
      </w:r>
    </w:p>
    <w:p>
      <w:pPr>
        <w:pStyle w:val="ListParagraph"/>
        <w:numPr>
          <w:ilvl w:val="0"/>
          <w:numId w:val="3"/>
        </w:numPr>
        <w:spacing w:after="60"/>
      </w:pPr>
      <w:r>
        <w:t xml:space="preserve">If John can drink one barrel of water in 6 days, and Mary in 12 days, how long would it take them together? ___ days. [correct 4; intuitive 9]</w:t>
      </w:r>
    </w:p>
    <w:p>
      <w:pPr>
        <w:pStyle w:val="ListParagraph"/>
        <w:numPr>
          <w:ilvl w:val="0"/>
          <w:numId w:val="3"/>
        </w:numPr>
        <w:spacing w:after="60"/>
      </w:pPr>
      <w:r>
        <w:t xml:space="preserve">Jerry received both the 15th highest and the 15th lowest mark in the class. How many students are in the class? ___ [correct 29; intuitive 30]</w:t>
      </w:r>
    </w:p>
    <w:p>
      <w:pPr>
        <w:pStyle w:val="ListParagraph"/>
        <w:numPr>
          <w:ilvl w:val="0"/>
          <w:numId w:val="3"/>
        </w:numPr>
        <w:spacing w:after="60"/>
      </w:pPr>
      <w:r>
        <w:t xml:space="preserve">A man buys a pig for $60, sells it for $70, buys it back for $80, and sells it for $90. How much has he made? $___ [correct $20; intuitive $10]</w:t>
      </w:r>
    </w:p>
    <w:p>
      <w:pPr>
        <w:pStyle w:val="ListParagraph"/>
        <w:numPr>
          <w:ilvl w:val="0"/>
          <w:numId w:val="3"/>
        </w:numPr>
        <w:spacing w:after="60"/>
      </w:pPr>
      <w:r>
        <w:t xml:space="preserve">Simon invested $8,000 in early 2008. By 17 July the stocks were down 50%. From 17 July to 17 October they rose 75%. At this point Simon has: (a) broken even, (b) is ahead, (c) has lost money. [correct c; intuitive b]</w:t>
      </w:r>
    </w:p>
    <w:p>
      <w:pPr>
        <w:spacing w:after="120"/>
      </w:pPr>
      <w:r>
        <w:rPr>
          <w:i/>
          <w:iCs/>
          <w:sz w:val="18"/>
          <w:szCs w:val="18"/>
        </w:rPr>
        <w:t xml:space="preserve">Source: Thomson &amp; Oppenheimer (2016), “Assessing miserly information processing: an expansion of the Cognitive Reflection Test,” Thinking &amp; Reasoning. (Item 1 from Frederick, 2005.)</w:t>
      </w:r>
    </w:p>
    <w:p>
      <w:pPr>
        <w:pStyle w:val="Heading3"/>
      </w:pPr>
      <w:r>
        <w:t xml:space="preserve">9b. Berlin Numeracy Test (risk literacy)</w:t>
      </w:r>
    </w:p>
    <w:p>
      <w:pPr>
        <w:spacing w:after="120"/>
      </w:pPr>
      <w:r>
        <w:t xml:space="preserve">The four-item adaptive Berlin Numeracy Test, scored 1–4, as the risk-literacy moderator. This is the measure used to test the reviewers’ “people can’t do probabilities” objection directly: if the high-numeracy subsample gives the same answers as the full sample, that objection is weakened.</w:t>
      </w:r>
    </w:p>
    <w:p>
      <w:pPr>
        <w:spacing w:after="120"/>
      </w:pPr>
      <w:r>
        <w:rPr>
          <w:i/>
          <w:iCs/>
          <w:sz w:val="18"/>
          <w:szCs w:val="18"/>
        </w:rPr>
        <w:t xml:space="preserve">Source: Cokely, Galesic, Schulz, Ghazal, &amp; Garcia-Retamero (2012), “Measuring risk literacy: the Berlin Numeracy Test,” Judgment and Decision Making, 7(1), 25–47.</w:t>
      </w:r>
    </w:p>
    <w:p>
      <w:pPr>
        <w:spacing w:after="120"/>
      </w:pPr>
      <w:r>
        <w:rPr>
          <w:i/>
          <w:iCs/>
          <w:color w:val="8B4513"/>
          <w:sz w:val="18"/>
          <w:szCs w:val="18"/>
        </w:rPr>
        <w:t xml:space="preserve">Note: Ben’s draft cited AI-chat links as validity evidence; replaced here with the primary source. Flagging so you can verify.</w:t>
      </w:r>
    </w:p>
    <w:p>
      <w:pPr>
        <w:pStyle w:val="Heading3"/>
      </w:pPr>
      <w:r>
        <w:t xml:space="preserve">9c. Political orientation</w:t>
      </w:r>
    </w:p>
    <w:p>
      <w:pPr>
        <w:spacing w:after="120"/>
      </w:pPr>
      <w:r>
        <w:t xml:space="preserve">In general, how would you describe your political views on a 7-point scale from Very Liberal (1) to Very Conservative (7), with Moderate/Centre as the midpoint?</w:t>
      </w:r>
    </w:p>
    <w:p>
      <w:pPr>
        <w:spacing w:after="120"/>
      </w:pPr>
      <w:r>
        <w:rPr>
          <w:i/>
          <w:iCs/>
          <w:sz w:val="18"/>
          <w:szCs w:val="18"/>
        </w:rPr>
        <w:t xml:space="preserve">Source: Jost (2006), “The end of the end of ideology,” American Psychologist, 61(7), 651–670.</w:t>
      </w:r>
    </w:p>
    <w:p>
      <w:pPr>
        <w:pStyle w:val="Heading3"/>
      </w:pPr>
      <w:r>
        <w:t xml:space="preserve">9d. AI familiarity</w:t>
      </w:r>
    </w:p>
    <w:p>
      <w:pPr>
        <w:spacing w:after="120"/>
      </w:pPr>
      <w:r>
        <w:t xml:space="preserve">In your personal life (work or studies), how often do you intentionally use AI tools, including generative AI? Never / A few times a year / Every few months / Monthly / Weekly / Daily.</w:t>
      </w:r>
    </w:p>
    <w:p>
      <w:pPr>
        <w:spacing w:after="120"/>
      </w:pPr>
      <w:r>
        <w:rPr>
          <w:i/>
          <w:iCs/>
          <w:sz w:val="18"/>
          <w:szCs w:val="18"/>
        </w:rPr>
        <w:t xml:space="preserve">Sources: Gillespie, Lockey, Ward, Macdade, &amp; Hassed (2025), Trust, attitudes and use of AI: a global study, University of Melbourne (item source); Hargittai (2005), Survey measures of web-oriented digital literacy, Social Science Computer Review, 23(3), 371–379 (proxy validity).</w:t>
      </w:r>
    </w:p>
    <w:p>
      <w:pPr>
        <w:pStyle w:val="Heading1"/>
        <w:pageBreakBefore/>
      </w:pPr>
      <w:r>
        <w:t xml:space="preserve">6. Quality control, pre-registration, and analysis plan</w:t>
      </w:r>
    </w:p>
    <w:p>
      <w:pPr>
        <w:pStyle w:val="Heading2"/>
      </w:pPr>
      <w:r>
        <w:t xml:space="preserve">Cognitive pre-test (new)</w:t>
      </w:r>
    </w:p>
    <w:p>
      <w:pPr>
        <w:spacing w:after="120"/>
      </w:pPr>
      <w:r>
        <w:t xml:space="preserve">Before launch, 8–10 cognitive interviews probe comprehension of the tolerability scale and, critically, whether respondents read “stricter than nuclear” as monotonic in risk (the Module 3 back-out depends on this). The existing 20-person timing pilot continues in parallel.</w:t>
      </w:r>
    </w:p>
    <w:p>
      <w:pPr>
        <w:pStyle w:val="Heading2"/>
      </w:pPr>
      <w:r>
        <w:t xml:space="preserve">Comprehension scoring</w:t>
      </w:r>
    </w:p>
    <w:p>
      <w:pPr>
        <w:pStyle w:val="ListParagraph"/>
        <w:numPr>
          <w:ilvl w:val="0"/>
          <w:numId w:val="3"/>
        </w:numPr>
        <w:spacing w:after="60"/>
      </w:pPr>
      <w:r>
        <w:t xml:space="preserve">Exclude failures of either attention check.</w:t>
      </w:r>
    </w:p>
    <w:p>
      <w:pPr>
        <w:pStyle w:val="ListParagraph"/>
        <w:numPr>
          <w:ilvl w:val="0"/>
          <w:numId w:val="3"/>
        </w:numPr>
        <w:spacing w:after="60"/>
      </w:pPr>
      <w:r>
        <w:t xml:space="preserve">Numerical consistency (item 7c): codes 2–4 = consistent; 1 and 5 flagged.</w:t>
      </w:r>
    </w:p>
    <w:p>
      <w:pPr>
        <w:pStyle w:val="ListParagraph"/>
        <w:numPr>
          <w:ilvl w:val="0"/>
          <w:numId w:val="3"/>
        </w:numPr>
        <w:spacing w:after="60"/>
      </w:pPr>
      <w:r>
        <w:t xml:space="preserve">Berlin Numeracy score retained as a moderator, not an exclusion.</w:t>
      </w:r>
    </w:p>
    <w:p>
      <w:pPr>
        <w:pStyle w:val="Heading2"/>
      </w:pPr>
      <w:r>
        <w:t xml:space="preserve">Primary analysis</w:t>
      </w:r>
    </w:p>
    <w:p>
      <w:pPr>
        <w:pStyle w:val="ListParagraph"/>
        <w:numPr>
          <w:ilvl w:val="0"/>
          <w:numId w:val="3"/>
        </w:numPr>
        <w:spacing w:after="60"/>
      </w:pPr>
      <w:r>
        <w:t xml:space="preserve">Goal 1 (status quo): proportion judging each developer/forecaster risk level Intolerable or Unacceptable, by source and overall.</w:t>
      </w:r>
    </w:p>
    <w:p>
      <w:pPr>
        <w:pStyle w:val="ListParagraph"/>
        <w:numPr>
          <w:ilvl w:val="0"/>
          <w:numId w:val="3"/>
        </w:numPr>
        <w:spacing w:after="60"/>
      </w:pPr>
      <w:r>
        <w:t xml:space="preserve">Goal 2 (expected standard): distribution of expected stringency relative to each comparator, plus the implied F–N band from the back-out.</w:t>
      </w:r>
    </w:p>
    <w:p>
      <w:pPr>
        <w:pStyle w:val="ListParagraph"/>
        <w:numPr>
          <w:ilvl w:val="0"/>
          <w:numId w:val="3"/>
        </w:numPr>
        <w:spacing w:after="60"/>
      </w:pPr>
      <w:r>
        <w:t xml:space="preserve">Median acceptable risk by harm class from Module 4, reported as validation of Goals 1–2 rather than as the headline.</w:t>
      </w:r>
    </w:p>
    <w:p>
      <w:pPr>
        <w:pStyle w:val="Heading2"/>
      </w:pPr>
      <w:r>
        <w:t xml:space="preserve">Pre-registered robustness checks</w:t>
      </w:r>
    </w:p>
    <w:p>
      <w:pPr>
        <w:pStyle w:val="ListParagraph"/>
        <w:numPr>
          <w:ilvl w:val="0"/>
          <w:numId w:val="3"/>
        </w:numPr>
        <w:spacing w:after="60"/>
      </w:pPr>
      <w:r>
        <w:t xml:space="preserve">Counter-message effect: shift in tolerance across Arms A/B/C.</w:t>
      </w:r>
    </w:p>
    <w:p>
      <w:pPr>
        <w:pStyle w:val="ListParagraph"/>
        <w:numPr>
          <w:ilvl w:val="0"/>
          <w:numId w:val="3"/>
        </w:numPr>
        <w:spacing w:after="60"/>
      </w:pPr>
      <w:r>
        <w:t xml:space="preserve">Numeracy moderation: primaries repeated within the top numeracy tercile.</w:t>
      </w:r>
    </w:p>
    <w:p>
      <w:pPr>
        <w:pStyle w:val="ListParagraph"/>
        <w:numPr>
          <w:ilvl w:val="0"/>
          <w:numId w:val="3"/>
        </w:numPr>
        <w:spacing w:after="60"/>
      </w:pPr>
      <w:r>
        <w:t xml:space="preserve">Scope-sensitivity diagnostic across the randomised probability/severity cells.</w:t>
      </w:r>
    </w:p>
    <w:p>
      <w:pPr>
        <w:pStyle w:val="ListParagraph"/>
        <w:numPr>
          <w:ilvl w:val="0"/>
          <w:numId w:val="3"/>
        </w:numPr>
        <w:spacing w:after="60"/>
      </w:pPr>
      <w:r>
        <w:t xml:space="preserve">Convergence across Modules 2, 3, and 4 (do the three modes agree?).</w:t>
      </w:r>
    </w:p>
    <w:p>
      <w:pPr>
        <w:pStyle w:val="Heading2"/>
      </w:pPr>
      <w:r>
        <w:t xml:space="preserve">Experiments and their analyses</w:t>
      </w:r>
    </w:p>
    <w:p>
      <w:pPr>
        <w:pStyle w:val="ListParagraph"/>
        <w:numPr>
          <w:ilvl w:val="0"/>
          <w:numId w:val="3"/>
        </w:numPr>
        <w:spacing w:after="60"/>
      </w:pPr>
      <w:r>
        <w:t xml:space="preserve">Counter-message (7a): tolerability regressed on message arm; the swing is a primary outcome, not a footnote.</w:t>
      </w:r>
    </w:p>
    <w:p>
      <w:pPr>
        <w:pStyle w:val="ListParagraph"/>
        <w:numPr>
          <w:ilvl w:val="0"/>
          <w:numId w:val="3"/>
        </w:numPr>
        <w:spacing w:after="60"/>
      </w:pPr>
      <w:r>
        <w:t xml:space="preserve">Superintelligence wording (7d): Stem A versus Stem B; the gap is the reported wording effect.</w:t>
      </w:r>
    </w:p>
    <w:p>
      <w:pPr>
        <w:pStyle w:val="ListParagraph"/>
        <w:numPr>
          <w:ilvl w:val="0"/>
          <w:numId w:val="3"/>
        </w:numPr>
        <w:spacing w:after="60"/>
      </w:pPr>
      <w:r>
        <w:t xml:space="preserve">Status-quo reversal (8a): support regressed on frame; Frame B minus Frame A is the status-quo-bias estimate.</w:t>
      </w:r>
    </w:p>
    <w:p>
      <w:pPr>
        <w:pStyle w:val="ListParagraph"/>
        <w:numPr>
          <w:ilvl w:val="0"/>
          <w:numId w:val="3"/>
        </w:numPr>
        <w:spacing w:after="60"/>
      </w:pPr>
      <w:r>
        <w:t xml:space="preserve">AI-label conjoint (8c): average marginal component effect of the “AI” label, net of all attributes; the AI-minus-generic contrast is the headline.</w:t>
      </w:r>
    </w:p>
    <w:p>
      <w:pPr>
        <w:pStyle w:val="ListParagraph"/>
        <w:numPr>
          <w:ilvl w:val="0"/>
          <w:numId w:val="3"/>
        </w:numPr>
        <w:spacing w:after="60"/>
      </w:pPr>
      <w:r>
        <w:t xml:space="preserve">Comparison-quality (8d): concern by presentation format (raw / share / benchmark).</w:t>
      </w:r>
    </w:p>
    <w:p>
      <w:pPr>
        <w:pStyle w:val="Heading2"/>
      </w:pPr>
      <w:r>
        <w:t xml:space="preserve">Pre-registration and open science</w:t>
      </w:r>
    </w:p>
    <w:p>
      <w:pPr>
        <w:pStyle w:val="ListParagraph"/>
        <w:numPr>
          <w:ilvl w:val="0"/>
          <w:numId w:val="3"/>
        </w:numPr>
        <w:spacing w:after="60"/>
      </w:pPr>
      <w:r>
        <w:t xml:space="preserve">Pre-register on OSF before launch: primary outcomes, exclusion rules, subgroups, and an explicit disconfirmation list (results that would cut against the project's own hypotheses, on both the catastrophe and the data-centre sides).</w:t>
      </w:r>
    </w:p>
    <w:p>
      <w:pPr>
        <w:pStyle w:val="ListParagraph"/>
        <w:numPr>
          <w:ilvl w:val="0"/>
          <w:numId w:val="3"/>
        </w:numPr>
        <w:spacing w:after="60"/>
      </w:pPr>
      <w:r>
        <w:t xml:space="preserve">Publish the instrument, raw data, weighting syntax, and analysis code; the report follows the registered template; every deviation from pre-registration is logged in the open.</w:t>
      </w:r>
    </w:p>
    <w:p>
      <w:pPr>
        <w:pStyle w:val="Heading2"/>
      </w:pPr>
      <w:r>
        <w:t xml:space="preserve">Adversarial review (the strongest credibility move)</w:t>
      </w:r>
    </w:p>
    <w:p>
      <w:pPr>
        <w:pStyle w:val="ListParagraph"/>
        <w:numPr>
          <w:ilvl w:val="0"/>
          <w:numId w:val="3"/>
        </w:numPr>
        <w:spacing w:after="60"/>
      </w:pPr>
      <w:r>
        <w:t xml:space="preserve">Before launch, invite a regulation-skeptic (a Ball-type reader) and a data-centre / environment skeptic to review the instrument, and publish their unedited critiques alongside the results, exactly as the Round-1 comments are archived. A project with an advocacy theory of change earns trust mainly by letting its critics mark its work in public.</w:t>
      </w:r>
    </w:p>
    <w:p>
      <w:pPr>
        <w:pStyle w:val="Heading2"/>
      </w:pPr>
      <w:r>
        <w:t xml:space="preserve">Sampling, weighting, and state-level claims (MRP)</w:t>
      </w:r>
    </w:p>
    <w:p>
      <w:pPr>
        <w:pStyle w:val="ListParagraph"/>
        <w:numPr>
          <w:ilvl w:val="0"/>
          <w:numId w:val="3"/>
        </w:numPr>
        <w:spacing w:after="60"/>
      </w:pPr>
      <w:r>
        <w:t xml:space="preserve">Power analysis for every experimental contrast, with the smallest effect we care to detect fixed in advance.</w:t>
      </w:r>
    </w:p>
    <w:p>
      <w:pPr>
        <w:pStyle w:val="ListParagraph"/>
        <w:numPr>
          <w:ilvl w:val="0"/>
          <w:numId w:val="3"/>
        </w:numPr>
        <w:spacing w:after="60"/>
      </w:pPr>
      <w:r>
        <w:t xml:space="preserve">MRP estimates validated by posterior predictive checks and leave-one-state-out cross-validation.</w:t>
      </w:r>
    </w:p>
    <w:p>
      <w:pPr>
        <w:pStyle w:val="ListParagraph"/>
        <w:numPr>
          <w:ilvl w:val="0"/>
          <w:numId w:val="3"/>
        </w:numPr>
        <w:spacing w:after="60"/>
      </w:pPr>
      <w:r>
        <w:t xml:space="preserve">No state-level map is published unless the effective sample per state clears the pre-registered threshold; otherwise results are reported at the national or regional level only.</w:t>
      </w:r>
    </w:p>
    <w:p>
      <w:pPr>
        <w:pStyle w:val="Heading2"/>
      </w:pPr>
      <w:r>
        <w:t xml:space="preserve">Multiverse / specification-curve</w:t>
      </w:r>
    </w:p>
    <w:p>
      <w:pPr>
        <w:pStyle w:val="ListParagraph"/>
        <w:numPr>
          <w:ilvl w:val="0"/>
          <w:numId w:val="3"/>
        </w:numPr>
        <w:spacing w:after="60"/>
      </w:pPr>
      <w:r>
        <w:t xml:space="preserve">For the back-out and the threshold estimates, report the full distribution of results across all defensible analytic choices, rather than a single specification that could be cherry-picked.</w:t>
      </w:r>
    </w:p>
    <w:p>
      <w:pPr>
        <w:pStyle w:val="Heading2"/>
      </w:pPr>
      <w:r>
        <w:t xml:space="preserve">Limitations (stated up front)</w:t>
      </w:r>
    </w:p>
    <w:p>
      <w:pPr>
        <w:spacing w:after="120"/>
      </w:pPr>
      <w:r>
        <w:t xml:space="preserve">Stated tolerances may be non-attitudes that respondents would not act on, and AI risk is not yet salient enough to drive behaviour (OD#6). We therefore lead with the robust gap between developers’ own stated risk and public tolerance, and report the counter-message sensitivity honestly rather than burying it.</w:t>
      </w:r>
    </w:p>
    <w:p>
      <w:pPr>
        <w:pStyle w:val="Heading1"/>
        <w:pageBreakBefore/>
      </w:pPr>
      <w:r>
        <w:t xml:space="preserve">7. Dumpster: considered but not asking</w:t>
      </w:r>
    </w:p>
    <w:p>
      <w:pPr>
        <w:spacing w:after="120"/>
      </w:pPr>
      <w:r>
        <w:t xml:space="preserve">Items we drafted or inherited and decided against, with the reason, so the decision is not relitigated and is recoverable if we change our minds.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Item</w:t>
            </w:r>
          </w:p>
        </w:tc>
        <w:tc>
          <w:tcPr>
            <w:tcW w:type="dxa" w:w="63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Why it’s in the dumpster</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Icon arrays for probabilities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Appear to bias judgements upward rather than improve accuracy. Kept on file in case a future methods study wants them.</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Societal-risk verbal anchors (“1 in 100 is the chance of a pandemic”)</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Confused Australian respondents in 2024/25; introduced more noise than intuition. Replaced by familiar-technology comparators (Module 3).</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Micromorts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Unsure they are sufficiently well validated or intuitive for a general US sample.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technologies carry residual risk” preamble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Primes acceptance and imports a “haggling over the last order of magnitude” frame that is wrong for AI (PB#8). Kept in methods rationale only.</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Off-the-shelf scales: AIAS-4, GAAIS, GRIPS, DOSPERT</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Measure general attitudes or trait risk propensity, not tolerance of specific AI risks; cannot inform F–N construction; a “DOSPERT-AI” is unvalidated and would balloon length.</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Risk–benefit catastrophe trade (“0.01–10% chance of global catastrophe but 60% chance of solving climate change”, AU v1)</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Superseded by the cleaner costed tradeoffs in Module 5; the compound framing was hard to interpret.</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Financial-loss F–N ladder (bankruptcies)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Held back to limit length; the death-based ladder is the priority. Revisit if room remains.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Direct “do you support SB 53 / the RAISE Act” items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Read as advocacy to good-faith actors; we ask the underlying values question instead and map to the statutes in analysis.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Explicit support-for-superintelligence-law item linked to a campaign site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Kept only as the neutrally worded Module 7d statement with randomised preamble; the campaign-branded version is dropped.</w:t>
            </w:r>
          </w:p>
        </w:tc>
      </w:tr>
    </w:tbl>
    <w:p>
      <w:pPr>
        <w:pStyle w:val="Heading1"/>
      </w:pPr>
      <w:r>
        <w:t xml:space="preserve">8. Provenance and archived materials</w:t>
      </w:r>
    </w:p>
    <w:p>
      <w:pPr>
        <w:pStyle w:val="ListParagraph"/>
        <w:numPr>
          <w:ilvl w:val="0"/>
          <w:numId w:val="3"/>
        </w:numPr>
        <w:spacing w:after="60"/>
      </w:pPr>
      <w:r>
        <w:t xml:space="preserve">Supersedes v2 (“SARA USA — Survey Protocol v2 (2026-06-15).docx”), which remains in this folder.</w:t>
      </w:r>
    </w:p>
    <w:p>
      <w:pPr>
        <w:pStyle w:val="ListParagraph"/>
        <w:numPr>
          <w:ilvl w:val="0"/>
          <w:numId w:val="3"/>
        </w:numPr>
        <w:spacing w:after="60"/>
      </w:pPr>
      <w:r>
        <w:t xml:space="preserve">Archived Round-1 draft with its 25 original comments: “[ARCHIVED 2025-11] MIT AIRI briefing - Survey - original 25 comments.docx” (2026 USA folder). Untouched.</w:t>
      </w:r>
    </w:p>
    <w:p>
      <w:pPr>
        <w:pStyle w:val="ListParagraph"/>
        <w:numPr>
          <w:ilvl w:val="0"/>
          <w:numId w:val="3"/>
        </w:numPr>
        <w:spacing w:after="60"/>
      </w:pPr>
      <w:r>
        <w:t xml:space="preserve">Most similar prior instrument: the Risk Tolerance section of the Australian SARA 2025 Working Draft.</w:t>
      </w:r>
    </w:p>
    <w:p>
      <w:pPr>
        <w:pStyle w:val="ListParagraph"/>
        <w:numPr>
          <w:ilvl w:val="0"/>
          <w:numId w:val="3"/>
        </w:numPr>
        <w:spacing w:after="60"/>
      </w:pPr>
      <w:r>
        <w:t xml:space="preserve">Added measures sourced from Benjamin Reid, “Additional Questions for SARA.docx.”</w:t>
      </w:r>
    </w:p>
    <w:p>
      <w:pPr>
        <w:pStyle w:val="ListParagraph"/>
        <w:numPr>
          <w:ilvl w:val="0"/>
          <w:numId w:val="3"/>
        </w:numPr>
        <w:spacing w:after="60"/>
      </w:pPr>
      <w:r>
        <w:t xml:space="preserve">Round-1 reviewer feedback: Peter Barnett and Oscar Delaney (Dec 2025). The v3 “skeptical reviewer” is a reconstruction of the regulation-skeptical critique a reader like Dean Ball would bring, not a quotation.</w:t>
      </w:r>
    </w:p>
    <w:p>
      <w:pPr>
        <w:pStyle w:val="ListParagraph"/>
        <w:numPr>
          <w:ilvl w:val="0"/>
          <w:numId w:val="3"/>
        </w:numPr>
        <w:spacing w:after="60"/>
      </w:pPr>
      <w:r>
        <w:t xml:space="preserve">Environment module after Andy Masley, “A simple trick to fix the data center debate,” blog.andymasley.com (June 2026); his offset estimates are contested and are treated as framings to test, not facts.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4"/>
        <w:szCs w:val="14"/>
      </w:rPr>
      <w:t xml:space="preserve">SARA USA — Protocol v3 (skeptical-reviewer hardening + environment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18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 USA Survey Protocol v3</dc:title>
  <dc:creator>Michael Noetel</dc:creator>
  <cp:lastModifiedBy>Un-named</cp:lastModifiedBy>
  <cp:revision>1</cp:revision>
  <dcterms:created xsi:type="dcterms:W3CDTF">2026-06-15T00:25:22.941Z</dcterms:created>
  <dcterms:modified xsi:type="dcterms:W3CDTF">2026-06-15T00:25:22.942Z</dcterms:modified>
</cp:coreProperties>
</file>

<file path=docProps/custom.xml><?xml version="1.0" encoding="utf-8"?>
<Properties xmlns="http://schemas.openxmlformats.org/officeDocument/2006/custom-properties" xmlns:vt="http://schemas.openxmlformats.org/officeDocument/2006/docPropsVTypes"/>
</file>