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Survey Assessing Risks from AI (SARA) — USA</w:t>
      </w:r>
    </w:p>
    <w:p>
      <w:pPr>
        <w:spacing w:after="120"/>
      </w:pPr>
      <w:r>
        <w:rPr>
          <w:b/>
          <w:bCs/>
          <w:color w:val="2E5496"/>
          <w:sz w:val="28"/>
          <w:szCs w:val="28"/>
        </w:rPr>
        <w:t xml:space="preserve">Survey Protocol and Instrument — Version 5 (DCE-based risk-tolerance core)</w:t>
      </w:r>
    </w:p>
    <w:p>
      <w:pPr>
        <w:spacing w:after="120"/>
      </w:pPr>
      <w:r>
        <w:t xml:space="preserve">Michael Noetel (UQ) and Alor Sahoo (MIT). Version date: 17 June 2026. </w:t>
      </w:r>
      <w:r>
        <w:t xml:space="preserve">Versions 2–4.1 hardened the instrument against reviewer feedback (Barnett and Delaney, a Ball-style critique, and Gradient Institute) and reverted the scope randomisation to within-subjects for Benjamin Reid's thesis. Version 5 rebuilds the quantitative core (Module 4) around a Discrete Choice Experiment, following the elicitation brief: the acceptable public risk is recovered from choices, cross-checked against a direct within-subjects F–N battery, and reported as a number only if the two converge under a pre-registered go/no-go. Supersedes v4.1; all earlier versions remain archived in this folder.</w:t>
      </w:r>
    </w:p>
    <w:p>
      <w:pPr>
        <w:spacing w:after="60"/>
      </w:pPr>
      <w:r>
        <w:t xml:space="preserve"/>
      </w:r>
    </w:p>
    <w:p>
      <w:pPr>
        <w:pStyle w:val="Heading1"/>
      </w:pPr>
      <w:r>
        <w:t xml:space="preserve">1. Summary and purpose</w:t>
      </w:r>
    </w:p>
    <w:p>
      <w:pPr>
        <w:spacing w:after="120"/>
      </w:pPr>
      <w:r>
        <w:t xml:space="preserve">This survey answers two questions about US public opinion on AI risk, </w:t>
      </w:r>
      <w:r>
        <w:rPr>
          <w:b/>
          <w:bCs/>
        </w:rPr>
        <w:t xml:space="preserve">without</w:t>
      </w:r>
      <w:r>
        <w:t xml:space="preserve"> asking the public to produce probability estimates or to know which technical mitigations to apply:</w:t>
      </w:r>
    </w:p>
    <w:p>
      <w:pPr>
        <w:pStyle w:val="ListParagraph"/>
        <w:numPr>
          <w:ilvl w:val="0"/>
          <w:numId w:val="2"/>
        </w:numPr>
        <w:spacing w:after="60"/>
      </w:pPr>
      <w:r>
        <w:t xml:space="preserve">Is the current level of AI risk tolerable to the US public? (Status-quo judgement.)</w:t>
      </w:r>
    </w:p>
    <w:p>
      <w:pPr>
        <w:pStyle w:val="ListParagraph"/>
        <w:numPr>
          <w:ilvl w:val="0"/>
          <w:numId w:val="2"/>
        </w:numPr>
        <w:spacing w:after="60"/>
      </w:pPr>
      <w:r>
        <w:t xml:space="preserve">What level of safety does the public expect AI to reach? (Expected-standard judgement.)</w:t>
      </w:r>
    </w:p>
    <w:p>
      <w:pPr>
        <w:spacing w:after="120"/>
      </w:pPr>
      <w:r>
        <w:t xml:space="preserve">Both are values questions that voters are entitled to answer. Technical risk estimation stays with experts; choosing which mitigations bring risk down to a tolerable level stays with technocrats. The public's job here is to </w:t>
      </w:r>
      <w:r>
        <w:rPr>
          <w:i/>
          <w:iCs/>
        </w:rPr>
        <w:t xml:space="preserve">judge</w:t>
      </w:r>
      <w:r>
        <w:t xml:space="preserve">, not to </w:t>
      </w:r>
      <w:r>
        <w:rPr>
          <w:i/>
          <w:iCs/>
        </w:rPr>
        <w:t xml:space="preserve">calculate</w:t>
      </w:r>
      <w:r>
        <w:t xml:space="preserve">.</w:t>
      </w:r>
    </w:p>
    <w:p>
      <w:pPr>
        <w:pStyle w:val="Heading2"/>
      </w:pPr>
      <w:r>
        <w:t xml:space="preserve">Purpose and scope: two clusters of questions  [v4, per Gradient Institute]</w:t>
      </w:r>
    </w:p>
    <w:p>
      <w:pPr>
        <w:spacing w:after="120"/>
      </w:pPr>
      <w:r>
        <w:t xml:space="preserve">Gradient Institute's central point is that the instrument contains two kinds of question with different purposes and different evidentiary weight, and that conflating them produces invalid conclusions. v4 states the split up front and matches the methods and the claims to it.</w:t>
      </w:r>
    </w:p>
    <w:p>
      <w:pPr>
        <w:spacing w:after="120"/>
      </w:pPr>
      <w:r>
        <w:rPr>
          <w:b/>
          <w:bCs/>
        </w:rPr>
        <w:t xml:space="preserve">Cluster A — Attitudes and policy preferences. </w:t>
      </w:r>
      <w:r>
        <w:t xml:space="preserve">Concerns, trust in companies and government, perceived regulatory adequacy, prioritised risks, support for specific mitigations and policy levers. Purpose: describe public sentiment and policy appetite. These are robust, descriptive, and the strongest part of the report. Claims may be made directly from them.</w:t>
      </w:r>
    </w:p>
    <w:p>
      <w:pPr>
        <w:spacing w:after="120"/>
      </w:pPr>
      <w:r>
        <w:rPr>
          <w:b/>
          <w:bCs/>
        </w:rPr>
        <w:t xml:space="preserve">Cluster B — Risk tolerance and tradeoffs. </w:t>
      </w:r>
      <w:r>
        <w:t xml:space="preserve">How much risk the public will tolerate, what standard they expect, and what costs they would accept to reduce risk. Purpose: characterise tolerance. These are harder. We do </w:t>
      </w:r>
      <w:r>
        <w:rPr>
          <w:b/>
          <w:bCs/>
        </w:rPr>
        <w:t xml:space="preserve">not</w:t>
      </w:r>
      <w:r>
        <w:t xml:space="preserve"> assume a precise latent quantitative risk preference exists to be read off; the within-person consistency checks (7c) and cross-mode convergence test that assumption rather than presupposing it. Where consistency is low, Cluster B results are reported as qualitative, ordinal attitudes, not as elicited quantities, and never converted into a single precise number.</w:t>
      </w:r>
    </w:p>
    <w:p>
      <w:pPr>
        <w:pStyle w:val="Heading2"/>
      </w:pPr>
      <w:r>
        <w:t xml:space="preserve">What v2 already did (carried forward)</w:t>
      </w:r>
    </w:p>
    <w:p>
      <w:pPr>
        <w:spacing w:after="120"/>
      </w:pPr>
      <w:r>
        <w:t xml:space="preserve">Round-1 reviewers (Peter Barnett, Oscar Delaney) worried the public cannot reliably </w:t>
      </w:r>
      <w:r>
        <w:rPr>
          <w:i/>
          <w:iCs/>
        </w:rPr>
        <w:t xml:space="preserve">generate</w:t>
      </w:r>
      <w:r>
        <w:t xml:space="preserve"> risk thresholds. v2 demoted direct elicitation to a validation role; made tolerability-of-the-status-quo and relative-standard anchoring the primaries; added a quantitative back-out from the relative items; added a counter-message arm; and added Benjamin Reid's individual-difference measures (CRT, Berlin Numeracy, political orientation, AI familiarity). Those remain.</w:t>
      </w:r>
    </w:p>
    <w:p>
      <w:pPr>
        <w:pStyle w:val="Heading2"/>
      </w:pPr>
      <w:r>
        <w:t xml:space="preserve">What changed in Version 3</w:t>
      </w:r>
    </w:p>
    <w:p>
      <w:pPr>
        <w:spacing w:after="120"/>
      </w:pPr>
      <w:r>
        <w:t xml:space="preserve">v3 answers a deliberately hostile reviewer (modelled on the regulation-skeptical, technically literate critique a reader like Dean Ball would bring) and adds a module that turns the same red-teaming on anti-AI sentiment:</w:t>
      </w:r>
    </w:p>
    <w:p>
      <w:pPr>
        <w:pStyle w:val="ListParagraph"/>
        <w:numPr>
          <w:ilvl w:val="0"/>
          <w:numId w:val="3"/>
        </w:numPr>
        <w:spacing w:after="60"/>
      </w:pPr>
      <w:r>
        <w:t xml:space="preserve">Operationalised the skeptical critique into pre-registered methods (Section 4): symmetric anchors, adversarial review, a disconfirmation commitment, multiverse analysis, MRP validation, and power analysis.</w:t>
      </w:r>
    </w:p>
    <w:p>
      <w:pPr>
        <w:pStyle w:val="ListParagraph"/>
        <w:numPr>
          <w:ilvl w:val="0"/>
          <w:numId w:val="3"/>
        </w:numPr>
        <w:spacing w:after="60"/>
      </w:pPr>
      <w:r>
        <w:t xml:space="preserve">Fixed the loaded anchors. Module 2 now shows low-end estimates (researchers near 0%) alongside high-end ones (Amodei 25%), randomised and reported by anchor, so we are not curating only alarming numbers.</w:t>
      </w:r>
    </w:p>
    <w:p>
      <w:pPr>
        <w:pStyle w:val="ListParagraph"/>
        <w:numPr>
          <w:ilvl w:val="0"/>
          <w:numId w:val="3"/>
        </w:numPr>
        <w:spacing w:after="60"/>
      </w:pPr>
      <w:r>
        <w:t xml:space="preserve">Added a frame-applicability item, so we measure rather than assume that AI risk can be placed on a numerical safety standard at all.</w:t>
      </w:r>
    </w:p>
    <w:p>
      <w:pPr>
        <w:pStyle w:val="ListParagraph"/>
        <w:numPr>
          <w:ilvl w:val="0"/>
          <w:numId w:val="3"/>
        </w:numPr>
        <w:spacing w:after="60"/>
      </w:pPr>
      <w:r>
        <w:t xml:space="preserve">Gave the liability item a negligence / duty-of-care middle, instead of forcing a choice between strict liability and none.</w:t>
      </w:r>
    </w:p>
    <w:p>
      <w:pPr>
        <w:pStyle w:val="ListParagraph"/>
        <w:numPr>
          <w:ilvl w:val="0"/>
          <w:numId w:val="3"/>
        </w:numPr>
        <w:spacing w:after="60"/>
      </w:pPr>
      <w:r>
        <w:t xml:space="preserve">Neutralised the superintelligence-ban wording and added a symmetric counter-framed version to estimate the wording effect.</w:t>
      </w:r>
    </w:p>
    <w:p>
      <w:pPr>
        <w:pStyle w:val="ListParagraph"/>
        <w:numPr>
          <w:ilvl w:val="0"/>
          <w:numId w:val="3"/>
        </w:numPr>
        <w:spacing w:after="60"/>
      </w:pPr>
      <w:r>
        <w:t xml:space="preserve">Added Module 8: Environment, energy, and data centres, testing Masley-style status-quo-bias reframing and an AI-label (reverse-halo) experiment.</w:t>
      </w:r>
    </w:p>
    <w:p>
      <w:pPr>
        <w:pStyle w:val="ListParagraph"/>
        <w:numPr>
          <w:ilvl w:val="0"/>
          <w:numId w:val="3"/>
        </w:numPr>
        <w:spacing w:after="60"/>
      </w:pPr>
      <w:r>
        <w:t xml:space="preserve">Separated the durable policy questions and the environment module from the catastrophe items so the useful findings are not hostage to the contested ones (see Section 4).</w:t>
      </w:r>
    </w:p>
    <w:p>
      <w:pPr>
        <w:pStyle w:val="ListParagraph"/>
        <w:numPr>
          <w:ilvl w:val="0"/>
          <w:numId w:val="3"/>
        </w:numPr>
        <w:spacing w:after="60"/>
      </w:pPr>
      <w:r>
        <w:t xml:space="preserve">Cut and quarantined items that biased or confused respondents (see the Dumpster, Section 7).</w:t>
      </w:r>
    </w:p>
    <w:p>
      <w:pPr>
        <w:pStyle w:val="Heading2"/>
      </w:pPr>
      <w:r>
        <w:t xml:space="preserve">What changed in Version 4</w:t>
      </w:r>
    </w:p>
    <w:p>
      <w:pPr>
        <w:spacing w:after="120"/>
      </w:pPr>
      <w:r>
        <w:t xml:space="preserve">v4 actions the Gradient Institute feedback (Section 3, Round 2). The full point-by-point response is in that section; the headline changes are:</w:t>
      </w:r>
    </w:p>
    <w:p>
      <w:pPr>
        <w:pStyle w:val="ListParagraph"/>
        <w:numPr>
          <w:ilvl w:val="0"/>
          <w:numId w:val="3"/>
        </w:numPr>
        <w:spacing w:after="60"/>
      </w:pPr>
      <w:r>
        <w:t xml:space="preserve">Added the purpose-and-scope statement above, separating Cluster A (attitudes, robust) from Cluster B (risk tolerance, treated as qualitative unless validated).</w:t>
      </w:r>
    </w:p>
    <w:p>
      <w:pPr>
        <w:pStyle w:val="ListParagraph"/>
        <w:numPr>
          <w:ilvl w:val="0"/>
          <w:numId w:val="3"/>
        </w:numPr>
        <w:spacing w:after="60"/>
      </w:pPr>
      <w:r>
        <w:t xml:space="preserve">Added standard definitions shown to all respondents: risk versus probability, whose risk (personal versus societal), and loss-of-control versus application risk, with application risks anchored to today's baseline (the Instrument preface).</w:t>
      </w:r>
    </w:p>
    <w:p>
      <w:pPr>
        <w:pStyle w:val="ListParagraph"/>
        <w:numPr>
          <w:ilvl w:val="0"/>
          <w:numId w:val="3"/>
        </w:numPr>
        <w:spacing w:after="60"/>
      </w:pPr>
      <w:r>
        <w:t xml:space="preserve">Added an information-provision experiment: a short plain explanation of the argument for a risk is shown to a random half before the tolerance items, so we can compare snap to considered judgements.</w:t>
      </w:r>
    </w:p>
    <w:p>
      <w:pPr>
        <w:pStyle w:val="ListParagraph"/>
        <w:numPr>
          <w:ilvl w:val="0"/>
          <w:numId w:val="3"/>
        </w:numPr>
        <w:spacing w:after="60"/>
      </w:pPr>
      <w:r>
        <w:t xml:space="preserve">Adopted a strict conditional-reporting rule: conditional questions are reported with their condition stated, never collapsed into unconditional claims (this is what produced the “80% support waiting 10+ years” error).</w:t>
      </w:r>
    </w:p>
    <w:p>
      <w:pPr>
        <w:pStyle w:val="ListParagraph"/>
        <w:numPr>
          <w:ilvl w:val="0"/>
          <w:numId w:val="3"/>
        </w:numPr>
        <w:spacing w:after="60"/>
      </w:pPr>
      <w:r>
        <w:t xml:space="preserve">Reporting fixes: the “4000x safer than current estimates” claim is removed; the comparative-standard item is split so it asks separately about stricter regulatory standards and safer systems.</w:t>
      </w:r>
    </w:p>
    <w:p>
      <w:pPr>
        <w:pStyle w:val="ListParagraph"/>
        <w:numPr>
          <w:ilvl w:val="0"/>
          <w:numId w:val="3"/>
        </w:numPr>
        <w:spacing w:after="60"/>
      </w:pPr>
      <w:r>
        <w:t xml:space="preserve">Recommended a deliberative complement (a representative mini-public) as Phase 2 for the considered risk-tolerance judgements, alongside, not instead of, the poll.</w:t>
      </w:r>
    </w:p>
    <w:p>
      <w:pPr>
        <w:pStyle w:val="Heading2"/>
      </w:pPr>
      <w:r>
        <w:t xml:space="preserve">What changed in Version 5</w:t>
      </w:r>
    </w:p>
    <w:p>
      <w:pPr>
        <w:spacing w:after="120"/>
      </w:pPr>
      <w:r>
        <w:t xml:space="preserve">v5 rebuilds the quantitative core around a Discrete Choice Experiment, per the elicitation brief, while keeping the within-subjects scope work:</w:t>
      </w:r>
    </w:p>
    <w:p>
      <w:pPr>
        <w:pStyle w:val="ListParagraph"/>
        <w:numPr>
          <w:ilvl w:val="0"/>
          <w:numId w:val="3"/>
        </w:numPr>
        <w:spacing w:after="60"/>
      </w:pPr>
      <w:r>
        <w:t xml:space="preserve">Module 4 is now “Quantitative risk tolerance — the public number”, with a DCE (4a) as the primary instrument: respondents choose between concrete AI-deployment options and the acceptable risk is recovered statistically, so no one states a probability cold.</w:t>
      </w:r>
    </w:p>
    <w:p>
      <w:pPr>
        <w:pStyle w:val="ListParagraph"/>
        <w:numPr>
          <w:ilvl w:val="0"/>
          <w:numId w:val="3"/>
        </w:numPr>
        <w:spacing w:after="60"/>
      </w:pPr>
      <w:r>
        <w:t xml:space="preserve">The direct within-subjects F–N item (now 4c) is kept as both Ben's scope-sensitivity instrument and the DCE's convergence cross-check, so scope sensitivity is measured two ways.</w:t>
      </w:r>
    </w:p>
    <w:p>
      <w:pPr>
        <w:pStyle w:val="ListParagraph"/>
        <w:numPr>
          <w:ilvl w:val="0"/>
          <w:numId w:val="3"/>
        </w:numPr>
        <w:spacing w:after="60"/>
      </w:pPr>
      <w:r>
        <w:t xml:space="preserve">A pre-registered go/no-go: a quantitative public number is reported only if the DCE and the direct F–N agree within an order of magnitude in an overlap subsample (randomised order). Otherwise we report a bound and a qualitative finding.</w:t>
      </w:r>
    </w:p>
    <w:p>
      <w:pPr>
        <w:pStyle w:val="ListParagraph"/>
        <w:numPr>
          <w:ilvl w:val="0"/>
          <w:numId w:val="3"/>
        </w:numPr>
        <w:spacing w:after="60"/>
      </w:pPr>
      <w:r>
        <w:t xml:space="preserve">Multiplier governance reconciles the brief with Gradient #7: the expert-÷-public multiplier is allowed only through this validated path, as a distribution with CIs, conditioned on a benefit scenario, never via the Module 3 back-out.</w:t>
      </w:r>
    </w:p>
    <w:p>
      <w:pPr>
        <w:pStyle w:val="ListParagraph"/>
        <w:numPr>
          <w:ilvl w:val="0"/>
          <w:numId w:val="3"/>
        </w:numPr>
        <w:spacing w:after="60"/>
      </w:pPr>
      <w:r>
        <w:t xml:space="preserve">Built-in validation: dominated-option consistency check, test–retest stability, multi-format agreement, scope slope, and a numeracy split. WTP is now recovered from the DCE (Module 5a demoted to a cross-check).</w:t>
      </w:r>
    </w:p>
    <w:p>
      <w:pPr>
        <w:pStyle w:val="Heading1"/>
      </w:pPr>
      <w:r>
        <w:t xml:space="preserve">2. Design principles</w:t>
      </w:r>
    </w:p>
    <w:p>
      <w:pPr>
        <w:spacing w:after="120"/>
      </w:pPr>
      <w:r>
        <w:rPr>
          <w:b/>
          <w:bCs/>
        </w:rPr>
        <w:t xml:space="preserve">Judgement over generation. </w:t>
      </w:r>
      <w:r>
        <w:t xml:space="preserve">People are poor at producing a number like 1 in 1,000,000 but reasonably good at saying “that is not good enough” when handed one. Recognition beats free recall. So wherever possible we supply the risk figure and ask the respondent to evaluate it.</w:t>
      </w:r>
    </w:p>
    <w:p>
      <w:pPr>
        <w:spacing w:after="120"/>
      </w:pPr>
      <w:r>
        <w:rPr>
          <w:b/>
          <w:bCs/>
        </w:rPr>
        <w:t xml:space="preserve">Triangulation. </w:t>
      </w:r>
      <w:r>
        <w:t xml:space="preserve">We ask each underlying question three ways (status-quo recognition, relative-standard anchoring, and direct elicitation). A conclusion that holds across all three survives whichever method a given critic distrusts.</w:t>
      </w:r>
    </w:p>
    <w:p>
      <w:pPr>
        <w:spacing w:after="120"/>
      </w:pPr>
      <w:r>
        <w:rPr>
          <w:b/>
          <w:bCs/>
        </w:rPr>
        <w:t xml:space="preserve">Scope sensitivity, measured within subjects. </w:t>
      </w:r>
      <w:r>
        <w:t xml:space="preserve">Individuals may be scope-insensitive to probability and severity. Rather than design that away, we measure it: each respondent judges several probability levels and several severity levels (a randomised within-subjects subset of the grid), so we can estimate each person's scope-sensitivity slope and test whether risk literacy predicts more of it. This within-subjects variation is what makes the risk-literacy × scope-sensitivity analysis (Benjamin Reid's thesis) possible; a purely between-subjects design cannot recover individual sensitivity. Because within-subjects presentation can also inflate apparent consistency, we randomise order and keep a between-subjects cross-check, so the measured slope is not a demand artefact.</w:t>
      </w:r>
    </w:p>
    <w:p>
      <w:pPr>
        <w:spacing w:after="120"/>
      </w:pPr>
      <w:r>
        <w:rPr>
          <w:b/>
          <w:bCs/>
        </w:rPr>
        <w:t xml:space="preserve">Neutral framing. </w:t>
      </w:r>
      <w:r>
        <w:t xml:space="preserve">We avoid wording that primes acceptance or reads as advocacy, name every source we cite, and let the data carry the argument.</w:t>
      </w:r>
    </w:p>
    <w:p>
      <w:pPr>
        <w:spacing w:after="120"/>
      </w:pPr>
      <w:r>
        <w:rPr>
          <w:b/>
          <w:bCs/>
        </w:rPr>
        <w:t xml:space="preserve">The output is the gap, not a point estimate. </w:t>
      </w:r>
      <w:r>
        <w:t xml:space="preserve">Reviewer Peter Barnett is right that current AI risk estimates sit several orders of magnitude above any tolerated engineering standard, so a precise F–N threshold would “overshoot the graph” and risk being dismissed as implausible. We therefore report the robust gap (“the risk the developers themselves admit to is judged intolerable, across methods, numeracy levels, and framings”) rather than a single tolerated probability.</w:t>
      </w:r>
    </w:p>
    <w:p>
      <w:pPr>
        <w:pStyle w:val="Heading1"/>
      </w:pPr>
      <w:r>
        <w:t xml:space="preserve">3. Response to reviewer feedback</w:t>
      </w:r>
    </w:p>
    <w:p>
      <w:pPr>
        <w:pStyle w:val="Heading2"/>
      </w:pPr>
      <w:r>
        <w:t xml:space="preserve">Round 1 — Barnett and Delaney (v1 to v2)</w:t>
      </w:r>
    </w:p>
    <w:p>
      <w:pPr>
        <w:spacing w:after="120"/>
      </w:pPr>
      <w:r>
        <w:t xml:space="preserve">Every Round-1 comment is logged below with the response and the action taken in Version 2. The original comments remain untouched in the archived briefing. Reviewer initials: PB = Peter Barnett, OD = Oscar Delaney, AS = Alor Sahoo.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3870"/>
        <w:gridCol w:w="3870"/>
      </w:tblGrid>
      <w:tr>
        <w:trPr>
          <w:tblHeader/>
        </w:trPr>
        <w:tc>
          <w:tcPr>
            <w:tcW w:type="dxa" w:w="5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t>
            </w:r>
          </w:p>
        </w:tc>
        <w:tc>
          <w:tcPr>
            <w:tcW w:type="dxa" w:w="1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By</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Comment (paraphrased)</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Response and action in v2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 (+PB)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Don’t trust people to think well about probabilities and severities; wouldn’t weight what they say. Relative comparisons (AI vs nuclear, pandemics) are more interesting.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Agreed and rebalanced. Direct elicitation demoted to validation. Primaries are now status-quo recognition (Module 2) and relative-standard anchoring (Module 3). We back out a quantitative expectation from the relative answers, so the F–N reading survives without public-generated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People are scope-insensitive; they treat 1/100,000 and 1/10,000,000 as the same.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real limitation, and treated as an empirical question rather than designed away. v4.1: probability and severity are varied WITHIN subjects (each respondent judges several of each), so we measure each person's scope sensitivity directly and test, as a pre-registered interaction, whether higher risk literacy (Berlin Numeracy) predicts more of it — Benjamin Reid's thesis. Order is randomised and a between-subjects cross-check guards against demand-driven consistency. Where respondents are scope-insensitive, we report that as a finding, not noise.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tolerability Likert will just measure how people feel about AI, not a considered threshold.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construct-validity risk. We triangulate across three modes, add a within-person consistency check, add counter-message robustness, and report numeracy moderation. The Likert is framed as an affect-laden judgement, not a precise threshold.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items rely on people accurately assessing risk, which they do badly or over-optimistically.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supply the risk number (recognition) rather than ask respondents to estimate it.</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ToC concern: AI risk is 3–12 orders of magnitude above tolerated standards; the F–N chart overshoots and may be discounted as crazy.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Reframed the headline from “the public’s tolerated threshold” to “the risk developers admit to is judged intolerable, robustly.” Axes extended; the gap is the product, not a point estimate.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 may not matter what people think; they won’t engage tradeoffs (the “foreign aid 10%” problem).</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Every preference is costed (delay, dollars, lost cures, China race). Salience caveat added to Limitations. Policy use rests on the developer-number gap, not on the public setting the number.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Consider counter-message testing: how do views change after a16z-type talking points?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randomised message arm (acceleration/competitiveness prime vs safety prime vs none) precedes the tolerance items; the shift is a pre-registered outcome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risk” framing is misleading: normal cases are ~1/100,000, AI is ~1/100.</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that preamble from all public-facing items; retained only in the methods rationale.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“Negligent” reads weaker than “Intolerable”; and does “Intolerable” mean brought down to tolerable levels?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scale relabelled and reordered to be monotonic, with explicit definitions (Acceptable &lt; Tolerable &lt; Intolerable &lt; Unacceptable / should be illegal).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mitigation should mean actually reducing risk, not convincing people things are fine.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Mitigation definitions reworded to specify genuine risk reduction.</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Results are very dependent on what you call “experts.”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Each source is named and labelled (Altman, Amodei, Musk; superforecasters; XPT experts), and which source a respondent sees is randomised.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Comparison items need to be quantitative to be meaningful; AI should be much less strict than aviation/FDA, but not 12 orders of magnitude less.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Relative items anchored to named quantitative standards; we report the implied quantitative band for each response (Module 3).</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Make one attention check “more strict” and one “less strict.”</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Bidirectional attention checks added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Neutrally give people an intuition for what risk levels mean by comparing to other fields.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Familiar-technology comparators used as neutral anchors; the societal-risk anchors that confused Australian respondents are cut; cognitive pre-test added.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Ambiguous: “X risk” vs “x-risk.”</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Reworded to remove the ambiguity.</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Several dead links; some numbers appear made up.</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links checked and replaced; placeholder figures replaced with sourced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Also ask about slowing harms — people who dislike AI’s effects on society even setting catastrophe aside.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non-catastrophic “pace and disruption” tolerance item (Module 2) and retained the slow-benefits tradeoff.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like this question” / “nice” (status-quo tolerability).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Featured as a primary item (Module 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Housekeeping: comments left open ~2 weeks to gather expert consensus.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No action needed; this protocol is the consolidation of that round.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might be too doomy, would love to be wrong.”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Acknowledged. The counter-message and numeracy analyses are designed partly to test exactly this.</w:t>
            </w:r>
          </w:p>
        </w:tc>
      </w:tr>
    </w:tbl>
    <w:p>
      <w:pPr>
        <w:pStyle w:val="Heading2"/>
      </w:pPr>
      <w:r>
        <w:t xml:space="preserve">Round 2 — Gradient Institute: Carroll, Reid (Alistair), and Caetano (v3 to v4)</w:t>
      </w:r>
    </w:p>
    <w:p>
      <w:pPr>
        <w:spacing w:after="120"/>
      </w:pPr>
      <w:r>
        <w:t xml:space="preserve">Feedback on the Australian SARA 2025 report, 24 November 2025. The substance applies to the shared instrument; AU-report-specific points are actioned as reporting and analysis rules. (Note: Alistair Reid of Gradient is a different person from Benjamin Reid, whose covariate items appear in Module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20"/>
        <w:gridCol w:w="4420"/>
      </w:tblGrid>
      <w:tr>
        <w:trPr>
          <w:tblHeader/>
        </w:trPr>
        <w:tc>
          <w:tcPr>
            <w:tcW w:type="dxa" w:w="5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w:t>
            </w:r>
          </w:p>
        </w:tc>
        <w:tc>
          <w:tcPr>
            <w:tcW w:type="dxa" w:w="44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Gradient Institute point</w:t>
            </w:r>
          </w:p>
        </w:tc>
        <w:tc>
          <w:tcPr>
            <w:tcW w:type="dxa" w:w="44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Response and action in v4</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with a clear statement of purpose. There are two distinct classes of question with different purposes and different difficulty.</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the Purpose-and-scope statement (Section 1): Cluster A (attitudes; robust, descriptive) versus Cluster B (risk tolerance; treated as qualitative unless validated). Methods and claims are matched to the cluster.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 not assume a consistent latent quantitative risk preference exists to be elicited. People likely express qualitative “vibes”, and the quantity may not exist or be accessible this way.</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Conceded. v3 already demoted direct elicitation; v4 states explicitly that we do not presuppose the latent quantity. The consistency check (7c) and cross-mode convergence test whether it behaves like a stable preference; where it does not, results are reported as ordinal attitudes, not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Define risk precisely. Risk and probability are conflated (risk = probability × impact). Say whose risk (personal vs societal). For casualty risk, separate loss-of-control from application risk, and anchor application risk to today's baseline (e.g. driving).</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standard definitions to the Instrument preface: probability stated separately from impact; every Cluster B item labelled personal or societal; loss-of-control separated from application/accident risk, with application risks anchored to the current baseline (e.g. the present road toll).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Define and explain key terms (e.g. “loss of control”) for a general-public sample, ideally with the argument for the risk.</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Plain-language definitions are shown to all respondents; the argument for the risk is shown to a random half via the information-provision experiment, so we can measure whether explanation changes the answer.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 not conflate conditional with unconditional. The delay item was conditional, but the report claimed “80% support waiting 10+ years”, which is not what was asked.</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Conceded as an error. v4 adopts a strict conditional-reporting rule (Section 6), rewords the delay items so the condition is unmissable, and adds a separate unconditional delay item so the two are reported distinctly (Module 5b).</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citizens' assembly may elicit considered judgements better than a poll (explanation, calibration, consistency checks, deliberation).</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Adopted as a recommended Phase 2 complement (Section 6): a representative deliberative mini-public for the considered tolerance judgements. Kept as a complement, not a replacement, because the poll answers a population-level question a small assembly cannot. The information-provision and calibration elements bring some of that rigour into the poll itself.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 the “public want AI 4000x safer than current estimates” claim. It converts a qualitative answer into a quantity by colliding it with expert estimates.</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The qualitative result (the public wants AI held at least as strict as aviation) is reported on its own. The back-out is downgraded to clearly-labelled illustration, never an “N times safer” headline (Module 3; Section 6).</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Figure 11 wording is a category error: it asks whether the systems should be “stricter”. Split into stricter standards versus safer systems.</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Fixed. The comparative-standard item now asks two separate questions: should regulatory standards be stricter, and should the systems themselves be safer (Module 3a).</w:t>
            </w:r>
          </w:p>
        </w:tc>
      </w:tr>
    </w:tbl>
    <w:p>
      <w:pPr>
        <w:pStyle w:val="Heading1"/>
        <w:pageBreakBefore/>
      </w:pPr>
      <w:r>
        <w:t xml:space="preserve">4. Methodological commitments (answering the skeptical reviewer)</w:t>
      </w:r>
    </w:p>
    <w:p>
      <w:pPr>
        <w:spacing w:after="120"/>
      </w:pPr>
      <w:r>
        <w:t xml:space="preserve">We red-teamed v2 as a regulation-skeptical, technically literate reader (a “Ball-style” critique) would. The objections were sharp and several were correct. Rather than rebut them in prose, v3 converts each into a method we commit to in advance. The single most persuasive of these is the first: a project whose theory of change is openly advocacy can only earn trust by pre-committing to report results that cut against it, and by letting skeptics mark our work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Skeptical objection</w:t>
            </w:r>
          </w:p>
        </w:tc>
        <w:tc>
          <w:tcPr>
            <w:tcW w:type="dxa" w:w="60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Pre-registered commitment in v3</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“This is advocacy in a lab coat; the theory of change states an agenda.”</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Disconfirmation commitment + adversarial review. We pre-register the specific results that would cut against the advocacy hypothesis (a majority judging the status quo tolerable; counter-messaging erasing concern; an AI-label penalty near zero; willingness-to-forgo revenue below the actual tax take) and commit to reporting them prominently. Before launch we invite a regulation-skeptic and an environment-skeptic to review the instrument and we publish their unedited critiques alongside the results, exactly as the Round-1 comments are archived.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“Module 2 anchors are a curated set of alarming numbers.”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Symmetric anchors. Module 2 now spans low-end estimates (ML researchers near 0%, the base rate of failed doom predictions) to high-end (Amodei 25%, XPT 5%), randomised across respondents. Results are reported by anchor; no aggregate headline hides the spread.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“Tolerable / ALARP / F–N assumes a quantifiable risk and smuggles the conclusion.”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Frame-applicability item (2d). We ask whether the respondent thinks AI risk can be put on a numerical safety standard at all, and report the primaries separately for those who accept versus reject the frame, instead of assuming it.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back-out manufactures false precision.”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Banded, gated, multiverse. The relative-to-quantitative back-out is reported only as a band with uncertainty, and only if the cognitive pre-test confirms respondents read “stricter” as monotonic in risk. If it fails, Module 3 is ordinal-only and no F–N dots are published. A multiverse / specification-curve analysis reports the estimate across every defensible mapping rather than a single number.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“What decision does this change? Opinion is shallow and unstable.”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treat stability as an outcome, not an assumption. The counter-message swing (Module 7a) is a primary, pre-registered result. The durable policy items (Module 6) and the environment module (Module 8) are pre-specified to be analysed and publishable on their own, so the useful findings do not depend on the catastrophe items landing.</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liability options make strict liability sound like the moderate choice.”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negligence / duty-of-care middle (Module 6d) and balanced the option wording so no single answer is the obvious default.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superintelligence stem is a loaded campaign statement.”</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Neutralised the wording and added a symmetric counter-framed twin (Module 7d). The difference between the two is reported as a wording effect.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“State-level maps over-claim on thin samples.”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Pre-registered minimum effective-sample-per-state rule. MRP estimates are validated by posterior predictive checks and leave-one-state-out cross-validation; no state map is published unless the thresholds clear.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“Demand effects and order effects will drive the answers.”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Item and option order randomised throughout; bidirectional attention checks; speeding and authenticity flags; all primaries reported with and without quality exclusions.</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General</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science. The instrument, raw data, weighting syntax, and analysis code are published; the report follows the registered template; every deviation from pre-registration is logged.</w:t>
            </w:r>
          </w:p>
        </w:tc>
      </w:tr>
    </w:tbl>
    <w:p>
      <w:pPr>
        <w:pStyle w:val="Heading1"/>
        <w:pageBreakBefore/>
      </w:pPr>
      <w:r>
        <w:t xml:space="preserve">5. Survey instrument</w:t>
      </w:r>
    </w:p>
    <w:p>
      <w:pPr>
        <w:spacing w:after="120"/>
      </w:pPr>
      <w:r>
        <w:t xml:space="preserve">Modules run in the order below. Square brackets mark randomisation or programming logic. Each participant sees only a subset of the threshold/tradeoff items (matrix sampling) to keep the burden realistic.</w:t>
      </w:r>
    </w:p>
    <w:p>
      <w:pPr>
        <w:pStyle w:val="Heading2"/>
      </w:pPr>
      <w:r>
        <w:t xml:space="preserve">Instrument preface: standard definitions and the information-provision experiment  [v4, per Gradient Institute]</w:t>
      </w:r>
    </w:p>
    <w:p>
      <w:pPr>
        <w:spacing w:after="120"/>
      </w:pPr>
      <w:r>
        <w:rPr>
          <w:b/>
          <w:bCs/>
        </w:rPr>
        <w:t xml:space="preserve">Standard definitions (shown before any Cluster B item). </w:t>
      </w:r>
      <w:r>
        <w:t xml:space="preserve">To stop respondents answering different questions, every risk-tolerance item carries a fixed framing:</w:t>
      </w:r>
    </w:p>
    <w:p>
      <w:pPr>
        <w:pStyle w:val="ListParagraph"/>
        <w:numPr>
          <w:ilvl w:val="0"/>
          <w:numId w:val="3"/>
        </w:numPr>
        <w:spacing w:after="60"/>
      </w:pPr>
      <w:r>
        <w:t xml:space="preserve">Probability versus impact. We separate the two. A “probability” item asks only how likely an outcome is; a “risk” item names both the chance and the size of the harm. We never label a bare probability as “risk”.</w:t>
      </w:r>
    </w:p>
    <w:p>
      <w:pPr>
        <w:pStyle w:val="ListParagraph"/>
        <w:numPr>
          <w:ilvl w:val="0"/>
          <w:numId w:val="3"/>
        </w:numPr>
        <w:spacing w:after="60"/>
      </w:pPr>
      <w:r>
        <w:t xml:space="preserve">Whose risk. Every item is labelled personal (your own chance of being harmed) or societal (the chance somewhere in the population). Catastrophic items are societal; application items (e.g. an AI medical or driving system) are personal and anchored to the current baseline.</w:t>
      </w:r>
    </w:p>
    <w:p>
      <w:pPr>
        <w:pStyle w:val="ListParagraph"/>
        <w:numPr>
          <w:ilvl w:val="0"/>
          <w:numId w:val="3"/>
        </w:numPr>
        <w:spacing w:after="60"/>
      </w:pPr>
      <w:r>
        <w:t xml:space="preserve">Type of risk. We distinguish loss-of-control / misalignment risk (an AI acting against human intent) from misuse risk (people using AI to cause harm) from application / accident risk (ordinary failures of a deployed system). Each tolerance item states which it means.</w:t>
      </w:r>
    </w:p>
    <w:p>
      <w:pPr>
        <w:pStyle w:val="ListParagraph"/>
        <w:numPr>
          <w:ilvl w:val="0"/>
          <w:numId w:val="3"/>
        </w:numPr>
        <w:spacing w:after="60"/>
      </w:pPr>
      <w:r>
        <w:t xml:space="preserve">Baseline anchoring for application risks. Where a risk replaces an existing activity (AI driving, AI diagnosis), the item gives today's risk level as the reference point, so “acceptable” is judged against the status quo it would replace, not against zero.</w:t>
      </w:r>
    </w:p>
    <w:p>
      <w:pPr>
        <w:spacing w:after="120"/>
      </w:pPr>
      <w:r>
        <w:t xml:space="preserve">Plain-language definitions of key terms (loss of control, critical harm, catastrophic harm) are shown to all respondents in a glossary tooltip and on first use.</w:t>
      </w:r>
    </w:p>
    <w:p>
      <w:pPr>
        <w:spacing w:after="60" w:before="100"/>
      </w:pPr>
      <w:r>
        <w:rPr>
          <w:b/>
          <w:bCs/>
        </w:rPr>
        <w:t xml:space="preserve">Information-provision experiment.  [randomise: brief label only vs label + argument; before the Cluster B tolerance items]</w:t>
      </w:r>
    </w:p>
    <w:p>
      <w:pPr>
        <w:spacing w:after="60"/>
      </w:pPr>
      <w:r>
        <w:t xml:space="preserve">Half of respondents see only the one-line definition of the risk. The other half also see a short, neutral explanation of the argument for why some experts take the risk seriously (3–4 sentences), plus a one-line counter-consideration, before answering the tolerance items.</w:t>
      </w:r>
    </w:p>
    <w:p>
      <w:pPr>
        <w:spacing w:after="60"/>
      </w:pPr>
      <w:r>
        <w:rPr>
          <w:b/>
          <w:bCs/>
          <w:i/>
          <w:iCs/>
        </w:rPr>
        <w:t xml:space="preserve">Why ask this: </w:t>
      </w:r>
      <w:r>
        <w:rPr>
          <w:i/>
          <w:iCs/>
        </w:rPr>
        <w:t xml:space="preserve">Gradient's point that the public may lack the concepts to answer well. Rather than assume an uninformed snap answer is the considered one, we measure the difference between informed and uninformed tolerance, and report informed tolerance as the headline where the two diverge. This also brings part of the citizens'-assembly rationale into the poll.</w:t>
      </w:r>
    </w:p>
    <w:p>
      <w:pPr>
        <w:pStyle w:val="Heading2"/>
      </w:pPr>
      <w:r>
        <w:t xml:space="preserve">Module 1. Attitudes and context (short)</w:t>
      </w:r>
    </w:p>
    <w:p>
      <w:pPr>
        <w:spacing w:after="60" w:before="100"/>
      </w:pPr>
      <w:r>
        <w:rPr>
          <w:b/>
          <w:bCs/>
        </w:rPr>
        <w:t xml:space="preserve">Overall stance (carried from SARA core).</w:t>
      </w:r>
    </w:p>
    <w:p>
      <w:pPr>
        <w:spacing w:after="60"/>
      </w:pPr>
      <w:r>
        <w:rPr>
          <w:i/>
          <w:iCs/>
        </w:rPr>
        <w:t xml:space="preserve">Do you think AI will do more good or harm overall?</w:t>
      </w:r>
    </w:p>
    <w:p>
      <w:pPr>
        <w:pStyle w:val="ListParagraph"/>
        <w:numPr>
          <w:ilvl w:val="0"/>
          <w:numId w:val="3"/>
        </w:numPr>
        <w:spacing w:after="60"/>
      </w:pPr>
      <w:r>
        <w:t xml:space="preserve">More good than harm</w:t>
      </w:r>
    </w:p>
    <w:p>
      <w:pPr>
        <w:pStyle w:val="ListParagraph"/>
        <w:numPr>
          <w:ilvl w:val="0"/>
          <w:numId w:val="3"/>
        </w:numPr>
        <w:spacing w:after="60"/>
      </w:pPr>
      <w:r>
        <w:t xml:space="preserve">Neutral / about the same</w:t>
      </w:r>
    </w:p>
    <w:p>
      <w:pPr>
        <w:pStyle w:val="ListParagraph"/>
        <w:numPr>
          <w:ilvl w:val="0"/>
          <w:numId w:val="3"/>
        </w:numPr>
        <w:spacing w:after="60"/>
      </w:pPr>
      <w:r>
        <w:t xml:space="preserve">More harm than good</w:t>
      </w:r>
    </w:p>
    <w:p>
      <w:pPr>
        <w:pStyle w:val="ListParagraph"/>
        <w:numPr>
          <w:ilvl w:val="0"/>
          <w:numId w:val="3"/>
        </w:numPr>
        <w:spacing w:after="60"/>
      </w:pPr>
      <w:r>
        <w:t xml:space="preserve">Don’t know</w:t>
      </w:r>
    </w:p>
    <w:p>
      <w:pPr>
        <w:spacing w:after="60" w:before="100"/>
      </w:pPr>
      <w:r>
        <w:rPr>
          <w:b/>
          <w:bCs/>
        </w:rPr>
        <w:t xml:space="preserve">Loss of control (carried).</w:t>
      </w:r>
    </w:p>
    <w:p>
      <w:pPr>
        <w:spacing w:after="60"/>
      </w:pPr>
      <w:r>
        <w:rPr>
          <w:i/>
          <w:iCs/>
        </w:rPr>
        <w:t xml:space="preserve">How worried, if at all, are you that humans will lose control of AI?</w:t>
      </w:r>
    </w:p>
    <w:p>
      <w:pPr>
        <w:pStyle w:val="ListParagraph"/>
        <w:numPr>
          <w:ilvl w:val="0"/>
          <w:numId w:val="3"/>
        </w:numPr>
        <w:spacing w:after="60"/>
      </w:pPr>
      <w:r>
        <w:t xml:space="preserve">Very worried</w:t>
      </w:r>
    </w:p>
    <w:p>
      <w:pPr>
        <w:pStyle w:val="ListParagraph"/>
        <w:numPr>
          <w:ilvl w:val="0"/>
          <w:numId w:val="3"/>
        </w:numPr>
        <w:spacing w:after="60"/>
      </w:pPr>
      <w:r>
        <w:t xml:space="preserve">Fairly worried</w:t>
      </w:r>
    </w:p>
    <w:p>
      <w:pPr>
        <w:pStyle w:val="ListParagraph"/>
        <w:numPr>
          <w:ilvl w:val="0"/>
          <w:numId w:val="3"/>
        </w:numPr>
        <w:spacing w:after="60"/>
      </w:pPr>
      <w:r>
        <w:t xml:space="preserve">Not very worried</w:t>
      </w:r>
    </w:p>
    <w:p>
      <w:pPr>
        <w:pStyle w:val="ListParagraph"/>
        <w:numPr>
          <w:ilvl w:val="0"/>
          <w:numId w:val="3"/>
        </w:numPr>
        <w:spacing w:after="60"/>
      </w:pPr>
      <w:r>
        <w:t xml:space="preserve">Not at all worried</w:t>
      </w:r>
    </w:p>
    <w:p>
      <w:pPr>
        <w:pStyle w:val="ListParagraph"/>
        <w:numPr>
          <w:ilvl w:val="0"/>
          <w:numId w:val="3"/>
        </w:numPr>
        <w:spacing w:after="60"/>
      </w:pPr>
      <w:r>
        <w:t xml:space="preserve">Don’t know</w:t>
      </w:r>
    </w:p>
    <w:p>
      <w:pPr>
        <w:pStyle w:val="Heading2"/>
      </w:pPr>
      <w:r>
        <w:t xml:space="preserve">Module 2. Tolerability of the status quo  [Primary, Goal 1]</w:t>
      </w:r>
    </w:p>
    <w:p>
      <w:pPr>
        <w:spacing w:after="120"/>
      </w:pPr>
      <w:r>
        <w:t xml:space="preserve">Respondents judge risk levels that named actors have actually stated. This is recognition, not estimation. We use one tolerability scale throughout:</w:t>
      </w:r>
    </w:p>
    <w:p>
      <w:pPr>
        <w:spacing w:after="120"/>
      </w:pPr>
      <w:r>
        <w:rPr>
          <w:b/>
          <w:bCs/>
        </w:rPr>
        <w:t xml:space="preserve">Tolerability scale (revised, monotonic).</w:t>
      </w:r>
    </w:p>
    <w:p>
      <w:pPr>
        <w:pStyle w:val="ListParagraph"/>
        <w:numPr>
          <w:ilvl w:val="0"/>
          <w:numId w:val="3"/>
        </w:numPr>
        <w:spacing w:after="60"/>
      </w:pPr>
      <w:r>
        <w:t xml:space="preserve">Acceptable — safe enough that we don’t need to do anything about it.</w:t>
      </w:r>
    </w:p>
    <w:p>
      <w:pPr>
        <w:pStyle w:val="ListParagraph"/>
        <w:numPr>
          <w:ilvl w:val="0"/>
          <w:numId w:val="3"/>
        </w:numPr>
        <w:spacing w:after="60"/>
      </w:pPr>
      <w:r>
        <w:t xml:space="preserve">Tolerable — acceptable only if actively managed and reduced where reasonably practicable.</w:t>
      </w:r>
    </w:p>
    <w:p>
      <w:pPr>
        <w:pStyle w:val="ListParagraph"/>
        <w:numPr>
          <w:ilvl w:val="0"/>
          <w:numId w:val="3"/>
        </w:numPr>
        <w:spacing w:after="60"/>
      </w:pPr>
      <w:r>
        <w:t xml:space="preserve">Intolerable — not acceptable; must be reduced to at least a tolerable level before continuing.</w:t>
      </w:r>
    </w:p>
    <w:p>
      <w:pPr>
        <w:pStyle w:val="ListParagraph"/>
        <w:numPr>
          <w:ilvl w:val="0"/>
          <w:numId w:val="3"/>
        </w:numPr>
        <w:spacing w:after="60"/>
      </w:pPr>
      <w:r>
        <w:t xml:space="preserve">Unacceptable / should be illegal — so irresponsible it should not be permitted.</w:t>
      </w:r>
    </w:p>
    <w:p>
      <w:pPr>
        <w:spacing w:after="120"/>
      </w:pPr>
      <w:r>
        <w:rPr>
          <w:b/>
          <w:bCs/>
        </w:rPr>
        <w:t xml:space="preserve">v3 change (symmetric anchors). </w:t>
      </w:r>
      <w:r>
        <w:t xml:space="preserve">Each respondent sees one statement drawn at random from a deliberately balanced pool that runs from near-zero to high. We report tolerability by anchor, never as a single aggregate that hides the spread. This answers the objection that we curated only frightening numbers.</w:t>
      </w:r>
    </w:p>
    <w:p>
      <w:pPr>
        <w:spacing w:after="60" w:before="100"/>
      </w:pPr>
      <w:r>
        <w:rPr>
          <w:b/>
          <w:bCs/>
        </w:rPr>
        <w:t xml:space="preserve">2a. Industry figures’ own estimates.  [randomise which statement is shown]</w:t>
      </w:r>
    </w:p>
    <w:p>
      <w:pPr>
        <w:spacing w:after="60"/>
      </w:pPr>
      <w:r>
        <w:t xml:space="preserve">How tolerable is the level of risk described below?</w:t>
      </w:r>
    </w:p>
    <w:p>
      <w:pPr>
        <w:pStyle w:val="ListParagraph"/>
        <w:numPr>
          <w:ilvl w:val="0"/>
          <w:numId w:val="3"/>
        </w:numPr>
        <w:spacing w:after="60"/>
      </w:pPr>
      <w:r>
        <w:t xml:space="preserve">Yann LeCun, Meta’s chief AI scientist, has dismissed the idea that AI poses an extinction risk, calling such fears wildly overblown.</w:t>
      </w:r>
    </w:p>
    <w:p>
      <w:pPr>
        <w:pStyle w:val="ListParagraph"/>
        <w:numPr>
          <w:ilvl w:val="0"/>
          <w:numId w:val="3"/>
        </w:numPr>
        <w:spacing w:after="60"/>
      </w:pPr>
      <w:r>
        <w:t xml:space="preserve">Sam Altman, CEO of OpenAI, has estimated roughly a 2% chance of AI “killing everyone.”</w:t>
      </w:r>
    </w:p>
    <w:p>
      <w:pPr>
        <w:pStyle w:val="ListParagraph"/>
        <w:numPr>
          <w:ilvl w:val="0"/>
          <w:numId w:val="3"/>
        </w:numPr>
        <w:spacing w:after="60"/>
      </w:pPr>
      <w:r>
        <w:t xml:space="preserve">Elon Musk has put the risk of “killer robots annihilating humanity” at 10–20%.</w:t>
      </w:r>
    </w:p>
    <w:p>
      <w:pPr>
        <w:pStyle w:val="ListParagraph"/>
        <w:numPr>
          <w:ilvl w:val="0"/>
          <w:numId w:val="3"/>
        </w:numPr>
        <w:spacing w:after="60"/>
      </w:pPr>
      <w:r>
        <w:t xml:space="preserve">Dario Amodei, CEO of Anthropic, has estimated roughly a 25% chance of AI “going really, really badly.”</w:t>
      </w:r>
    </w:p>
    <w:p>
      <w:pPr>
        <w:spacing w:after="60"/>
      </w:pPr>
      <w:r>
        <w:t xml:space="preserve">[Tolerability scale]</w:t>
      </w:r>
    </w:p>
    <w:p>
      <w:pPr>
        <w:spacing w:after="60"/>
      </w:pPr>
      <w:r>
        <w:rPr>
          <w:b/>
          <w:bCs/>
          <w:i/>
          <w:iCs/>
        </w:rPr>
        <w:t xml:space="preserve">Why ask this: </w:t>
      </w:r>
      <w:r>
        <w:rPr>
          <w:i/>
          <w:iCs/>
        </w:rPr>
        <w:t xml:space="preserve">The judgement is about a number named figures volunteered, so it does not depend on public numeracy. The low-end LeCun anchor is included by design so the pool is not stacked toward alarm (skeptical-reviewer fix). Source named and randomised per PB#11.</w:t>
      </w:r>
    </w:p>
    <w:p>
      <w:pPr>
        <w:spacing w:after="60" w:before="100"/>
      </w:pPr>
      <w:r>
        <w:rPr>
          <w:b/>
          <w:bCs/>
        </w:rPr>
        <w:t xml:space="preserve">2b. Forecaster and expert estimates.  [randomise which statement is shown]</w:t>
      </w:r>
    </w:p>
    <w:p>
      <w:pPr>
        <w:pStyle w:val="ListParagraph"/>
        <w:numPr>
          <w:ilvl w:val="0"/>
          <w:numId w:val="3"/>
        </w:numPr>
        <w:spacing w:after="60"/>
      </w:pPr>
      <w:r>
        <w:t xml:space="preserve">Superforecasters estimate the chance of human extinction from AI by 2050 at about 1 in 3,400 (0.03%).</w:t>
      </w:r>
    </w:p>
    <w:p>
      <w:pPr>
        <w:pStyle w:val="ListParagraph"/>
        <w:numPr>
          <w:ilvl w:val="0"/>
          <w:numId w:val="3"/>
        </w:numPr>
        <w:spacing w:after="60"/>
      </w:pPr>
      <w:r>
        <w:t xml:space="preserve">Superforecasters estimate the chance of an AI catastrophe (around 800 million deaths) by 2050 at about 1 in 140 (0.73%).</w:t>
      </w:r>
    </w:p>
    <w:p>
      <w:pPr>
        <w:pStyle w:val="ListParagraph"/>
        <w:numPr>
          <w:ilvl w:val="0"/>
          <w:numId w:val="3"/>
        </w:numPr>
        <w:spacing w:after="60"/>
      </w:pPr>
      <w:r>
        <w:t xml:space="preserve">AI domain experts (XPT) estimate the chance of AI-caused extinction by 2050 at about 1.1%.</w:t>
      </w:r>
    </w:p>
    <w:p>
      <w:pPr>
        <w:pStyle w:val="ListParagraph"/>
        <w:numPr>
          <w:ilvl w:val="0"/>
          <w:numId w:val="3"/>
        </w:numPr>
        <w:spacing w:after="60"/>
      </w:pPr>
      <w:r>
        <w:t xml:space="preserve">AI domain experts (XPT) estimate the chance of an AI catastrophe by 2050 at about 5%.</w:t>
      </w:r>
    </w:p>
    <w:p>
      <w:pPr>
        <w:spacing w:after="60"/>
      </w:pPr>
      <w:r>
        <w:t xml:space="preserve">[Tolerability scale]</w:t>
      </w:r>
    </w:p>
    <w:p>
      <w:pPr>
        <w:spacing w:after="60"/>
      </w:pPr>
      <w:r>
        <w:rPr>
          <w:b/>
          <w:bCs/>
          <w:i/>
          <w:iCs/>
        </w:rPr>
        <w:t xml:space="preserve">Why ask this: </w:t>
      </w:r>
      <w:r>
        <w:rPr>
          <w:i/>
          <w:iCs/>
        </w:rPr>
        <w:t xml:space="preserve">Pairs optimistic (superforecaster) and pessimistic (expert) anchors so the status-quo judgement is bracketed rather than cherry-picked.</w:t>
      </w:r>
    </w:p>
    <w:p>
      <w:pPr>
        <w:spacing w:after="60" w:before="100"/>
      </w:pPr>
      <w:r>
        <w:rPr>
          <w:b/>
          <w:bCs/>
        </w:rPr>
        <w:t xml:space="preserve">2c. Pace and disruption (non-catastrophic).  [added per PB#17]</w:t>
      </w:r>
    </w:p>
    <w:p>
      <w:pPr>
        <w:spacing w:after="60"/>
      </w:pPr>
      <w:r>
        <w:rPr>
          <w:i/>
          <w:iCs/>
        </w:rPr>
        <w:t xml:space="preserve">Setting aside catastrophic risks, how tolerable is the current pace at which AI is changing work, information, and daily life?</w:t>
      </w:r>
    </w:p>
    <w:p>
      <w:pPr>
        <w:spacing w:after="60"/>
      </w:pPr>
      <w:r>
        <w:t xml:space="preserve">[Tolerability scale]</w:t>
      </w:r>
    </w:p>
    <w:p>
      <w:pPr>
        <w:spacing w:after="60"/>
      </w:pPr>
      <w:r>
        <w:rPr>
          <w:b/>
          <w:bCs/>
          <w:i/>
          <w:iCs/>
        </w:rPr>
        <w:t xml:space="preserve">Why ask this: </w:t>
      </w:r>
      <w:r>
        <w:rPr>
          <w:i/>
          <w:iCs/>
        </w:rPr>
        <w:t xml:space="preserve">Captures the large group who dislike AI’s societal effects even if they are unconcerned about catastrophe.</w:t>
      </w:r>
    </w:p>
    <w:p>
      <w:pPr>
        <w:spacing w:after="60" w:before="100"/>
      </w:pPr>
      <w:r>
        <w:rPr>
          <w:b/>
          <w:bCs/>
        </w:rPr>
        <w:t xml:space="preserve">2d. Frame-applicability check.  [v3 addition — skeptical-reviewer fix]</w:t>
      </w:r>
    </w:p>
    <w:p>
      <w:pPr>
        <w:spacing w:after="60"/>
      </w:pPr>
      <w:r>
        <w:rPr>
          <w:i/>
          <w:iCs/>
        </w:rPr>
        <w:t xml:space="preserve">Some people think the risk from advanced AI can be estimated and held to a numerical safety standard, the way aviation or nuclear power are. Others think it is too uncertain, or too different in kind, for that to make sense. Which is closer to your view?</w:t>
      </w:r>
    </w:p>
    <w:p>
      <w:pPr>
        <w:pStyle w:val="ListParagraph"/>
        <w:numPr>
          <w:ilvl w:val="0"/>
          <w:numId w:val="3"/>
        </w:numPr>
        <w:spacing w:after="60"/>
      </w:pPr>
      <w:r>
        <w:t xml:space="preserve">AI risk can be estimated and held to a numerical safety standard</w:t>
      </w:r>
    </w:p>
    <w:p>
      <w:pPr>
        <w:pStyle w:val="ListParagraph"/>
        <w:numPr>
          <w:ilvl w:val="0"/>
          <w:numId w:val="3"/>
        </w:numPr>
        <w:spacing w:after="60"/>
      </w:pPr>
      <w:r>
        <w:t xml:space="preserve">AI risk is too uncertain or too novel to put a meaningful number on</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Modules 3 and 4 assume risk can be quantified and compared to other technologies. This item measures that premise rather than assuming it; primaries are reported separately for respondents who accept versus reject the frame, so the engineering-risk paradigm is not smuggled in.</w:t>
      </w:r>
    </w:p>
    <w:p>
      <w:pPr>
        <w:pStyle w:val="Heading2"/>
      </w:pPr>
      <w:r>
        <w:t xml:space="preserve">Module 3. Expected safety standard  [Primary, Goal 2]</w:t>
      </w:r>
    </w:p>
    <w:p>
      <w:pPr>
        <w:spacing w:after="120"/>
      </w:pPr>
      <w:r>
        <w:t xml:space="preserve">Instead of asking for a number, we ask how AI should compare with technologies the public already lives with. v4 splits the question in two, because Gradient correctly noted that asking whether the systems should be “stricter” is a category error: a standard can be stricter; a system can be safer.</w:t>
      </w:r>
    </w:p>
    <w:p>
      <w:pPr>
        <w:spacing w:after="60" w:before="100"/>
      </w:pPr>
      <w:r>
        <w:rPr>
          <w:b/>
          <w:bCs/>
        </w:rPr>
        <w:t xml:space="preserve">3a(i). Stricter regulatory standards?  [randomise comparator]</w:t>
      </w:r>
    </w:p>
    <w:p>
      <w:pPr>
        <w:spacing w:after="60"/>
      </w:pPr>
      <w:r>
        <w:rPr>
          <w:i/>
          <w:iCs/>
        </w:rPr>
        <w:t xml:space="preserve">Different technologies face different safety regulations. Compared with the regulations on [randomise: commercial aviation / nuclear power / new prescription medicines / cars / food safety], regulation of advanced AI should be:</w:t>
      </w:r>
    </w:p>
    <w:p>
      <w:pPr>
        <w:pStyle w:val="ListParagraph"/>
        <w:numPr>
          <w:ilvl w:val="0"/>
          <w:numId w:val="3"/>
        </w:numPr>
        <w:spacing w:after="60"/>
      </w:pPr>
      <w:r>
        <w:t xml:space="preserve">Much stricter</w:t>
      </w:r>
    </w:p>
    <w:p>
      <w:pPr>
        <w:pStyle w:val="ListParagraph"/>
        <w:numPr>
          <w:ilvl w:val="0"/>
          <w:numId w:val="3"/>
        </w:numPr>
        <w:spacing w:after="60"/>
      </w:pPr>
      <w:r>
        <w:t xml:space="preserve">Somewhat stricter</w:t>
      </w:r>
    </w:p>
    <w:p>
      <w:pPr>
        <w:pStyle w:val="ListParagraph"/>
        <w:numPr>
          <w:ilvl w:val="0"/>
          <w:numId w:val="3"/>
        </w:numPr>
        <w:spacing w:after="60"/>
      </w:pPr>
      <w:r>
        <w:t xml:space="preserve">About the same</w:t>
      </w:r>
    </w:p>
    <w:p>
      <w:pPr>
        <w:pStyle w:val="ListParagraph"/>
        <w:numPr>
          <w:ilvl w:val="0"/>
          <w:numId w:val="3"/>
        </w:numPr>
        <w:spacing w:after="60"/>
      </w:pPr>
      <w:r>
        <w:t xml:space="preserve">Somewhat less strict</w:t>
      </w:r>
    </w:p>
    <w:p>
      <w:pPr>
        <w:pStyle w:val="ListParagraph"/>
        <w:numPr>
          <w:ilvl w:val="0"/>
          <w:numId w:val="3"/>
        </w:numPr>
        <w:spacing w:after="60"/>
      </w:pPr>
      <w:r>
        <w:t xml:space="preserve">Much less strict</w:t>
      </w:r>
    </w:p>
    <w:p>
      <w:pPr>
        <w:pStyle w:val="ListParagraph"/>
        <w:numPr>
          <w:ilvl w:val="0"/>
          <w:numId w:val="3"/>
        </w:numPr>
        <w:spacing w:after="60"/>
      </w:pPr>
      <w:r>
        <w:t xml:space="preserve">Cannot compare these technologies</w:t>
      </w:r>
    </w:p>
    <w:p>
      <w:pPr>
        <w:spacing w:after="60" w:before="100"/>
      </w:pPr>
      <w:r>
        <w:rPr>
          <w:b/>
          <w:bCs/>
        </w:rPr>
        <w:t xml:space="preserve">3a(ii). Safer systems?  [same comparator]</w:t>
      </w:r>
    </w:p>
    <w:p>
      <w:pPr>
        <w:spacing w:after="60"/>
      </w:pPr>
      <w:r>
        <w:rPr>
          <w:i/>
          <w:iCs/>
        </w:rPr>
        <w:t xml:space="preserve">And compared with how safe [that technology] is in practice, advanced AI systems themselves should be:</w:t>
      </w:r>
    </w:p>
    <w:p>
      <w:pPr>
        <w:pStyle w:val="ListParagraph"/>
        <w:numPr>
          <w:ilvl w:val="0"/>
          <w:numId w:val="3"/>
        </w:numPr>
        <w:spacing w:after="60"/>
      </w:pPr>
      <w:r>
        <w:t xml:space="preserve">Much safer</w:t>
      </w:r>
    </w:p>
    <w:p>
      <w:pPr>
        <w:pStyle w:val="ListParagraph"/>
        <w:numPr>
          <w:ilvl w:val="0"/>
          <w:numId w:val="3"/>
        </w:numPr>
        <w:spacing w:after="60"/>
      </w:pPr>
      <w:r>
        <w:t xml:space="preserve">Somewhat safer</w:t>
      </w:r>
    </w:p>
    <w:p>
      <w:pPr>
        <w:pStyle w:val="ListParagraph"/>
        <w:numPr>
          <w:ilvl w:val="0"/>
          <w:numId w:val="3"/>
        </w:numPr>
        <w:spacing w:after="60"/>
      </w:pPr>
      <w:r>
        <w:t xml:space="preserve">About as safe</w:t>
      </w:r>
    </w:p>
    <w:p>
      <w:pPr>
        <w:pStyle w:val="ListParagraph"/>
        <w:numPr>
          <w:ilvl w:val="0"/>
          <w:numId w:val="3"/>
        </w:numPr>
        <w:spacing w:after="60"/>
      </w:pPr>
      <w:r>
        <w:t xml:space="preserve">Somewhat less safe</w:t>
      </w:r>
    </w:p>
    <w:p>
      <w:pPr>
        <w:pStyle w:val="ListParagraph"/>
        <w:numPr>
          <w:ilvl w:val="0"/>
          <w:numId w:val="3"/>
        </w:numPr>
        <w:spacing w:after="60"/>
      </w:pPr>
      <w:r>
        <w:t xml:space="preserve">Much less safe</w:t>
      </w:r>
    </w:p>
    <w:p>
      <w:pPr>
        <w:pStyle w:val="ListParagraph"/>
        <w:numPr>
          <w:ilvl w:val="0"/>
          <w:numId w:val="3"/>
        </w:numPr>
        <w:spacing w:after="60"/>
      </w:pPr>
      <w:r>
        <w:t xml:space="preserve">Cannot compare these technologies</w:t>
      </w:r>
    </w:p>
    <w:p>
      <w:pPr>
        <w:spacing w:after="60"/>
      </w:pPr>
      <w:r>
        <w:rPr>
          <w:b/>
          <w:bCs/>
          <w:i/>
          <w:iCs/>
        </w:rPr>
        <w:t xml:space="preserve">Why ask this: </w:t>
      </w:r>
      <w:r>
        <w:rPr>
          <w:i/>
          <w:iCs/>
        </w:rPr>
        <w:t xml:space="preserve">3a(i) is about the rules, 3a(ii) about the outcome; conflating them (the Figure 11 error) made the original item uninterpretable. Reveals expected stringency ordinally; the named anchor gives it meaning (PB#12, PB#14; Gradient #8).</w:t>
      </w:r>
    </w:p>
    <w:p>
      <w:pPr>
        <w:spacing w:after="120"/>
      </w:pPr>
      <w:r>
        <w:rPr>
          <w:i/>
          <w:iCs/>
        </w:rPr>
        <w:t xml:space="preserve">Reference anchors used (shown to respondents in plain language; quantitative values used only 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Comparator</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Known risk standard</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Implied level if “about the same”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Commercial aviation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10,000,000 per flight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~10⁻⁷ per exposure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Nuclear power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 chance of any death per year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~10⁻⁵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New prescription medicines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Serious-harm rates reviewed pre-approval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Tightly regulated, pre-market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Cars (driving)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in 10,000 annual fatality risk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~10⁻⁴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Food safety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Low, familiar, involuntary-but-trusted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Strict, routine oversight</w:t>
            </w:r>
          </w:p>
        </w:tc>
      </w:tr>
    </w:tbl>
    <w:p>
      <w:pPr>
        <w:spacing w:after="120"/>
      </w:pPr>
      <w:r>
        <w:rPr>
          <w:b/>
          <w:bCs/>
        </w:rPr>
        <w:t xml:space="preserve">Back-out logic, its caveat, and a v4 limit on it. </w:t>
      </w:r>
      <w:r>
        <w:t xml:space="preserve">“Same as nuclear” maps to ~10⁻⁵/yr; “stricter” and “looser” shift the band up or down. Aggregating across the randomised comparators yields a distribution of expected stringency anchored to real numbers the public already accepts, without anyone being asked to produce one. This assumes respondents read “stricter” as monotonic in risk; we test that in the cognitive pre-test (Section 6) and, if it fails, treat these items as ordinal only. v4 limit (per Gradient #7): the back-out is reported only as a clearly-labelled illustrative band. We do not multiply it against expert estimates to produce an “N times safer” headline; the qualitative result (the public wants AI held at least as strict as aviation) stands on its own.</w:t>
      </w:r>
    </w:p>
    <w:p>
      <w:pPr>
        <w:pStyle w:val="Heading2"/>
      </w:pPr>
      <w:r>
        <w:t xml:space="preserve">Module 4. Quantitative risk tolerance — the public number  [v5: DCE primary + direct cross-check]</w:t>
      </w:r>
    </w:p>
    <w:p>
      <w:pPr>
        <w:spacing w:after="120"/>
      </w:pPr>
      <w:r>
        <w:t xml:space="preserve">v5 makes this the quantitative core. Following the elicitation brief, we estimate the maximum acceptable annual risk from advanced AI two ways and require them to converge before reporting any number. The target quantity is the </w:t>
      </w:r>
      <w:r>
        <w:rPr>
          <w:b/>
          <w:bCs/>
        </w:rPr>
        <w:t xml:space="preserve">societal</w:t>
      </w:r>
      <w:r>
        <w:t xml:space="preserve"> (population-level, not personal) maximum acceptable annual probability of an AI-caused event killing N people, across several N: a frequency–consequence (F–N) tolerability curve of the kind regulators already use (cf. NSW HIPAP, cited in SARA Appendix H). Probability and risk (probability × consequence) are kept distinct, and this module covers catastrophic / loss-of-control risk only, not application risk (definitions in the Instrument preface).</w:t>
      </w:r>
    </w:p>
    <w:p>
      <w:pPr>
        <w:spacing w:after="120"/>
      </w:pPr>
      <w:r>
        <w:rPr>
          <w:b/>
          <w:bCs/>
        </w:rPr>
        <w:t xml:space="preserve">Two instruments, with a go/no-go. </w:t>
      </w:r>
      <w:r>
        <w:t xml:space="preserve">4a (DCE) is the primary; 4c (direct F–N) is the cross-check and Benjamin Reid's scope instrument; 4b is a simple single-shot direct item. A quantitative public number is reported only if 4a and 4c converge (see the go/no-go below).</w:t>
      </w:r>
    </w:p>
    <w:p>
      <w:pPr>
        <w:spacing w:after="60" w:before="100"/>
      </w:pPr>
      <w:r>
        <w:rPr>
          <w:b/>
          <w:bCs/>
        </w:rPr>
        <w:t xml:space="preserve">4a. Discrete Choice Experiment (DCE) — PRIMARY for the public number.  [conjoint; mixed logit / hierarchical Bayes]</w:t>
      </w:r>
    </w:p>
    <w:p>
      <w:pPr>
        <w:spacing w:after="60"/>
      </w:pPr>
      <w:r>
        <w:t xml:space="preserve">Respondents choose between concrete advanced-AI deployment options, plus a status-quo / “neither” opt-out, repeated ~8–12 times. The acceptable risk is recovered as the point where the utility of deploying equals the utility of opting out. Attributes per option:</w:t>
      </w:r>
    </w:p>
    <w:p>
      <w:pPr>
        <w:pStyle w:val="ListParagraph"/>
        <w:numPr>
          <w:ilvl w:val="0"/>
          <w:numId w:val="3"/>
        </w:numPr>
        <w:spacing w:after="60"/>
      </w:pPr>
      <w:r>
        <w:t xml:space="preserve">Annual probability of a catastrophic event (≈ 1 in 100 → 1 in 100,000,000 per year)</w:t>
      </w:r>
    </w:p>
    <w:p>
      <w:pPr>
        <w:pStyle w:val="ListParagraph"/>
        <w:numPr>
          <w:ilvl w:val="0"/>
          <w:numId w:val="3"/>
        </w:numPr>
        <w:spacing w:after="60"/>
      </w:pPr>
      <w:r>
        <w:t xml:space="preserve">Scale of the catastrophe (e.g. 1,000 / 1,000,000 / 100,000,000 deaths) — also serves the scope test</w:t>
      </w:r>
    </w:p>
    <w:p>
      <w:pPr>
        <w:pStyle w:val="ListParagraph"/>
        <w:numPr>
          <w:ilvl w:val="0"/>
          <w:numId w:val="3"/>
        </w:numPr>
        <w:spacing w:after="60"/>
      </w:pPr>
      <w:r>
        <w:t xml:space="preserve">Benefit (none / moderate economic / cures disease and tackles climate)</w:t>
      </w:r>
    </w:p>
    <w:p>
      <w:pPr>
        <w:pStyle w:val="ListParagraph"/>
        <w:numPr>
          <w:ilvl w:val="0"/>
          <w:numId w:val="3"/>
        </w:numPr>
        <w:spacing w:after="60"/>
      </w:pPr>
      <w:r>
        <w:t xml:space="preserve">Annual cost to you, via taxes or prices (yields willingness-to-pay directly)</w:t>
      </w:r>
    </w:p>
    <w:p>
      <w:pPr>
        <w:pStyle w:val="ListParagraph"/>
        <w:numPr>
          <w:ilvl w:val="0"/>
          <w:numId w:val="3"/>
        </w:numPr>
        <w:spacing w:after="60"/>
      </w:pPr>
      <w:r>
        <w:t xml:space="preserve">Status-quo / “neither” opt-out</w:t>
      </w:r>
    </w:p>
    <w:p>
      <w:pPr>
        <w:spacing w:after="60"/>
      </w:pPr>
      <w:r>
        <w:rPr>
          <w:b/>
          <w:bCs/>
          <w:i/>
          <w:iCs/>
        </w:rPr>
        <w:t xml:space="preserve">Why ask this: </w:t>
      </w:r>
      <w:r>
        <w:rPr>
          <w:i/>
          <w:iCs/>
        </w:rPr>
        <w:t xml:space="preserve">People cannot state an acceptable probability cold, but can choose between concrete options; the DCE recovers the threshold from choices and yields WTP for free (subsuming Module 5a). The scale attribute, varied within respondent, doubles as a scope manipulation and corroborates 4c (Ben). Per-respondent posteriors from the hierarchical model feed the risk-literacy interaction.</w:t>
      </w:r>
    </w:p>
    <w:p>
      <w:pPr>
        <w:spacing w:after="120"/>
      </w:pPr>
      <w:r>
        <w:rPr>
          <w:b/>
          <w:bCs/>
          <w:i/>
          <w:iCs/>
        </w:rPr>
        <w:t xml:space="preserve">Change from v1: </w:t>
      </w:r>
      <w:r>
        <w:rPr>
          <w:i/>
          <w:iCs/>
        </w:rPr>
        <w:t xml:space="preserve">Honesty note (per the Ball/Gradient line): the DCE threshold is a model-based estimate (deploy-utility = opt-out-utility under stated assumptions), not an unmediated public preference. It is less author-inferred than the old back-out, not un-inferred. Reported with its assumptions stated.</w:t>
      </w:r>
    </w:p>
    <w:p>
      <w:pPr>
        <w:spacing w:after="60" w:before="100"/>
      </w:pPr>
      <w:r>
        <w:rPr>
          <w:b/>
          <w:bCs/>
        </w:rPr>
        <w:t xml:space="preserve">4b. Reasonable risk of critical harm (direct, single-shot).  [randomise threshold: 50 or 100 deaths]</w:t>
      </w:r>
    </w:p>
    <w:p>
      <w:pPr>
        <w:spacing w:after="60"/>
      </w:pPr>
      <w:r>
        <w:rPr>
          <w:i/>
          <w:iCs/>
        </w:rPr>
        <w:t xml:space="preserve">Let’s define “critical harm” from AI as the death or serious injury of [50 / 100] or more people. What is the highest risk of critical harm you would consider reasonable? (Any higher risk would be unreasonable.)</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pStyle w:val="ListParagraph"/>
        <w:numPr>
          <w:ilvl w:val="0"/>
          <w:numId w:val="3"/>
        </w:numPr>
        <w:spacing w:after="60"/>
      </w:pPr>
      <w:r>
        <w:t xml:space="preserve">≤0.00001% (1 in 10,000,000 or less)</w:t>
      </w:r>
    </w:p>
    <w:p>
      <w:pPr>
        <w:pStyle w:val="ListParagraph"/>
        <w:numPr>
          <w:ilvl w:val="0"/>
          <w:numId w:val="3"/>
        </w:numPr>
        <w:spacing w:after="60"/>
      </w:pPr>
      <w:r>
        <w:t xml:space="preserve">Zero risk only is reasonable</w:t>
      </w:r>
    </w:p>
    <w:p>
      <w:pPr>
        <w:pStyle w:val="ListParagraph"/>
        <w:numPr>
          <w:ilvl w:val="0"/>
          <w:numId w:val="3"/>
        </w:numPr>
        <w:spacing w:after="60"/>
      </w:pPr>
      <w:r>
        <w:t xml:space="preserve">This is too speculative to answer meaningfully</w:t>
      </w:r>
    </w:p>
    <w:p>
      <w:pPr>
        <w:spacing w:after="60"/>
      </w:pPr>
      <w:r>
        <w:rPr>
          <w:b/>
          <w:bCs/>
          <w:i/>
          <w:iCs/>
        </w:rPr>
        <w:t xml:space="preserve">Why ask this: </w:t>
      </w:r>
      <w:r>
        <w:rPr>
          <w:i/>
          <w:iCs/>
        </w:rPr>
        <w:t xml:space="preserve">The RAISE Act bars “unreasonable” risk of critical harm but never defines the level; public expectation is a legitimate input. Randomising 50/100 lets us compare to both SB 53 (50) and the RAISE Act (100).</w:t>
      </w:r>
    </w:p>
    <w:p>
      <w:pPr>
        <w:spacing w:after="60" w:before="100"/>
      </w:pPr>
      <w:r>
        <w:rPr>
          <w:b/>
          <w:bCs/>
        </w:rPr>
        <w:t xml:space="preserve">4c. Direct F–N classification, within subjects — Ben’s scope instrument and the DCE convergence cross-check.  [v4.1; v5 role]</w:t>
      </w:r>
    </w:p>
    <w:p>
      <w:pPr>
        <w:spacing w:after="60"/>
      </w:pPr>
      <w:r>
        <w:rPr>
          <w:i/>
          <w:iCs/>
        </w:rPr>
        <w:t xml:space="preserve">If there were a [probability] chance of [harm class] from AI, that risk would be…  [Tolerability scale]</w:t>
      </w:r>
    </w:p>
    <w:p>
      <w:pPr>
        <w:spacing w:after="60"/>
      </w:pPr>
      <w:r>
        <w:t xml:space="preserve">Each respondent judges a randomised within-subjects subset spanning several probability levels and several harm classes (e.g. 3 probabilities × 3 severities = 9 items), one at a time in randomised order, so both scope dimensions vary within person. Across respondents the assignment covers the full grid, giving a between-subjects cross-check.</w:t>
      </w:r>
    </w:p>
    <w:p>
      <w:pPr>
        <w:spacing w:after="60"/>
      </w:pPr>
      <w:r>
        <w:t xml:space="preserve">Probabilities use natural frequencies (“3 in 10,000”), no percentages and no anchors. Icon arrays appear only as a randomised arm so their upward bias is measured, not baked in (the brief suggested icon arrays; v3 dumped them for biasing, so v5 tests rather than assumes).</w:t>
      </w:r>
    </w:p>
    <w:p>
      <w:pPr>
        <w:spacing w:after="60"/>
      </w:pPr>
      <w:r>
        <w:t xml:space="preserve">Probability levels:</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spacing w:after="60"/>
      </w:pPr>
      <w:r>
        <w:t xml:space="preserve">Harm classes: Negligible, Minor, Substantial, Severe, Catastrophic (each defined in plain language).</w:t>
      </w:r>
    </w:p>
    <w:p>
      <w:pPr>
        <w:spacing w:after="60"/>
      </w:pPr>
      <w:r>
        <w:rPr>
          <w:b/>
          <w:bCs/>
          <w:i/>
          <w:iCs/>
        </w:rPr>
        <w:t xml:space="preserve">Why ask this: </w:t>
      </w:r>
      <w:r>
        <w:rPr>
          <w:i/>
          <w:iCs/>
        </w:rPr>
        <w:t xml:space="preserve">Within-subjects variation lets us estimate each respondent's scope-sensitivity slope (does tolerability fall as probability or severity rises?) and test the risk-literacy interaction (Ben's thesis). Here logical-monotonicity is the dependent measure of scope sensitivity, not an attention check; we report it, randomise order, and compare within- and between-subjects patterns to separate genuine sensitivity from demand-driven consistency. Burden is controlled by sampling a subset of the full 6×5 grid.</w:t>
      </w:r>
    </w:p>
    <w:p>
      <w:pPr>
        <w:pStyle w:val="Heading3"/>
      </w:pPr>
      <w:r>
        <w:t xml:space="preserve">Convergence, go/no-go, and multiplier governance</w:t>
      </w:r>
    </w:p>
    <w:p>
      <w:pPr>
        <w:spacing w:after="120"/>
      </w:pPr>
      <w:r>
        <w:rPr>
          <w:b/>
          <w:bCs/>
        </w:rPr>
        <w:t xml:space="preserve">Convergence and go/no-go. </w:t>
      </w:r>
      <w:r>
        <w:t xml:space="preserve">A quantitative public number is reported only if the DCE (4a) and the direct F–N (4c) agree within about an order of magnitude, in an overlap subsample that completes both (order randomised). If they diverge, we report a bound plus the qualitative finding, not a point estimate. The rule is pre-registered, so “we can / cannot report a public number” is decided in advance, not post hoc. Because the 2025 wave hinted at scope insensitivity (≈1 in a million regardless of N), “no defensible number” is a live and publishable outcome, not a failure.</w:t>
      </w:r>
    </w:p>
    <w:p>
      <w:pPr>
        <w:spacing w:after="120"/>
      </w:pPr>
      <w:r>
        <w:rPr>
          <w:b/>
          <w:bCs/>
        </w:rPr>
        <w:t xml:space="preserve">Multiplier governance (reconciles Gradient #7). </w:t>
      </w:r>
      <w:r>
        <w:t xml:space="preserve">The headline multiplier (expert-estimated AI risk ÷ public-tolerated AI risk) is permitted only through this validated path: only if the go/no-go passes, reported as a distribution with credible intervals, conditioned on a stated benefit scenario, with uncertainty propagated from both numerator and denominator, and never via the qualitative back-out of Module 3. Per-person tolerance is converted to a per-person annual death risk so it is directly comparable to the aviation baseline (~1.8×10⁻⁸ per person-year) and to annualised expert forecasts.</w:t>
      </w:r>
    </w:p>
    <w:p>
      <w:pPr>
        <w:spacing w:after="120"/>
      </w:pPr>
      <w:r>
        <w:rPr>
          <w:b/>
          <w:bCs/>
        </w:rPr>
        <w:t xml:space="preserve">Built-in validation (what makes the number defensible). </w:t>
      </w:r>
    </w:p>
    <w:p>
      <w:pPr>
        <w:pStyle w:val="ListParagraph"/>
        <w:numPr>
          <w:ilvl w:val="0"/>
          <w:numId w:val="3"/>
        </w:numPr>
        <w:spacing w:after="60"/>
      </w:pPr>
      <w:r>
        <w:t xml:space="preserve">Scope sensitivity (4c and the DCE scale attribute): accepted probability must decline as deaths rise; quantify the slope and flag if flat.</w:t>
      </w:r>
    </w:p>
    <w:p>
      <w:pPr>
        <w:pStyle w:val="ListParagraph"/>
        <w:numPr>
          <w:ilvl w:val="0"/>
          <w:numId w:val="3"/>
        </w:numPr>
        <w:spacing w:after="60"/>
      </w:pPr>
      <w:r>
        <w:t xml:space="preserve">Consistency: insert an occasional dominated DCE option (strictly worse on every attribute); choosing it flags noise and scores each respondent's rationality.</w:t>
      </w:r>
    </w:p>
    <w:p>
      <w:pPr>
        <w:pStyle w:val="ListParagraph"/>
        <w:numPr>
          <w:ilvl w:val="0"/>
          <w:numId w:val="3"/>
        </w:numPr>
        <w:spacing w:after="60"/>
      </w:pPr>
      <w:r>
        <w:t xml:space="preserve">Stability: repeat one or two choice tasks in a recontact subsample (test–retest).</w:t>
      </w:r>
    </w:p>
    <w:p>
      <w:pPr>
        <w:pStyle w:val="ListParagraph"/>
        <w:numPr>
          <w:ilvl w:val="0"/>
          <w:numId w:val="3"/>
        </w:numPr>
        <w:spacing w:after="60"/>
      </w:pPr>
      <w:r>
        <w:t xml:space="preserve">Multi-format agreement: ask one tolerance item as “%”, as “1 in X”, and as “X per year”, and correlate.</w:t>
      </w:r>
    </w:p>
    <w:p>
      <w:pPr>
        <w:pStyle w:val="ListParagraph"/>
        <w:numPr>
          <w:ilvl w:val="0"/>
          <w:numId w:val="3"/>
        </w:numPr>
        <w:spacing w:after="60"/>
      </w:pPr>
      <w:r>
        <w:t xml:space="preserve">Numeracy: Berlin / Lipkus (Module 9); report the number separately for high versus low numeracy.</w:t>
      </w:r>
    </w:p>
    <w:p>
      <w:pPr>
        <w:pStyle w:val="Heading2"/>
      </w:pPr>
      <w:r>
        <w:t xml:space="preserve">Module 5. Costed tradeoffs</w:t>
      </w:r>
    </w:p>
    <w:p>
      <w:pPr>
        <w:spacing w:after="120"/>
      </w:pPr>
      <w:r>
        <w:t xml:space="preserve">Each respondent sees one or two. Costs are explicit so preferences are not free (OD#6). v5 note: willingness-to-pay is now recovered directly from the DCE cost attribute (4a), so 5a is retained only as a simple stated-preference cross-check against the DCE estimate.</w:t>
      </w:r>
    </w:p>
    <w:p>
      <w:pPr>
        <w:spacing w:after="60" w:before="100"/>
      </w:pPr>
      <w:r>
        <w:rPr>
          <w:b/>
          <w:bCs/>
        </w:rPr>
        <w:t xml:space="preserve">5a. Willingness to pay.</w:t>
      </w:r>
    </w:p>
    <w:p>
      <w:pPr>
        <w:spacing w:after="60"/>
      </w:pPr>
      <w:r>
        <w:rPr>
          <w:i/>
          <w:iCs/>
        </w:rPr>
        <w:t xml:space="preserve">What is the most you would personally pay each year (through government spending or higher AI prices) to cut AI catastrophic risk (&gt;800 million deaths) from 1 in 20 (5%) to 1 in 100 (1%) over the next 30 years?</w:t>
      </w:r>
    </w:p>
    <w:p>
      <w:pPr>
        <w:pStyle w:val="ListParagraph"/>
        <w:numPr>
          <w:ilvl w:val="0"/>
          <w:numId w:val="3"/>
        </w:numPr>
        <w:spacing w:after="60"/>
      </w:pPr>
      <w:r>
        <w:t xml:space="preserve">$0</w:t>
      </w:r>
    </w:p>
    <w:p>
      <w:pPr>
        <w:pStyle w:val="ListParagraph"/>
        <w:numPr>
          <w:ilvl w:val="0"/>
          <w:numId w:val="3"/>
        </w:numPr>
        <w:spacing w:after="60"/>
      </w:pPr>
      <w:r>
        <w:t xml:space="preserve">$1–25</w:t>
      </w:r>
    </w:p>
    <w:p>
      <w:pPr>
        <w:pStyle w:val="ListParagraph"/>
        <w:numPr>
          <w:ilvl w:val="0"/>
          <w:numId w:val="3"/>
        </w:numPr>
        <w:spacing w:after="60"/>
      </w:pPr>
      <w:r>
        <w:t xml:space="preserve">$26–100</w:t>
      </w:r>
    </w:p>
    <w:p>
      <w:pPr>
        <w:pStyle w:val="ListParagraph"/>
        <w:numPr>
          <w:ilvl w:val="0"/>
          <w:numId w:val="3"/>
        </w:numPr>
        <w:spacing w:after="60"/>
      </w:pPr>
      <w:r>
        <w:t xml:space="preserve">$101–500</w:t>
      </w:r>
    </w:p>
    <w:p>
      <w:pPr>
        <w:pStyle w:val="ListParagraph"/>
        <w:numPr>
          <w:ilvl w:val="0"/>
          <w:numId w:val="3"/>
        </w:numPr>
        <w:spacing w:after="60"/>
      </w:pPr>
      <w:r>
        <w:t xml:space="preserve">$501–1,000</w:t>
      </w:r>
    </w:p>
    <w:p>
      <w:pPr>
        <w:pStyle w:val="ListParagraph"/>
        <w:numPr>
          <w:ilvl w:val="0"/>
          <w:numId w:val="3"/>
        </w:numPr>
        <w:spacing w:after="60"/>
      </w:pPr>
      <w:r>
        <w:t xml:space="preserve">More than $1,000</w:t>
      </w:r>
    </w:p>
    <w:p>
      <w:pPr>
        <w:pStyle w:val="ListParagraph"/>
        <w:numPr>
          <w:ilvl w:val="0"/>
          <w:numId w:val="3"/>
        </w:numPr>
        <w:spacing w:after="60"/>
      </w:pPr>
      <w:r>
        <w:t xml:space="preserve">This is so important I’d pay whatever it takes</w:t>
      </w:r>
    </w:p>
    <w:p>
      <w:pPr>
        <w:pStyle w:val="ListParagraph"/>
        <w:numPr>
          <w:ilvl w:val="0"/>
          <w:numId w:val="3"/>
        </w:numPr>
        <w:spacing w:after="60"/>
      </w:pPr>
      <w:r>
        <w:t xml:space="preserve">I don’t know how much I’d pay</w:t>
      </w:r>
    </w:p>
    <w:p>
      <w:pPr>
        <w:spacing w:after="60" w:before="100"/>
      </w:pPr>
      <w:r>
        <w:rPr>
          <w:b/>
          <w:bCs/>
        </w:rPr>
        <w:t xml:space="preserve">5b(i). Delay — unconditional.  [v4 addition]</w:t>
      </w:r>
    </w:p>
    <w:p>
      <w:pPr>
        <w:spacing w:after="60"/>
      </w:pPr>
      <w:r>
        <w:rPr>
          <w:i/>
          <w:iCs/>
        </w:rPr>
        <w:t xml:space="preserve">Putting risk to one side, would you support or oppose delaying the deployment of advanced AI by several years?</w:t>
      </w:r>
    </w:p>
    <w:p>
      <w:pPr>
        <w:pStyle w:val="ListParagraph"/>
        <w:numPr>
          <w:ilvl w:val="0"/>
          <w:numId w:val="3"/>
        </w:numPr>
        <w:spacing w:after="60"/>
      </w:pPr>
      <w:r>
        <w:t xml:space="preserve">Strongly support</w:t>
      </w:r>
    </w:p>
    <w:p>
      <w:pPr>
        <w:pStyle w:val="ListParagraph"/>
        <w:numPr>
          <w:ilvl w:val="0"/>
          <w:numId w:val="3"/>
        </w:numPr>
        <w:spacing w:after="60"/>
      </w:pPr>
      <w:r>
        <w:t xml:space="preserve">Somewhat support</w:t>
      </w:r>
    </w:p>
    <w:p>
      <w:pPr>
        <w:pStyle w:val="ListParagraph"/>
        <w:numPr>
          <w:ilvl w:val="0"/>
          <w:numId w:val="3"/>
        </w:numPr>
        <w:spacing w:after="60"/>
      </w:pPr>
      <w:r>
        <w:t xml:space="preserve">Neither</w:t>
      </w:r>
    </w:p>
    <w:p>
      <w:pPr>
        <w:pStyle w:val="ListParagraph"/>
        <w:numPr>
          <w:ilvl w:val="0"/>
          <w:numId w:val="3"/>
        </w:numPr>
        <w:spacing w:after="60"/>
      </w:pPr>
      <w:r>
        <w:t xml:space="preserve">Somewhat oppose</w:t>
      </w:r>
    </w:p>
    <w:p>
      <w:pPr>
        <w:pStyle w:val="ListParagraph"/>
        <w:numPr>
          <w:ilvl w:val="0"/>
          <w:numId w:val="3"/>
        </w:numPr>
        <w:spacing w:after="60"/>
      </w:pPr>
      <w:r>
        <w:t xml:space="preserve">Strongly oppose</w:t>
      </w:r>
    </w:p>
    <w:p>
      <w:pPr>
        <w:spacing w:after="60"/>
      </w:pPr>
      <w:r>
        <w:rPr>
          <w:b/>
          <w:bCs/>
          <w:i/>
          <w:iCs/>
        </w:rPr>
        <w:t xml:space="preserve">Why ask this: </w:t>
      </w:r>
      <w:r>
        <w:rPr>
          <w:i/>
          <w:iCs/>
        </w:rPr>
        <w:t xml:space="preserve">Gradient #5: the report must not present a conditional answer as unconditional support for delay. This item measures unconditional support directly, so it can be reported as such, separately from 5b(ii).</w:t>
      </w:r>
    </w:p>
    <w:p>
      <w:pPr>
        <w:spacing w:after="60" w:before="100"/>
      </w:pPr>
      <w:r>
        <w:rPr>
          <w:b/>
          <w:bCs/>
        </w:rPr>
        <w:t xml:space="preserve">5b(ii). Delay — conditional on risk reduction.  [randomise delay: 2/5/10/15/25/50 years]</w:t>
      </w:r>
    </w:p>
    <w:p>
      <w:pPr>
        <w:spacing w:after="60"/>
      </w:pPr>
      <w:r>
        <w:rPr>
          <w:i/>
          <w:iCs/>
        </w:rPr>
        <w:t xml:space="preserve">IF delaying advanced AI by [X] years would cut the chance of a catastrophe (&gt;800m deaths) from 5% to 1%, that delay would be:</w:t>
      </w:r>
    </w:p>
    <w:p>
      <w:pPr>
        <w:pStyle w:val="ListParagraph"/>
        <w:numPr>
          <w:ilvl w:val="0"/>
          <w:numId w:val="3"/>
        </w:numPr>
        <w:spacing w:after="60"/>
      </w:pPr>
      <w:r>
        <w:t xml:space="preserve">Clearly worthwhile</w:t>
      </w:r>
    </w:p>
    <w:p>
      <w:pPr>
        <w:pStyle w:val="ListParagraph"/>
        <w:numPr>
          <w:ilvl w:val="0"/>
          <w:numId w:val="3"/>
        </w:numPr>
        <w:spacing w:after="60"/>
      </w:pPr>
      <w:r>
        <w:t xml:space="preserve">Probably worthwhile</w:t>
      </w:r>
    </w:p>
    <w:p>
      <w:pPr>
        <w:pStyle w:val="ListParagraph"/>
        <w:numPr>
          <w:ilvl w:val="0"/>
          <w:numId w:val="3"/>
        </w:numPr>
        <w:spacing w:after="60"/>
      </w:pPr>
      <w:r>
        <w:t xml:space="preserve">Difficult to judge</w:t>
      </w:r>
    </w:p>
    <w:p>
      <w:pPr>
        <w:pStyle w:val="ListParagraph"/>
        <w:numPr>
          <w:ilvl w:val="0"/>
          <w:numId w:val="3"/>
        </w:numPr>
        <w:spacing w:after="60"/>
      </w:pPr>
      <w:r>
        <w:t xml:space="preserve">Probably not worthwhile</w:t>
      </w:r>
    </w:p>
    <w:p>
      <w:pPr>
        <w:pStyle w:val="ListParagraph"/>
        <w:numPr>
          <w:ilvl w:val="0"/>
          <w:numId w:val="3"/>
        </w:numPr>
        <w:spacing w:after="60"/>
      </w:pPr>
      <w:r>
        <w:t xml:space="preserve">Clearly not worthwhile</w:t>
      </w:r>
    </w:p>
    <w:p>
      <w:pPr>
        <w:spacing w:after="120"/>
      </w:pPr>
      <w:r>
        <w:rPr>
          <w:b/>
          <w:bCs/>
          <w:i/>
          <w:iCs/>
        </w:rPr>
        <w:t xml:space="preserve">Change from v1: </w:t>
      </w:r>
      <w:r>
        <w:rPr>
          <w:i/>
          <w:iCs/>
        </w:rPr>
        <w:t xml:space="preserve">The condition is foregrounded with “IF … would”. Any reported figure carries the condition verbatim (e.g. “conditional on a 5%→1% risk cut, X% judged a 10-year delay worthwhile”), never “X% support waiting 10 years” (Gradient #5; Section 6 reporting rule).</w:t>
      </w:r>
    </w:p>
    <w:p>
      <w:pPr>
        <w:spacing w:after="60" w:before="100"/>
      </w:pPr>
      <w:r>
        <w:rPr>
          <w:b/>
          <w:bCs/>
        </w:rPr>
        <w:t xml:space="preserve">5c. Lost-benefits, acceleration, and race variants.</w:t>
      </w:r>
    </w:p>
    <w:p>
      <w:pPr>
        <w:spacing w:after="60"/>
      </w:pPr>
      <w:r>
        <w:t xml:space="preserve">Same 5-point scale, varying the cost: delayed cures and climate solutions (slow-benefit); faster cures but higher risk (accelerate); China catches up to the USA (race).</w:t>
      </w:r>
    </w:p>
    <w:p>
      <w:pPr>
        <w:spacing w:after="60"/>
      </w:pPr>
      <w:r>
        <w:rPr>
          <w:b/>
          <w:bCs/>
          <w:i/>
          <w:iCs/>
        </w:rPr>
        <w:t xml:space="preserve">Why ask this: </w:t>
      </w:r>
      <w:r>
        <w:rPr>
          <w:i/>
          <w:iCs/>
        </w:rPr>
        <w:t xml:space="preserve">Tests whether tolerance is benefit-dependent and whether competitiveness framings move it; mirrors the counter-message arm.</w:t>
      </w:r>
    </w:p>
    <w:p>
      <w:pPr>
        <w:pStyle w:val="Heading2"/>
      </w:pPr>
      <w:r>
        <w:t xml:space="preserve">Module 6. Policy preferences</w:t>
      </w:r>
    </w:p>
    <w:p>
      <w:pPr>
        <w:spacing w:after="60" w:before="100"/>
      </w:pPr>
      <w:r>
        <w:rPr>
          <w:b/>
          <w:bCs/>
        </w:rPr>
        <w:t xml:space="preserve">6a. Who should certify AI as safe before deployment?</w:t>
      </w:r>
    </w:p>
    <w:p>
      <w:pPr>
        <w:pStyle w:val="ListParagraph"/>
        <w:numPr>
          <w:ilvl w:val="0"/>
          <w:numId w:val="3"/>
        </w:numPr>
        <w:spacing w:after="60"/>
      </w:pPr>
      <w:r>
        <w:t xml:space="preserve">The companies that build them</w:t>
      </w:r>
    </w:p>
    <w:p>
      <w:pPr>
        <w:pStyle w:val="ListParagraph"/>
        <w:numPr>
          <w:ilvl w:val="0"/>
          <w:numId w:val="3"/>
        </w:numPr>
        <w:spacing w:after="60"/>
      </w:pPr>
      <w:r>
        <w:t xml:space="preserve">Government agencies</w:t>
      </w:r>
    </w:p>
    <w:p>
      <w:pPr>
        <w:pStyle w:val="ListParagraph"/>
        <w:numPr>
          <w:ilvl w:val="0"/>
          <w:numId w:val="3"/>
        </w:numPr>
        <w:spacing w:after="60"/>
      </w:pPr>
      <w:r>
        <w:t xml:space="preserve">Independent third-party auditors</w:t>
      </w:r>
    </w:p>
    <w:p>
      <w:pPr>
        <w:pStyle w:val="ListParagraph"/>
        <w:numPr>
          <w:ilvl w:val="0"/>
          <w:numId w:val="3"/>
        </w:numPr>
        <w:spacing w:after="60"/>
      </w:pPr>
      <w:r>
        <w:t xml:space="preserve">No certification needed; the market will self-regulate</w:t>
      </w:r>
    </w:p>
    <w:p>
      <w:pPr>
        <w:spacing w:after="60" w:before="100"/>
      </w:pPr>
      <w:r>
        <w:rPr>
          <w:b/>
          <w:bCs/>
        </w:rPr>
        <w:t xml:space="preserve">6b. Federal vs state.</w:t>
      </w:r>
    </w:p>
    <w:p>
      <w:pPr>
        <w:spacing w:after="60"/>
      </w:pPr>
      <w:r>
        <w:rPr>
          <w:i/>
          <w:iCs/>
        </w:rPr>
        <w:t xml:space="preserve">Should the US have one national AI policy, or let each state set its own rules?</w:t>
      </w:r>
    </w:p>
    <w:p>
      <w:pPr>
        <w:pStyle w:val="ListParagraph"/>
        <w:numPr>
          <w:ilvl w:val="0"/>
          <w:numId w:val="3"/>
        </w:numPr>
        <w:spacing w:after="60"/>
      </w:pPr>
      <w:r>
        <w:t xml:space="preserve">Strongly prefer unified federal policy</w:t>
      </w:r>
    </w:p>
    <w:p>
      <w:pPr>
        <w:pStyle w:val="ListParagraph"/>
        <w:numPr>
          <w:ilvl w:val="0"/>
          <w:numId w:val="3"/>
        </w:numPr>
        <w:spacing w:after="60"/>
      </w:pPr>
      <w:r>
        <w:t xml:space="preserve">Somewhat prefer federal</w:t>
      </w:r>
    </w:p>
    <w:p>
      <w:pPr>
        <w:pStyle w:val="ListParagraph"/>
        <w:numPr>
          <w:ilvl w:val="0"/>
          <w:numId w:val="3"/>
        </w:numPr>
        <w:spacing w:after="60"/>
      </w:pPr>
      <w:r>
        <w:t xml:space="preserve">Somewhat prefer state-by-state</w:t>
      </w:r>
    </w:p>
    <w:p>
      <w:pPr>
        <w:pStyle w:val="ListParagraph"/>
        <w:numPr>
          <w:ilvl w:val="0"/>
          <w:numId w:val="3"/>
        </w:numPr>
        <w:spacing w:after="60"/>
      </w:pPr>
      <w:r>
        <w:t xml:space="preserve">Strongly prefer state-by-state</w:t>
      </w:r>
    </w:p>
    <w:p>
      <w:pPr>
        <w:spacing w:after="60"/>
      </w:pPr>
      <w:r>
        <w:rPr>
          <w:b/>
          <w:bCs/>
          <w:i/>
          <w:iCs/>
        </w:rPr>
        <w:t xml:space="preserve">Why ask this: </w:t>
      </w:r>
      <w:r>
        <w:rPr>
          <w:i/>
          <w:iCs/>
        </w:rPr>
        <w:t xml:space="preserve">Tests whether the RAISE Act can model federal legislation; fragmentation is a US-specific concern.</w:t>
      </w:r>
    </w:p>
    <w:p>
      <w:pPr>
        <w:spacing w:after="60" w:before="100"/>
      </w:pPr>
      <w:r>
        <w:rPr>
          <w:b/>
          <w:bCs/>
        </w:rPr>
        <w:t xml:space="preserve">6c. Emergency shutdown.</w:t>
      </w:r>
    </w:p>
    <w:p>
      <w:pPr>
        <w:spacing w:after="60"/>
      </w:pPr>
      <w:r>
        <w:rPr>
          <w:i/>
          <w:iCs/>
        </w:rPr>
        <w:t xml:space="preserve">Should advanced AI be legally required to have an emergency ‘kill switch’ to shut it down if it behaves dangerously?</w:t>
      </w:r>
    </w:p>
    <w:p>
      <w:pPr>
        <w:pStyle w:val="ListParagraph"/>
        <w:numPr>
          <w:ilvl w:val="0"/>
          <w:numId w:val="3"/>
        </w:numPr>
        <w:spacing w:after="60"/>
      </w:pPr>
      <w:r>
        <w:t xml:space="preserve">Yes, for all AI systems</w:t>
      </w:r>
    </w:p>
    <w:p>
      <w:pPr>
        <w:pStyle w:val="ListParagraph"/>
        <w:numPr>
          <w:ilvl w:val="0"/>
          <w:numId w:val="3"/>
        </w:numPr>
        <w:spacing w:after="60"/>
      </w:pPr>
      <w:r>
        <w:t xml:space="preserve">Yes, but only for high-risk systems</w:t>
      </w:r>
    </w:p>
    <w:p>
      <w:pPr>
        <w:pStyle w:val="ListParagraph"/>
        <w:numPr>
          <w:ilvl w:val="0"/>
          <w:numId w:val="3"/>
        </w:numPr>
        <w:spacing w:after="60"/>
      </w:pPr>
      <w:r>
        <w:t xml:space="preserve">No, voluntary guidelines are enough</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Neither RAISE nor SB 53 addresses post-deployment intervention; this finds whether the public wants the gap filled.</w:t>
      </w:r>
    </w:p>
    <w:p>
      <w:pPr>
        <w:spacing w:after="60" w:before="100"/>
      </w:pPr>
      <w:r>
        <w:rPr>
          <w:b/>
          <w:bCs/>
        </w:rPr>
        <w:t xml:space="preserve">6d. Liability for critical harm.  [randomise threshold: 50 or 100; v3 rebalanced options]</w:t>
      </w:r>
    </w:p>
    <w:p>
      <w:pPr>
        <w:spacing w:after="60"/>
      </w:pPr>
      <w:r>
        <w:rPr>
          <w:i/>
          <w:iCs/>
        </w:rPr>
        <w:t xml:space="preserve">If an AI system causes critical harm ([50/100]+ deaths or $1B+ damage), under what conditions should the company that built it be financially liable?</w:t>
      </w:r>
    </w:p>
    <w:p>
      <w:pPr>
        <w:pStyle w:val="ListParagraph"/>
        <w:numPr>
          <w:ilvl w:val="0"/>
          <w:numId w:val="3"/>
        </w:numPr>
        <w:spacing w:after="60"/>
      </w:pPr>
      <w:r>
        <w:t xml:space="preserve">Fully liable, even if it followed every applicable rule (strict liability)</w:t>
      </w:r>
    </w:p>
    <w:p>
      <w:pPr>
        <w:pStyle w:val="ListParagraph"/>
        <w:numPr>
          <w:ilvl w:val="0"/>
          <w:numId w:val="3"/>
        </w:numPr>
        <w:spacing w:after="60"/>
      </w:pPr>
      <w:r>
        <w:t xml:space="preserve">Liable only if it failed to take reasonable care (a negligence / duty-of-care standard)</w:t>
      </w:r>
    </w:p>
    <w:p>
      <w:pPr>
        <w:pStyle w:val="ListParagraph"/>
        <w:numPr>
          <w:ilvl w:val="0"/>
          <w:numId w:val="3"/>
        </w:numPr>
        <w:spacing w:after="60"/>
      </w:pPr>
      <w:r>
        <w:t xml:space="preserve">Liable only if it broke a specific written rule</w:t>
      </w:r>
    </w:p>
    <w:p>
      <w:pPr>
        <w:pStyle w:val="ListParagraph"/>
        <w:numPr>
          <w:ilvl w:val="0"/>
          <w:numId w:val="3"/>
        </w:numPr>
        <w:spacing w:after="60"/>
      </w:pPr>
      <w:r>
        <w:t xml:space="preserve">Not liable if it followed all applicable safety standards</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v3 fix: the negligence / duty-of-care middle is now an explicit option, and the wording no longer presents strict liability as the default reasonable answer. This is the standard most real proposals occupy, so omitting it overstated support for strict liability.</w:t>
      </w:r>
    </w:p>
    <w:p>
      <w:pPr>
        <w:pStyle w:val="Heading2"/>
      </w:pPr>
      <w:r>
        <w:t xml:space="preserve">Module 7. Validation and robustness layer</w:t>
      </w:r>
    </w:p>
    <w:p>
      <w:pPr>
        <w:spacing w:after="60" w:before="100"/>
      </w:pPr>
      <w:r>
        <w:rPr>
          <w:b/>
          <w:bCs/>
        </w:rPr>
        <w:t xml:space="preserve">7a. Counter-message randomisation.  [added per OD#7 — assign one of three arms before Modules 2–5]</w:t>
      </w:r>
    </w:p>
    <w:p>
      <w:pPr>
        <w:pStyle w:val="ListParagraph"/>
        <w:numPr>
          <w:ilvl w:val="0"/>
          <w:numId w:val="3"/>
        </w:numPr>
        <w:spacing w:after="60"/>
      </w:pPr>
      <w:r>
        <w:t xml:space="preserve">Arm A (no message): proceed directly.</w:t>
      </w:r>
    </w:p>
    <w:p>
      <w:pPr>
        <w:pStyle w:val="ListParagraph"/>
        <w:numPr>
          <w:ilvl w:val="0"/>
          <w:numId w:val="3"/>
        </w:numPr>
        <w:spacing w:after="60"/>
      </w:pPr>
      <w:r>
        <w:t xml:space="preserve">Arm B (acceleration / competitiveness prime): “Some argue that heavy AI regulation would slow innovation, cost jobs, and let rival nations such as China take the lead, and that AI’s benefits far outweigh speculative risks.”</w:t>
      </w:r>
    </w:p>
    <w:p>
      <w:pPr>
        <w:pStyle w:val="ListParagraph"/>
        <w:numPr>
          <w:ilvl w:val="0"/>
          <w:numId w:val="3"/>
        </w:numPr>
        <w:spacing w:after="60"/>
      </w:pPr>
      <w:r>
        <w:t xml:space="preserve">Arm C (safety prime): “Some argue that AI is advancing faster than our ability to make it safe, that leading developers themselves warn of catastrophic risk, and that strong safeguards are needed before deployment.”</w:t>
      </w:r>
    </w:p>
    <w:p>
      <w:pPr>
        <w:spacing w:after="60"/>
      </w:pPr>
      <w:r>
        <w:rPr>
          <w:b/>
          <w:bCs/>
          <w:i/>
          <w:iCs/>
        </w:rPr>
        <w:t xml:space="preserve">Why ask this: </w:t>
      </w:r>
      <w:r>
        <w:rPr>
          <w:i/>
          <w:iCs/>
        </w:rPr>
        <w:t xml:space="preserve">If tolerance barely moves across arms, that rebuts “shallow made-up numbers.” If it swings hard, the fragility is itself the honest finding. Either way we learn something true rather than assuming.</w:t>
      </w:r>
    </w:p>
    <w:p>
      <w:pPr>
        <w:spacing w:after="60" w:before="100"/>
      </w:pPr>
      <w:r>
        <w:rPr>
          <w:b/>
          <w:bCs/>
        </w:rPr>
        <w:t xml:space="preserve">7b. Bidirectional attention checks.  [PB#13]</w:t>
      </w:r>
    </w:p>
    <w:p>
      <w:pPr>
        <w:spacing w:after="60"/>
      </w:pPr>
      <w:r>
        <w:t xml:space="preserve">Check 1 (less strict): “…please select ‘Somewhat less strict than nuclear power’…”</w:t>
      </w:r>
    </w:p>
    <w:p>
      <w:pPr>
        <w:spacing w:after="60"/>
      </w:pPr>
      <w:r>
        <w:t xml:space="preserve">Check 2 (more strict): “…please select ‘Somewhat stricter than dam safety’…”</w:t>
      </w:r>
    </w:p>
    <w:p>
      <w:pPr>
        <w:spacing w:after="60" w:before="100"/>
      </w:pPr>
      <w:r>
        <w:rPr>
          <w:b/>
          <w:bCs/>
        </w:rPr>
        <w:t xml:space="preserve">7c. Within-person consistency check.</w:t>
      </w:r>
    </w:p>
    <w:p>
      <w:pPr>
        <w:spacing w:after="60"/>
      </w:pPr>
      <w:r>
        <w:rPr>
          <w:i/>
          <w:iCs/>
        </w:rPr>
        <w:t xml:space="preserve">Earlier you indicated [X%] was your highest acceptable risk for [Y] deaths from AI. A technology with a [X%] chance of [Y] deaths is:</w:t>
      </w:r>
    </w:p>
    <w:p>
      <w:pPr>
        <w:pStyle w:val="ListParagraph"/>
        <w:numPr>
          <w:ilvl w:val="0"/>
          <w:numId w:val="3"/>
        </w:numPr>
        <w:spacing w:after="60"/>
      </w:pPr>
      <w:r>
        <w:t xml:space="preserve">Far too risky</w:t>
      </w:r>
    </w:p>
    <w:p>
      <w:pPr>
        <w:pStyle w:val="ListParagraph"/>
        <w:numPr>
          <w:ilvl w:val="0"/>
          <w:numId w:val="3"/>
        </w:numPr>
        <w:spacing w:after="60"/>
      </w:pPr>
      <w:r>
        <w:t xml:space="preserve">Somewhat too risky</w:t>
      </w:r>
    </w:p>
    <w:p>
      <w:pPr>
        <w:pStyle w:val="ListParagraph"/>
        <w:numPr>
          <w:ilvl w:val="0"/>
          <w:numId w:val="3"/>
        </w:numPr>
        <w:spacing w:after="60"/>
      </w:pPr>
      <w:r>
        <w:t xml:space="preserve">About right</w:t>
      </w:r>
    </w:p>
    <w:p>
      <w:pPr>
        <w:pStyle w:val="ListParagraph"/>
        <w:numPr>
          <w:ilvl w:val="0"/>
          <w:numId w:val="3"/>
        </w:numPr>
        <w:spacing w:after="60"/>
      </w:pPr>
      <w:r>
        <w:t xml:space="preserve">Could accept somewhat higher risk</w:t>
      </w:r>
    </w:p>
    <w:p>
      <w:pPr>
        <w:pStyle w:val="ListParagraph"/>
        <w:numPr>
          <w:ilvl w:val="0"/>
          <w:numId w:val="3"/>
        </w:numPr>
        <w:spacing w:after="60"/>
      </w:pPr>
      <w:r>
        <w:t xml:space="preserve">Could accept much higher risk</w:t>
      </w:r>
    </w:p>
    <w:p>
      <w:pPr>
        <w:spacing w:after="60" w:before="100"/>
      </w:pPr>
      <w:r>
        <w:rPr>
          <w:b/>
          <w:bCs/>
        </w:rPr>
        <w:t xml:space="preserve">7d. Superintelligence governance.  [randomise stem A/B to estimate the wording effect; within each, randomise preamble: none / statement context]</w:t>
      </w:r>
    </w:p>
    <w:p>
      <w:pPr>
        <w:spacing w:after="60"/>
      </w:pPr>
      <w:r>
        <w:t xml:space="preserve">Stem A (restriction-framed): “I support a ban on developing smarter-than-human AI until there is broad scientific consensus that it can be done safely and controllably, and strong public buy-in.”</w:t>
      </w:r>
    </w:p>
    <w:p>
      <w:pPr>
        <w:spacing w:after="60"/>
      </w:pPr>
      <w:r>
        <w:t xml:space="preserve">Stem B (permission-framed): “Developers should be free to build smarter-than-human AI, with the government stepping in only if specific harms appear, rather than banning it in advance.”</w:t>
      </w:r>
    </w:p>
    <w:p>
      <w:pPr>
        <w:spacing w:after="60"/>
      </w:pPr>
      <w:r>
        <w:t xml:space="preserve">[Strongly agree … Strongly disagree], then an authenticity check: a free-text reason of 50+ words, no AI tools.</w:t>
      </w:r>
    </w:p>
    <w:p>
      <w:pPr>
        <w:spacing w:after="60"/>
      </w:pPr>
      <w:r>
        <w:rPr>
          <w:b/>
          <w:bCs/>
          <w:i/>
          <w:iCs/>
        </w:rPr>
        <w:t xml:space="preserve">Why ask this: </w:t>
      </w:r>
      <w:r>
        <w:rPr>
          <w:i/>
          <w:iCs/>
        </w:rPr>
        <w:t xml:space="preserve">v3 fix: Stem A is the FLI/ControlAI campaign wording, whose conditions (only until it is safe and popular) inflate agreement by construction. Stem B is a symmetric permission framing. The A-minus-B gap estimates how much support is an artefact of wording rather than a stable preference. We report both, not just the flattering one.</w:t>
      </w:r>
    </w:p>
    <w:p>
      <w:pPr>
        <w:pStyle w:val="Heading2"/>
      </w:pPr>
      <w:r>
        <w:t xml:space="preserve">Module 8. Environment, energy, and data centres  [v3 addition — red-teaming anti-AI sentiment]</w:t>
      </w:r>
    </w:p>
    <w:p>
      <w:pPr>
        <w:spacing w:after="120"/>
      </w:pPr>
      <w:r>
        <w:t xml:space="preserve">This module turns the survey's red-teaming on the other side. The catastrophe modules probe whether the public is too complacent; this one probes whether opposition to AI data centres tracks the real balance of costs and benefits, or two framing biases: status-quo bias (Andy Masley, “A simple trick to fix the data center debate,” blog.andymasley.com, June 2026) and an AI-specific affective penalty (a reverse halo). Including it is a deliberate symmetry move, and the strongest single answer to the charge that the project only red-teams one side.</w:t>
      </w:r>
    </w:p>
    <w:p>
      <w:pPr>
        <w:spacing w:after="120"/>
      </w:pPr>
      <w:r>
        <w:rPr>
          <w:b/>
          <w:bCs/>
        </w:rPr>
        <w:t xml:space="preserve">Important caveat. </w:t>
      </w:r>
      <w:r>
        <w:t xml:space="preserve">Masley's empirical claim that data-centre tax revenue could fully offset local externalities is contested (see the comment thread on his post, e.g. the critique of the carbon-offset math). We therefore test framing effects on stated preferences, not whether the offsets are real. Dollar and percentage figures shown to respondents are illustrative and regionally varied; the live values will be drawn from a small set anchored to real counties (e.g. Loudoun County, where data centres pay on the order of $2,800 per resident per year).</w:t>
      </w:r>
    </w:p>
    <w:p>
      <w:pPr>
        <w:spacing w:after="60" w:before="100"/>
      </w:pPr>
      <w:r>
        <w:rPr>
          <w:b/>
          <w:bCs/>
        </w:rPr>
        <w:t xml:space="preserve">8a. Status-quo-reversal experiment (Masley reframing).  [between-subjects: Frame A vs Frame B; randomise the tax magnitude Z]</w:t>
      </w:r>
    </w:p>
    <w:p>
      <w:pPr>
        <w:spacing w:after="60"/>
      </w:pPr>
      <w:r>
        <w:t xml:space="preserve">Frame A (build decision; default is no data centre): “A company wants to build a large data centre in your county. It would use about [W]% of the county's water and [L]% of its land and modestly raise local emissions, while paying about $[Z] per resident per year in taxes that fund local services like schools and roads. Should the county approve it?”  [Definitely approve … Definitely oppose]</w:t>
      </w:r>
    </w:p>
    <w:p>
      <w:pPr>
        <w:spacing w:after="60"/>
      </w:pPr>
      <w:r>
        <w:t xml:space="preserve">Frame B (Masley reframe; default is the revenue exists): “Your county receives about $[Z] per resident per year from a local data centre. Suppose it gave up that revenue to avoid the data centre's water use, land use, and emissions. Would giving up the money to avoid those effects be worth it?”  [Definitely worth it … Definitely not worth it]</w:t>
      </w:r>
    </w:p>
    <w:p>
      <w:pPr>
        <w:spacing w:after="60"/>
      </w:pPr>
      <w:r>
        <w:t xml:space="preserve">The two scales map onto the same underlying support-for-the-data-centre preference.</w:t>
      </w:r>
    </w:p>
    <w:p>
      <w:pPr>
        <w:spacing w:after="60"/>
      </w:pPr>
      <w:r>
        <w:rPr>
          <w:b/>
          <w:bCs/>
          <w:i/>
          <w:iCs/>
        </w:rPr>
        <w:t xml:space="preserve">Why ask this: </w:t>
      </w:r>
      <w:r>
        <w:rPr>
          <w:i/>
          <w:iCs/>
        </w:rPr>
        <w:t xml:space="preserve">Same tradeoff, opposite default. A preference reversal between frames is status-quo bias, not a considered judgement. The Frame B minus Frame A gap is the pre-registered estimate of that bias.</w:t>
      </w:r>
    </w:p>
    <w:p>
      <w:pPr>
        <w:spacing w:after="60" w:before="100"/>
      </w:pPr>
      <w:r>
        <w:rPr>
          <w:b/>
          <w:bCs/>
        </w:rPr>
        <w:t xml:space="preserve">8b. Willingness-to-forgo elicitation (continuous).</w:t>
      </w:r>
    </w:p>
    <w:p>
      <w:pPr>
        <w:spacing w:after="60"/>
      </w:pPr>
      <w:r>
        <w:rPr>
          <w:i/>
          <w:iCs/>
        </w:rPr>
        <w:t xml:space="preserve">What is the most tax revenue per resident per year your county should be willing to give up to avoid a data centre's water use, land use, and emissions?</w:t>
      </w:r>
    </w:p>
    <w:p>
      <w:pPr>
        <w:pStyle w:val="ListParagraph"/>
        <w:numPr>
          <w:ilvl w:val="0"/>
          <w:numId w:val="3"/>
        </w:numPr>
        <w:spacing w:after="60"/>
      </w:pPr>
      <w:r>
        <w:t xml:space="preserve">$0</w:t>
      </w:r>
    </w:p>
    <w:p>
      <w:pPr>
        <w:pStyle w:val="ListParagraph"/>
        <w:numPr>
          <w:ilvl w:val="0"/>
          <w:numId w:val="3"/>
        </w:numPr>
        <w:spacing w:after="60"/>
      </w:pPr>
      <w:r>
        <w:t xml:space="preserve">$1–50</w:t>
      </w:r>
    </w:p>
    <w:p>
      <w:pPr>
        <w:pStyle w:val="ListParagraph"/>
        <w:numPr>
          <w:ilvl w:val="0"/>
          <w:numId w:val="3"/>
        </w:numPr>
        <w:spacing w:after="60"/>
      </w:pPr>
      <w:r>
        <w:t xml:space="preserve">$51–150</w:t>
      </w:r>
    </w:p>
    <w:p>
      <w:pPr>
        <w:pStyle w:val="ListParagraph"/>
        <w:numPr>
          <w:ilvl w:val="0"/>
          <w:numId w:val="3"/>
        </w:numPr>
        <w:spacing w:after="60"/>
      </w:pPr>
      <w:r>
        <w:t xml:space="preserve">$151–500</w:t>
      </w:r>
    </w:p>
    <w:p>
      <w:pPr>
        <w:pStyle w:val="ListParagraph"/>
        <w:numPr>
          <w:ilvl w:val="0"/>
          <w:numId w:val="3"/>
        </w:numPr>
        <w:spacing w:after="60"/>
      </w:pPr>
      <w:r>
        <w:t xml:space="preserve">$501–1,500</w:t>
      </w:r>
    </w:p>
    <w:p>
      <w:pPr>
        <w:pStyle w:val="ListParagraph"/>
        <w:numPr>
          <w:ilvl w:val="0"/>
          <w:numId w:val="3"/>
        </w:numPr>
        <w:spacing w:after="60"/>
      </w:pPr>
      <w:r>
        <w:t xml:space="preserve">More than $1,500</w:t>
      </w:r>
    </w:p>
    <w:p>
      <w:pPr>
        <w:pStyle w:val="ListParagraph"/>
        <w:numPr>
          <w:ilvl w:val="0"/>
          <w:numId w:val="3"/>
        </w:numPr>
        <w:spacing w:after="60"/>
      </w:pPr>
      <w:r>
        <w:t xml:space="preserve">It should be avoided at any cost</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Quantifies Masley's trick. If the stated amount is below the actual revenue [Z], the respondent has revealed, on their own terms, that the data centre is worth it. Comparable to real per-resident tax figures.</w:t>
      </w:r>
    </w:p>
    <w:p>
      <w:pPr>
        <w:spacing w:after="60" w:before="100"/>
      </w:pPr>
      <w:r>
        <w:rPr>
          <w:b/>
          <w:bCs/>
        </w:rPr>
        <w:t xml:space="preserve">8c. AI-label (reverse-halo) experiment.  [conjoint preferred; vignette fallback. Randomise LABEL, hold facts constant]</w:t>
      </w:r>
    </w:p>
    <w:p>
      <w:pPr>
        <w:spacing w:after="60"/>
      </w:pPr>
      <w:r>
        <w:rPr>
          <w:i/>
          <w:iCs/>
        </w:rPr>
        <w:t xml:space="preserve">A [LABEL] wants to buy land, electricity, and water in your area to run a large facility. It would create few local jobs, mainly serve customers elsewhere, and earn the company a large profit, while paying $[Z] per resident per year in local taxes. How acceptable is this?</w:t>
      </w:r>
    </w:p>
    <w:p>
      <w:pPr>
        <w:pStyle w:val="ListParagraph"/>
        <w:numPr>
          <w:ilvl w:val="0"/>
          <w:numId w:val="3"/>
        </w:numPr>
        <w:spacing w:after="60"/>
      </w:pPr>
      <w:r>
        <w:t xml:space="preserve">Completely acceptable</w:t>
      </w:r>
    </w:p>
    <w:p>
      <w:pPr>
        <w:pStyle w:val="ListParagraph"/>
        <w:numPr>
          <w:ilvl w:val="0"/>
          <w:numId w:val="3"/>
        </w:numPr>
        <w:spacing w:after="60"/>
      </w:pPr>
      <w:r>
        <w:t xml:space="preserve">Mostly acceptable</w:t>
      </w:r>
    </w:p>
    <w:p>
      <w:pPr>
        <w:pStyle w:val="ListParagraph"/>
        <w:numPr>
          <w:ilvl w:val="0"/>
          <w:numId w:val="3"/>
        </w:numPr>
        <w:spacing w:after="60"/>
      </w:pPr>
      <w:r>
        <w:t xml:space="preserve">Neither</w:t>
      </w:r>
    </w:p>
    <w:p>
      <w:pPr>
        <w:pStyle w:val="ListParagraph"/>
        <w:numPr>
          <w:ilvl w:val="0"/>
          <w:numId w:val="3"/>
        </w:numPr>
        <w:spacing w:after="60"/>
      </w:pPr>
      <w:r>
        <w:t xml:space="preserve">Mostly unacceptable</w:t>
      </w:r>
    </w:p>
    <w:p>
      <w:pPr>
        <w:pStyle w:val="ListParagraph"/>
        <w:numPr>
          <w:ilvl w:val="0"/>
          <w:numId w:val="3"/>
        </w:numPr>
        <w:spacing w:after="60"/>
      </w:pPr>
      <w:r>
        <w:t xml:space="preserve">Completely unacceptable</w:t>
      </w:r>
    </w:p>
    <w:p>
      <w:pPr>
        <w:spacing w:after="60"/>
      </w:pPr>
      <w:r>
        <w:t xml:space="preserve">LABEL randomised across: a manufacturing plant / a semiconductor factory / a bottling plant / a data centre / an AI data centre.</w:t>
      </w:r>
    </w:p>
    <w:p>
      <w:pPr>
        <w:spacing w:after="60"/>
      </w:pPr>
      <w:r>
        <w:rPr>
          <w:b/>
          <w:bCs/>
          <w:i/>
          <w:iCs/>
        </w:rPr>
        <w:t xml:space="preserve">Why ask this: </w:t>
      </w:r>
      <w:r>
        <w:rPr>
          <w:i/>
          <w:iCs/>
        </w:rPr>
        <w:t xml:space="preserve">Mike's hypothesis: the generic-industry framing draws assent the AI framing does not. The (AI data centre) minus (generic industry) difference, holding the facts constant, estimates the AI-specific penalty (reverse halo). Preferred design: a full conjoint that randomises the label together with attributes (water use, jobs, who benefits, tax revenue, local ownership), so the label effect is estimated net of everything else. Note the fixed “few jobs / serves elsewhere / large profit” wording depresses approval across all labels, so we interpret the label contrast, not the absolute level.</w:t>
      </w:r>
    </w:p>
    <w:p>
      <w:pPr>
        <w:spacing w:after="60" w:before="100"/>
      </w:pPr>
      <w:r>
        <w:rPr>
          <w:b/>
          <w:bCs/>
        </w:rPr>
        <w:t xml:space="preserve">8d. Comparison-quality probe (Masley's “million bottles of water”).  [optional, between-subjects]</w:t>
      </w:r>
    </w:p>
    <w:p>
      <w:pPr>
        <w:spacing w:after="60"/>
      </w:pPr>
      <w:r>
        <w:rPr>
          <w:i/>
          <w:iCs/>
        </w:rPr>
        <w:t xml:space="preserve">The same water use is presented one of three ways, then: How concerned does this make you?</w:t>
      </w:r>
    </w:p>
    <w:p>
      <w:pPr>
        <w:pStyle w:val="ListParagraph"/>
        <w:numPr>
          <w:ilvl w:val="0"/>
          <w:numId w:val="3"/>
        </w:numPr>
        <w:spacing w:after="60"/>
      </w:pPr>
      <w:r>
        <w:t xml:space="preserve">Raw: “about 1.6 billion gallons a year”</w:t>
      </w:r>
    </w:p>
    <w:p>
      <w:pPr>
        <w:pStyle w:val="ListParagraph"/>
        <w:numPr>
          <w:ilvl w:val="0"/>
          <w:numId w:val="3"/>
        </w:numPr>
        <w:spacing w:after="60"/>
      </w:pPr>
      <w:r>
        <w:t xml:space="preserve">Share: “about 10% of the county's water”</w:t>
      </w:r>
    </w:p>
    <w:p>
      <w:pPr>
        <w:pStyle w:val="ListParagraph"/>
        <w:numPr>
          <w:ilvl w:val="0"/>
          <w:numId w:val="3"/>
        </w:numPr>
        <w:spacing w:after="60"/>
      </w:pPr>
      <w:r>
        <w:t xml:space="preserve">Benchmarked: “about as much as [a comparable local industry]”</w:t>
      </w:r>
    </w:p>
    <w:p>
      <w:pPr>
        <w:spacing w:after="60"/>
      </w:pPr>
      <w:r>
        <w:rPr>
          <w:b/>
          <w:bCs/>
          <w:i/>
          <w:iCs/>
        </w:rPr>
        <w:t xml:space="preserve">Why ask this: </w:t>
      </w:r>
      <w:r>
        <w:rPr>
          <w:i/>
          <w:iCs/>
        </w:rPr>
        <w:t xml:space="preserve">Tests whether concern is driven by scale-free anchoring rather than the actual share. Masley's point that decontextualised comparisons are uninformative becomes a measurable framing effect.</w:t>
      </w:r>
    </w:p>
    <w:p>
      <w:pPr>
        <w:spacing w:after="60" w:before="100"/>
      </w:pPr>
      <w:r>
        <w:rPr>
          <w:b/>
          <w:bCs/>
        </w:rPr>
        <w:t xml:space="preserve">8e. Baseline environment attitudes (for correlation).</w:t>
      </w:r>
    </w:p>
    <w:p>
      <w:pPr>
        <w:spacing w:after="60"/>
      </w:pPr>
      <w:r>
        <w:t xml:space="preserve">“How worried are you about AI's impact on the environment, including its energy and water use?” [worry scale]</w:t>
      </w:r>
    </w:p>
    <w:p>
      <w:pPr>
        <w:spacing w:after="60"/>
      </w:pPr>
      <w:r>
        <w:t xml:space="preserve">“Should governments restrict where and how AI data centres can be built?” [support scale]</w:t>
      </w:r>
    </w:p>
    <w:p>
      <w:pPr>
        <w:spacing w:after="120"/>
      </w:pPr>
      <w:r>
        <w:rPr>
          <w:b/>
          <w:bCs/>
        </w:rPr>
        <w:t xml:space="preserve">Pre-registered predictions and disconfirmation. </w:t>
      </w:r>
      <w:r>
        <w:t xml:space="preserve">We register in advance: (i) Frame B support &gt; Frame A support (status-quo bias &gt; 0); (ii) AI-label penalty &gt; 0; (iii) the share and benchmark framings in 8d lower concern relative to the raw number. Disconfirmation is informative and will be reported: if the AI-label penalty is near zero and Frame A and Frame B agree, that is evidence the public's data-centre opposition is considered rather than biased, and we say so.</w:t>
      </w:r>
    </w:p>
    <w:p>
      <w:pPr>
        <w:pStyle w:val="Heading2"/>
      </w:pPr>
      <w:r>
        <w:t xml:space="preserve">Module 9. Individual differences  [Benjamin Reid’s requested measures — included in full]</w:t>
      </w:r>
    </w:p>
    <w:p>
      <w:pPr>
        <w:pStyle w:val="Heading3"/>
      </w:pPr>
      <w:r>
        <w:t xml:space="preserve">9a. Cognitive Reflection Test (CRT)</w:t>
      </w:r>
    </w:p>
    <w:p>
      <w:pPr>
        <w:spacing w:after="120"/>
      </w:pPr>
      <w:r>
        <w:t xml:space="preserve">Four items; intuitive-but-wrong answers in brackets are for scoring only and not shown to respondents.</w:t>
      </w:r>
    </w:p>
    <w:p>
      <w:pPr>
        <w:pStyle w:val="ListParagraph"/>
        <w:numPr>
          <w:ilvl w:val="0"/>
          <w:numId w:val="3"/>
        </w:numPr>
        <w:spacing w:after="60"/>
      </w:pPr>
      <w:r>
        <w:t xml:space="preserve">If John can drink one barrel of water in 6 days, and Mary in 12 days, how long would it take them together? ___ days. [correct 4; intuitive 9]</w:t>
      </w:r>
    </w:p>
    <w:p>
      <w:pPr>
        <w:pStyle w:val="ListParagraph"/>
        <w:numPr>
          <w:ilvl w:val="0"/>
          <w:numId w:val="3"/>
        </w:numPr>
        <w:spacing w:after="60"/>
      </w:pPr>
      <w:r>
        <w:t xml:space="preserve">Jerry received both the 15th highest and the 15th lowest mark in the class. How many students are in the class? ___ [correct 29; intuitive 30]</w:t>
      </w:r>
    </w:p>
    <w:p>
      <w:pPr>
        <w:pStyle w:val="ListParagraph"/>
        <w:numPr>
          <w:ilvl w:val="0"/>
          <w:numId w:val="3"/>
        </w:numPr>
        <w:spacing w:after="60"/>
      </w:pPr>
      <w:r>
        <w:t xml:space="preserve">A man buys a pig for $60, sells it for $70, buys it back for $80, and sells it for $90. How much has he made? $___ [correct $20; intuitive $10]</w:t>
      </w:r>
    </w:p>
    <w:p>
      <w:pPr>
        <w:pStyle w:val="ListParagraph"/>
        <w:numPr>
          <w:ilvl w:val="0"/>
          <w:numId w:val="3"/>
        </w:numPr>
        <w:spacing w:after="60"/>
      </w:pPr>
      <w:r>
        <w:t xml:space="preserve">Simon invested $8,000 in early 2008. By 17 July the stocks were down 50%. From 17 July to 17 October they rose 75%. At this point Simon has: (a) broken even, (b) is ahead, (c) has lost money. [correct c; intuitive b]</w:t>
      </w:r>
    </w:p>
    <w:p>
      <w:pPr>
        <w:spacing w:after="120"/>
      </w:pPr>
      <w:r>
        <w:rPr>
          <w:i/>
          <w:iCs/>
          <w:sz w:val="18"/>
          <w:szCs w:val="18"/>
        </w:rPr>
        <w:t xml:space="preserve">Source: Thomson &amp; Oppenheimer (2016), “Assessing miserly information processing: an expansion of the Cognitive Reflection Test,” Thinking &amp; Reasoning. (Item 1 from Frederick, 2005.)</w:t>
      </w:r>
    </w:p>
    <w:p>
      <w:pPr>
        <w:pStyle w:val="Heading3"/>
      </w:pPr>
      <w:r>
        <w:t xml:space="preserve">9b. Berlin Numeracy Test (risk literacy)</w:t>
      </w:r>
    </w:p>
    <w:p>
      <w:pPr>
        <w:spacing w:after="120"/>
      </w:pPr>
      <w:r>
        <w:t xml:space="preserve">The four-item adaptive Berlin Numeracy Test, scored 1–4, as the risk-literacy moderator. This is the measure used to test the reviewers’ “people can’t do probabilities” objection directly: if the high-numeracy subsample gives the same answers as the full sample, that objection is weakened.</w:t>
      </w:r>
    </w:p>
    <w:p>
      <w:pPr>
        <w:spacing w:after="120"/>
      </w:pPr>
      <w:r>
        <w:rPr>
          <w:i/>
          <w:iCs/>
          <w:sz w:val="18"/>
          <w:szCs w:val="18"/>
        </w:rPr>
        <w:t xml:space="preserve">Source: Cokely, Galesic, Schulz, Ghazal, &amp; Garcia-Retamero (2012), “Measuring risk literacy: the Berlin Numeracy Test,” Judgment and Decision Making, 7(1), 25–47.</w:t>
      </w:r>
    </w:p>
    <w:p>
      <w:pPr>
        <w:spacing w:after="120"/>
      </w:pPr>
      <w:r>
        <w:rPr>
          <w:i/>
          <w:iCs/>
          <w:color w:val="8B4513"/>
          <w:sz w:val="18"/>
          <w:szCs w:val="18"/>
        </w:rPr>
        <w:t xml:space="preserve">Note: Ben’s draft cited AI-chat links as validity evidence; replaced here with the primary source. Flagging so you can verify.</w:t>
      </w:r>
    </w:p>
    <w:p>
      <w:pPr>
        <w:pStyle w:val="Heading3"/>
      </w:pPr>
      <w:r>
        <w:t xml:space="preserve">9c. Political orientation</w:t>
      </w:r>
    </w:p>
    <w:p>
      <w:pPr>
        <w:spacing w:after="120"/>
      </w:pPr>
      <w:r>
        <w:t xml:space="preserve">In general, how would you describe your political views on a 7-point scale from Very Liberal (1) to Very Conservative (7), with Moderate/Centre as the midpoint?</w:t>
      </w:r>
    </w:p>
    <w:p>
      <w:pPr>
        <w:spacing w:after="120"/>
      </w:pPr>
      <w:r>
        <w:rPr>
          <w:i/>
          <w:iCs/>
          <w:sz w:val="18"/>
          <w:szCs w:val="18"/>
        </w:rPr>
        <w:t xml:space="preserve">Source: Jost (2006), “The end of the end of ideology,” American Psychologist, 61(7), 651–670.</w:t>
      </w:r>
    </w:p>
    <w:p>
      <w:pPr>
        <w:pStyle w:val="Heading3"/>
      </w:pPr>
      <w:r>
        <w:t xml:space="preserve">9d. AI familiarity</w:t>
      </w:r>
    </w:p>
    <w:p>
      <w:pPr>
        <w:spacing w:after="120"/>
      </w:pPr>
      <w:r>
        <w:t xml:space="preserve">In your personal life (work or studies), how often do you intentionally use AI tools, including generative AI? Never / A few times a year / Every few months / Monthly / Weekly / Daily.</w:t>
      </w:r>
    </w:p>
    <w:p>
      <w:pPr>
        <w:spacing w:after="120"/>
      </w:pPr>
      <w:r>
        <w:rPr>
          <w:i/>
          <w:iCs/>
          <w:sz w:val="18"/>
          <w:szCs w:val="18"/>
        </w:rPr>
        <w:t xml:space="preserve">Sources: Gillespie, Lockey, Ward, Macdade, &amp; Hassed (2025), Trust, attitudes and use of AI: a global study, University of Melbourne (item source); Hargittai (2005), Survey measures of web-oriented digital literacy, Social Science Computer Review, 23(3), 371–379 (proxy validity).</w:t>
      </w:r>
    </w:p>
    <w:p>
      <w:pPr>
        <w:pStyle w:val="Heading1"/>
        <w:pageBreakBefore/>
      </w:pPr>
      <w:r>
        <w:t xml:space="preserve">6. Quality control, pre-registration, and analysis plan</w:t>
      </w:r>
    </w:p>
    <w:p>
      <w:pPr>
        <w:pStyle w:val="Heading2"/>
      </w:pPr>
      <w:r>
        <w:t xml:space="preserve">Cognitive pre-test (new)</w:t>
      </w:r>
    </w:p>
    <w:p>
      <w:pPr>
        <w:spacing w:after="120"/>
      </w:pPr>
      <w:r>
        <w:t xml:space="preserve">Before launch, 8–10 cognitive interviews probe comprehension of the tolerability scale and, critically, whether respondents read “stricter than nuclear” as monotonic in risk (the Module 3 back-out depends on this). The existing 20-person timing pilot continues in parallel.</w:t>
      </w:r>
    </w:p>
    <w:p>
      <w:pPr>
        <w:pStyle w:val="Heading2"/>
      </w:pPr>
      <w:r>
        <w:t xml:space="preserve">Comprehension scoring</w:t>
      </w:r>
    </w:p>
    <w:p>
      <w:pPr>
        <w:pStyle w:val="ListParagraph"/>
        <w:numPr>
          <w:ilvl w:val="0"/>
          <w:numId w:val="3"/>
        </w:numPr>
        <w:spacing w:after="60"/>
      </w:pPr>
      <w:r>
        <w:t xml:space="preserve">Exclude failures of either attention check.</w:t>
      </w:r>
    </w:p>
    <w:p>
      <w:pPr>
        <w:pStyle w:val="ListParagraph"/>
        <w:numPr>
          <w:ilvl w:val="0"/>
          <w:numId w:val="3"/>
        </w:numPr>
        <w:spacing w:after="60"/>
      </w:pPr>
      <w:r>
        <w:t xml:space="preserve">Numerical consistency (item 7c): codes 2–4 = consistent; 1 and 5 flagged.</w:t>
      </w:r>
    </w:p>
    <w:p>
      <w:pPr>
        <w:pStyle w:val="ListParagraph"/>
        <w:numPr>
          <w:ilvl w:val="0"/>
          <w:numId w:val="3"/>
        </w:numPr>
        <w:spacing w:after="60"/>
      </w:pPr>
      <w:r>
        <w:t xml:space="preserve">Berlin Numeracy (risk literacy) retained as a moderator, not an exclusion. It is the moderator in the within-subjects scope-sensitivity analysis (Benjamin Reid's thesis): do more risk-literate respondents show steeper scope sensitivity?</w:t>
      </w:r>
    </w:p>
    <w:p>
      <w:pPr>
        <w:pStyle w:val="Heading2"/>
      </w:pPr>
      <w:r>
        <w:t xml:space="preserve">Primary analysis</w:t>
      </w:r>
    </w:p>
    <w:p>
      <w:pPr>
        <w:pStyle w:val="ListParagraph"/>
        <w:numPr>
          <w:ilvl w:val="0"/>
          <w:numId w:val="3"/>
        </w:numPr>
        <w:spacing w:after="60"/>
      </w:pPr>
      <w:r>
        <w:t xml:space="preserve">Goal 1 (status quo): proportion judging each developer/forecaster risk level Intolerable or Unacceptable, by source and overall.</w:t>
      </w:r>
    </w:p>
    <w:p>
      <w:pPr>
        <w:pStyle w:val="ListParagraph"/>
        <w:numPr>
          <w:ilvl w:val="0"/>
          <w:numId w:val="3"/>
        </w:numPr>
        <w:spacing w:after="60"/>
      </w:pPr>
      <w:r>
        <w:t xml:space="preserve">Goal 2 (expected standard): distribution of expected stringency relative to each comparator, plus the implied F–N band from the back-out.</w:t>
      </w:r>
    </w:p>
    <w:p>
      <w:pPr>
        <w:pStyle w:val="ListParagraph"/>
        <w:numPr>
          <w:ilvl w:val="0"/>
          <w:numId w:val="3"/>
        </w:numPr>
        <w:spacing w:after="60"/>
      </w:pPr>
      <w:r>
        <w:t xml:space="preserve">Median acceptable risk by harm class from Module 4, reported as validation of Goals 1–2 rather than as the headline.</w:t>
      </w:r>
    </w:p>
    <w:p>
      <w:pPr>
        <w:pStyle w:val="Heading2"/>
      </w:pPr>
      <w:r>
        <w:t xml:space="preserve">Pre-registered robustness checks</w:t>
      </w:r>
    </w:p>
    <w:p>
      <w:pPr>
        <w:pStyle w:val="ListParagraph"/>
        <w:numPr>
          <w:ilvl w:val="0"/>
          <w:numId w:val="3"/>
        </w:numPr>
        <w:spacing w:after="60"/>
      </w:pPr>
      <w:r>
        <w:t xml:space="preserve">Counter-message effect: shift in tolerance across Arms A/B/C.</w:t>
      </w:r>
    </w:p>
    <w:p>
      <w:pPr>
        <w:pStyle w:val="ListParagraph"/>
        <w:numPr>
          <w:ilvl w:val="0"/>
          <w:numId w:val="3"/>
        </w:numPr>
        <w:spacing w:after="60"/>
      </w:pPr>
      <w:r>
        <w:t xml:space="preserve">Numeracy moderation: primaries repeated within the top numeracy tercile.</w:t>
      </w:r>
    </w:p>
    <w:p>
      <w:pPr>
        <w:pStyle w:val="ListParagraph"/>
        <w:numPr>
          <w:ilvl w:val="0"/>
          <w:numId w:val="3"/>
        </w:numPr>
        <w:spacing w:after="60"/>
      </w:pPr>
      <w:r>
        <w:t xml:space="preserve">Scope sensitivity (within subjects): estimate each respondent's tolerability slope across probability and across severity, report the distribution, and test the pre-registered risk-literacy × scope-sensitivity interaction (Benjamin Reid's thesis). Cross-check within-subjects slopes against the between-subjects pattern to flag demand-driven consistency.</w:t>
      </w:r>
    </w:p>
    <w:p>
      <w:pPr>
        <w:pStyle w:val="ListParagraph"/>
        <w:numPr>
          <w:ilvl w:val="0"/>
          <w:numId w:val="3"/>
        </w:numPr>
        <w:spacing w:after="60"/>
      </w:pPr>
      <w:r>
        <w:t xml:space="preserve">Convergence across Modules 2, 3, and 4 (do the three modes agree?).</w:t>
      </w:r>
    </w:p>
    <w:p>
      <w:pPr>
        <w:pStyle w:val="Heading2"/>
      </w:pPr>
      <w:r>
        <w:t xml:space="preserve">Experiments and their analyses</w:t>
      </w:r>
    </w:p>
    <w:p>
      <w:pPr>
        <w:pStyle w:val="ListParagraph"/>
        <w:numPr>
          <w:ilvl w:val="0"/>
          <w:numId w:val="3"/>
        </w:numPr>
        <w:spacing w:after="60"/>
      </w:pPr>
      <w:r>
        <w:t xml:space="preserve">DCE (4a): mixed logit / hierarchical Bayes recovers the acceptable annual risk (where deploy-utility equals opt-out-utility) and willingness-to-pay; per-respondent posteriors feed the risk-literacy × scope interaction. Report the tolerance as a distribution with credible intervals, by benefit scenario.</w:t>
      </w:r>
    </w:p>
    <w:p>
      <w:pPr>
        <w:pStyle w:val="ListParagraph"/>
        <w:numPr>
          <w:ilvl w:val="0"/>
          <w:numId w:val="3"/>
        </w:numPr>
        <w:spacing w:after="60"/>
      </w:pPr>
      <w:r>
        <w:t xml:space="preserve">Convergence go/no-go: in the overlap subsample (completes 4a and 4c, randomised order), test whether the DCE and direct F–N tolerances agree within an order of magnitude. Pass = report the number; fail = report a bound plus the qualitative finding. Decided by the pre-registered rule.</w:t>
      </w:r>
    </w:p>
    <w:p>
      <w:pPr>
        <w:pStyle w:val="ListParagraph"/>
        <w:numPr>
          <w:ilvl w:val="0"/>
          <w:numId w:val="3"/>
        </w:numPr>
        <w:spacing w:after="60"/>
      </w:pPr>
      <w:r>
        <w:t xml:space="preserve">Multiplier: only if the go/no-go passes, compute expert-÷-public with uncertainty propagated from both, conditioned on a stated benefit scenario; never from the Module 3 back-out.</w:t>
      </w:r>
    </w:p>
    <w:p>
      <w:pPr>
        <w:pStyle w:val="ListParagraph"/>
        <w:numPr>
          <w:ilvl w:val="0"/>
          <w:numId w:val="3"/>
        </w:numPr>
        <w:spacing w:after="60"/>
      </w:pPr>
      <w:r>
        <w:t xml:space="preserve">Consistency and stability: dominated-option pass rate; test–retest correlation in the recontact subsample; multi-format (%, 1-in-X, per-year) agreement.</w:t>
      </w:r>
    </w:p>
    <w:p>
      <w:pPr>
        <w:pStyle w:val="ListParagraph"/>
        <w:numPr>
          <w:ilvl w:val="0"/>
          <w:numId w:val="3"/>
        </w:numPr>
        <w:spacing w:after="60"/>
      </w:pPr>
      <w:r>
        <w:t xml:space="preserve">Counter-message (7a): tolerability regressed on message arm; the swing is a primary outcome, not a footnote.</w:t>
      </w:r>
    </w:p>
    <w:p>
      <w:pPr>
        <w:pStyle w:val="ListParagraph"/>
        <w:numPr>
          <w:ilvl w:val="0"/>
          <w:numId w:val="3"/>
        </w:numPr>
        <w:spacing w:after="60"/>
      </w:pPr>
      <w:r>
        <w:t xml:space="preserve">Superintelligence wording (7d): Stem A versus Stem B; the gap is the reported wording effect.</w:t>
      </w:r>
    </w:p>
    <w:p>
      <w:pPr>
        <w:pStyle w:val="ListParagraph"/>
        <w:numPr>
          <w:ilvl w:val="0"/>
          <w:numId w:val="3"/>
        </w:numPr>
        <w:spacing w:after="60"/>
      </w:pPr>
      <w:r>
        <w:t xml:space="preserve">Status-quo reversal (8a): support regressed on frame; Frame B minus Frame A is the status-quo-bias estimate.</w:t>
      </w:r>
    </w:p>
    <w:p>
      <w:pPr>
        <w:pStyle w:val="ListParagraph"/>
        <w:numPr>
          <w:ilvl w:val="0"/>
          <w:numId w:val="3"/>
        </w:numPr>
        <w:spacing w:after="60"/>
      </w:pPr>
      <w:r>
        <w:t xml:space="preserve">AI-label conjoint (8c): average marginal component effect of the “AI” label, net of all attributes; the AI-minus-generic contrast is the headline.</w:t>
      </w:r>
    </w:p>
    <w:p>
      <w:pPr>
        <w:pStyle w:val="ListParagraph"/>
        <w:numPr>
          <w:ilvl w:val="0"/>
          <w:numId w:val="3"/>
        </w:numPr>
        <w:spacing w:after="60"/>
      </w:pPr>
      <w:r>
        <w:t xml:space="preserve">Comparison-quality (8d): concern by presentation format (raw / share / benchmark).</w:t>
      </w:r>
    </w:p>
    <w:p>
      <w:pPr>
        <w:pStyle w:val="Heading2"/>
      </w:pPr>
      <w:r>
        <w:t xml:space="preserve">Pre-registration and open science</w:t>
      </w:r>
    </w:p>
    <w:p>
      <w:pPr>
        <w:pStyle w:val="ListParagraph"/>
        <w:numPr>
          <w:ilvl w:val="0"/>
          <w:numId w:val="3"/>
        </w:numPr>
        <w:spacing w:after="60"/>
      </w:pPr>
      <w:r>
        <w:t xml:space="preserve">Pre-register on OSF before launch: primary outcomes, exclusion rules, subgroups, and an explicit disconfirmation list (results that would cut against the project's own hypotheses, on both the catastrophe and the data-centre sides).</w:t>
      </w:r>
    </w:p>
    <w:p>
      <w:pPr>
        <w:pStyle w:val="ListParagraph"/>
        <w:numPr>
          <w:ilvl w:val="0"/>
          <w:numId w:val="3"/>
        </w:numPr>
        <w:spacing w:after="60"/>
      </w:pPr>
      <w:r>
        <w:t xml:space="preserve">Publish the instrument, raw data, weighting syntax, and analysis code; the report follows the registered template; every deviation from pre-registration is logged in the open.</w:t>
      </w:r>
    </w:p>
    <w:p>
      <w:pPr>
        <w:pStyle w:val="Heading2"/>
      </w:pPr>
      <w:r>
        <w:t xml:space="preserve">Adversarial review (the strongest credibility move)</w:t>
      </w:r>
    </w:p>
    <w:p>
      <w:pPr>
        <w:pStyle w:val="ListParagraph"/>
        <w:numPr>
          <w:ilvl w:val="0"/>
          <w:numId w:val="3"/>
        </w:numPr>
        <w:spacing w:after="60"/>
      </w:pPr>
      <w:r>
        <w:t xml:space="preserve">Before launch, invite a regulation-skeptic (a Ball-type reader) and a data-centre / environment skeptic to review the instrument, and publish their unedited critiques alongside the results, exactly as the Round-1 comments are archived. A project with an advocacy theory of change earns trust mainly by letting its critics mark its work in public.</w:t>
      </w:r>
    </w:p>
    <w:p>
      <w:pPr>
        <w:pStyle w:val="Heading2"/>
      </w:pPr>
      <w:r>
        <w:t xml:space="preserve">Sampling, weighting, and state-level claims (MRP)</w:t>
      </w:r>
    </w:p>
    <w:p>
      <w:pPr>
        <w:pStyle w:val="ListParagraph"/>
        <w:numPr>
          <w:ilvl w:val="0"/>
          <w:numId w:val="3"/>
        </w:numPr>
        <w:spacing w:after="60"/>
      </w:pPr>
      <w:r>
        <w:t xml:space="preserve">Power analysis for every experimental contrast, with the smallest effect we care to detect fixed in advance. For the DCE, run a choice-tasks × respondents-per-cell power analysis for the mixed-logit model and oversample the risk module relative to 2025; size the overlap subsample for the convergence test.</w:t>
      </w:r>
    </w:p>
    <w:p>
      <w:pPr>
        <w:pStyle w:val="ListParagraph"/>
        <w:numPr>
          <w:ilvl w:val="0"/>
          <w:numId w:val="3"/>
        </w:numPr>
        <w:spacing w:after="60"/>
      </w:pPr>
      <w:r>
        <w:t xml:space="preserve">MRP estimates validated by posterior predictive checks and leave-one-state-out cross-validation.</w:t>
      </w:r>
    </w:p>
    <w:p>
      <w:pPr>
        <w:pStyle w:val="ListParagraph"/>
        <w:numPr>
          <w:ilvl w:val="0"/>
          <w:numId w:val="3"/>
        </w:numPr>
        <w:spacing w:after="60"/>
      </w:pPr>
      <w:r>
        <w:t xml:space="preserve">No state-level map is published unless the effective sample per state clears the pre-registered threshold; otherwise results are reported at the national or regional level only.</w:t>
      </w:r>
    </w:p>
    <w:p>
      <w:pPr>
        <w:pStyle w:val="Heading2"/>
      </w:pPr>
      <w:r>
        <w:t xml:space="preserve">Multiverse / specification-curve</w:t>
      </w:r>
    </w:p>
    <w:p>
      <w:pPr>
        <w:pStyle w:val="ListParagraph"/>
        <w:numPr>
          <w:ilvl w:val="0"/>
          <w:numId w:val="3"/>
        </w:numPr>
        <w:spacing w:after="60"/>
      </w:pPr>
      <w:r>
        <w:t xml:space="preserve">For the back-out and the threshold estimates, report the full distribution of results across all defensible analytic choices, rather than a single specification that could be cherry-picked.</w:t>
      </w:r>
    </w:p>
    <w:p>
      <w:pPr>
        <w:pStyle w:val="Heading2"/>
      </w:pPr>
      <w:r>
        <w:t xml:space="preserve">Reporting rules  [v4, per Gradient Institute]</w:t>
      </w:r>
    </w:p>
    <w:p>
      <w:pPr>
        <w:pStyle w:val="ListParagraph"/>
        <w:numPr>
          <w:ilvl w:val="0"/>
          <w:numId w:val="3"/>
        </w:numPr>
        <w:spacing w:after="60"/>
      </w:pPr>
      <w:r>
        <w:t xml:space="preserve">Conditional means conditional. Any result from a conditional item is reported with its condition stated verbatim. We do not write “X% support waiting 10 years”; we write “conditional on a 5%→1% risk reduction, X% judged a 10-year delay worthwhile”. Unconditional support (5b(i)) is reported separately.</w:t>
      </w:r>
    </w:p>
    <w:p>
      <w:pPr>
        <w:pStyle w:val="ListParagraph"/>
        <w:numPr>
          <w:ilvl w:val="0"/>
          <w:numId w:val="3"/>
        </w:numPr>
        <w:spacing w:after="60"/>
      </w:pPr>
      <w:r>
        <w:t xml:space="preserve">No manufactured multipliers. Qualitative standard-comparisons (Module 3) are reported qualitatively. We do not collide them with expert estimates to claim the public wants AI “N times safer”.</w:t>
      </w:r>
    </w:p>
    <w:p>
      <w:pPr>
        <w:pStyle w:val="ListParagraph"/>
        <w:numPr>
          <w:ilvl w:val="0"/>
          <w:numId w:val="3"/>
        </w:numPr>
        <w:spacing w:after="60"/>
      </w:pPr>
      <w:r>
        <w:t xml:space="preserve">Cluster discipline. Cluster A attitudes and Cluster B tolerances are reported under separate headings, and Cluster B numbers are presented as ordinal judgements unless the consistency and convergence checks support more.</w:t>
      </w:r>
    </w:p>
    <w:p>
      <w:pPr>
        <w:pStyle w:val="ListParagraph"/>
        <w:numPr>
          <w:ilvl w:val="0"/>
          <w:numId w:val="3"/>
        </w:numPr>
        <w:spacing w:after="60"/>
      </w:pPr>
      <w:r>
        <w:t xml:space="preserve">Informed over snap. Where informed and uninformed respondents (information-provision experiment) diverge, the informed estimate is the headline and the gap is reported.</w:t>
      </w:r>
    </w:p>
    <w:p>
      <w:pPr>
        <w:pStyle w:val="Heading2"/>
      </w:pPr>
      <w:r>
        <w:t xml:space="preserve">A deliberative complement (recommended Phase 2)  [per Gradient Institute]</w:t>
      </w:r>
    </w:p>
    <w:p>
      <w:pPr>
        <w:spacing w:after="120"/>
      </w:pPr>
      <w:r>
        <w:t xml:space="preserve">Gradient is right that a one-shot poll is a weak instrument for </w:t>
      </w:r>
      <w:r>
        <w:rPr>
          <w:i/>
          <w:iCs/>
        </w:rPr>
        <w:t xml:space="preserve">considered</w:t>
      </w:r>
      <w:r>
        <w:t xml:space="preserve"> risk-tolerance judgements. We recommend a Phase 2 deliberative mini-public: a smaller representative panel that receives briefing materials and balanced expert input, undergoes calibration training and consistency checks, and deliberates before judging. The poll and the mini-public answer different questions (population-level distribution versus considered judgement) and are complementary; neither replaces the other. The information-provision and calibration elements above import some of this rigour into the poll itself, at a fraction of the cost.</w:t>
      </w:r>
    </w:p>
    <w:p>
      <w:pPr>
        <w:pStyle w:val="Heading2"/>
      </w:pPr>
      <w:r>
        <w:t xml:space="preserve">Limitations (stated up front)</w:t>
      </w:r>
    </w:p>
    <w:p>
      <w:pPr>
        <w:spacing w:after="120"/>
      </w:pPr>
      <w:r>
        <w:t xml:space="preserve">Stated tolerances may be non-attitudes that respondents would not act on, and AI risk is not yet salient enough to drive behaviour (OD#6). We therefore lead with the robust gap between developers’ own stated risk and public tolerance, and report the counter-message sensitivity honestly rather than burying it.</w:t>
      </w:r>
    </w:p>
    <w:p>
      <w:pPr>
        <w:pStyle w:val="Heading1"/>
        <w:pageBreakBefore/>
      </w:pPr>
      <w:r>
        <w:t xml:space="preserve">7. Dumpster: considered but not asking</w:t>
      </w:r>
    </w:p>
    <w:p>
      <w:pPr>
        <w:spacing w:after="120"/>
      </w:pPr>
      <w:r>
        <w:t xml:space="preserve">Items we drafted or inherited and decided against, with the reason, so the decision is not relitigated and is recoverable if we change our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6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Why it’s in the dumpster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Icon arrays for probabilities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Appear to bias judgements upward rather than improve accuracy. Kept on file in case a future methods study wants them.</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Societal-risk verbal anchors (“1 in 100 is the chance of a pandemic”)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Confused Australian respondents in 2024/25; introduced more noise than intuition. Replaced by familiar-technology comparators (Module 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Micromorts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Unsure they are sufficiently well validated or intuitive for a general US sample.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residual risk” preamble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Primes acceptance and imports a “haggling over the last order of magnitude” frame that is wrong for AI (PB#8). Kept in methods rationale only.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Off-the-shelf scales: AIAS-4, GAAIS, GRIPS, DOSPERT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Measure general attitudes or trait risk propensity, not tolerance of specific AI risks; cannot inform F–N construction; a “DOSPERT-AI” is unvalidated and would balloon length.</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Risk–benefit catastrophe trade (“0.01–10% chance of global catastrophe but 60% chance of solving climate change”, AU v1)</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Superseded by the cleaner costed tradeoffs in Module 5; the compound framing was hard to interpret.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Financial-loss F–N ladder (bankruptcies)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Held back to limit length; the death-based ladder is the priority. Revisit if room remains.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 “do you support SB 53 / the RAISE Act” items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Read as advocacy to good-faith actors; we ask the underlying values question instead and map to the statutes in analysis.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Explicit support-for-superintelligence-law item linked to a campaign site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Kept only as the neutrally worded Module 7d statement with randomised preamble; the campaign-branded version is dropped.</w:t>
            </w:r>
          </w:p>
        </w:tc>
      </w:tr>
    </w:tbl>
    <w:p>
      <w:pPr>
        <w:pStyle w:val="Heading1"/>
      </w:pPr>
      <w:r>
        <w:t xml:space="preserve">8. Provenance and archived materials</w:t>
      </w:r>
    </w:p>
    <w:p>
      <w:pPr>
        <w:pStyle w:val="ListParagraph"/>
        <w:numPr>
          <w:ilvl w:val="0"/>
          <w:numId w:val="3"/>
        </w:numPr>
        <w:spacing w:after="60"/>
      </w:pPr>
      <w:r>
        <w:t xml:space="preserve">Supersedes v4.1, v4, v3, and v2, all of which remain in this folder.</w:t>
      </w:r>
    </w:p>
    <w:p>
      <w:pPr>
        <w:pStyle w:val="ListParagraph"/>
        <w:numPr>
          <w:ilvl w:val="0"/>
          <w:numId w:val="3"/>
        </w:numPr>
        <w:spacing w:after="60"/>
      </w:pPr>
      <w:r>
        <w:t xml:space="preserve">v4 actions Gradient Institute feedback on the Australian SARA 2025 report: Liam Carroll, Alistair Reid, and Tiberio Caetano, email of 24 November 2025.</w:t>
      </w:r>
    </w:p>
    <w:p>
      <w:pPr>
        <w:pStyle w:val="ListParagraph"/>
        <w:numPr>
          <w:ilvl w:val="0"/>
          <w:numId w:val="3"/>
        </w:numPr>
        <w:spacing w:after="60"/>
      </w:pPr>
      <w:r>
        <w:t xml:space="preserve">v5 Module 4 follows the elicitation brief “Eliciting the Public Number — Acceptable Risk Tolerance for Advanced AI”, and pairs the DCE with Benjamin Reid's within-subjects scope instrument (4c).</w:t>
      </w:r>
    </w:p>
    <w:p>
      <w:pPr>
        <w:pStyle w:val="ListParagraph"/>
        <w:numPr>
          <w:ilvl w:val="0"/>
          <w:numId w:val="3"/>
        </w:numPr>
        <w:spacing w:after="60"/>
      </w:pPr>
      <w:r>
        <w:t xml:space="preserve">Archived Round-1 draft with its 25 original comments: “[ARCHIVED 2025-11] MIT AIRI briefing - Survey - original 25 comments.docx” (2026 USA folder). Untouched.</w:t>
      </w:r>
    </w:p>
    <w:p>
      <w:pPr>
        <w:pStyle w:val="ListParagraph"/>
        <w:numPr>
          <w:ilvl w:val="0"/>
          <w:numId w:val="3"/>
        </w:numPr>
        <w:spacing w:after="60"/>
      </w:pPr>
      <w:r>
        <w:t xml:space="preserve">Most similar prior instrument: the Risk Tolerance section of the Australian SARA 2025 Working Draft.</w:t>
      </w:r>
    </w:p>
    <w:p>
      <w:pPr>
        <w:pStyle w:val="ListParagraph"/>
        <w:numPr>
          <w:ilvl w:val="0"/>
          <w:numId w:val="3"/>
        </w:numPr>
        <w:spacing w:after="60"/>
      </w:pPr>
      <w:r>
        <w:t xml:space="preserve">Added measures sourced from Benjamin Reid, “Additional Questions for SARA.docx.”</w:t>
      </w:r>
    </w:p>
    <w:p>
      <w:pPr>
        <w:pStyle w:val="ListParagraph"/>
        <w:numPr>
          <w:ilvl w:val="0"/>
          <w:numId w:val="3"/>
        </w:numPr>
        <w:spacing w:after="60"/>
      </w:pPr>
      <w:r>
        <w:t xml:space="preserve">Round-1 reviewer feedback: Peter Barnett and Oscar Delaney (Dec 2025). The v3 “skeptical reviewer” is a reconstruction of the regulation-skeptical critique a reader like Dean Ball would bring, not a quotation.</w:t>
      </w:r>
    </w:p>
    <w:p>
      <w:pPr>
        <w:pStyle w:val="ListParagraph"/>
        <w:numPr>
          <w:ilvl w:val="0"/>
          <w:numId w:val="3"/>
        </w:numPr>
        <w:spacing w:after="60"/>
      </w:pPr>
      <w:r>
        <w:t xml:space="preserve">Environment module after Andy Masley, “A simple trick to fix the data center debate,” blog.andymasley.com (June 2026); his offset estimates are contested and are treated as framings to test, not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SARA USA — Protocol v5 (DCE-based risk-tolerance 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 USA Survey Protocol v5</dc:title>
  <dc:creator>Michael Noetel</dc:creator>
  <cp:lastModifiedBy>Un-named</cp:lastModifiedBy>
  <cp:revision>1</cp:revision>
  <dcterms:created xsi:type="dcterms:W3CDTF">2026-06-17T04:37:39.438Z</dcterms:created>
  <dcterms:modified xsi:type="dcterms:W3CDTF">2026-06-17T04:37:39.438Z</dcterms:modified>
</cp:coreProperties>
</file>

<file path=docProps/custom.xml><?xml version="1.0" encoding="utf-8"?>
<Properties xmlns="http://schemas.openxmlformats.org/officeDocument/2006/custom-properties" xmlns:vt="http://schemas.openxmlformats.org/officeDocument/2006/docPropsVTypes"/>
</file>