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3c96023f849c8983ffdd02a2df40b105ecd1eb8"/>
    <w:p>
      <w:pPr>
        <w:pStyle w:val="Heading1"/>
      </w:pPr>
      <w:r>
        <w:t xml:space="preserve">HAWK-EYE Phoenix — техническая спецификация</w:t>
      </w:r>
    </w:p>
    <w:p>
      <w:pPr>
        <w:pStyle w:val="FirstParagraph"/>
      </w:pPr>
      <w:r>
        <w:t xml:space="preserve">Черновик. Документ для разработки: здесь фиксируются технические решения. Что и когда получает заказчик — в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.</w:t>
      </w:r>
    </w:p>
    <w:p>
      <w:pPr>
        <w:pStyle w:val="BodyText"/>
      </w:pPr>
      <w:r>
        <w:t xml:space="preserve">Статусы пунктов:</w:t>
      </w:r>
      <w:r>
        <w:t xml:space="preserve"> </w:t>
      </w:r>
      <w:r>
        <w:rPr>
          <w:b/>
          <w:bCs/>
        </w:rPr>
        <w:t xml:space="preserve">Решено</w:t>
      </w:r>
      <w:r>
        <w:t xml:space="preserve"> </w:t>
      </w:r>
      <w:r>
        <w:t xml:space="preserve">— утверждено;</w:t>
      </w:r>
      <w:r>
        <w:t xml:space="preserve"> </w:t>
      </w:r>
      <w:r>
        <w:rPr>
          <w:b/>
          <w:bCs/>
        </w:rPr>
        <w:t xml:space="preserve">Предложение</w:t>
      </w:r>
      <w:r>
        <w:t xml:space="preserve"> </w:t>
      </w:r>
      <w:r>
        <w:t xml:space="preserve">— ещё не утверждено;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— нужно решение.</w:t>
      </w:r>
    </w:p>
    <w:bookmarkStart w:id="20" w:name="архитектура"/>
    <w:p>
      <w:pPr>
        <w:pStyle w:val="Heading2"/>
      </w:pPr>
      <w:r>
        <w:t xml:space="preserve">1. Архитектура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Одно приложение Spring Boot: веб-интерфейс и работа с прибором (опрос, сбор данных, выполнение последовательностей) — в одном процессе. В старой версии это два процесса (</w:t>
      </w:r>
      <w:r>
        <w:rPr>
          <w:rStyle w:val="VerbatimChar"/>
        </w:rPr>
        <w:t xml:space="preserve">vdbMain.exe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vdbMainService.exe</w:t>
      </w:r>
      <w:r>
        <w:t xml:space="preserve">), которые общаются через таблицу</w:t>
      </w:r>
      <w:r>
        <w:t xml:space="preserve"> </w:t>
      </w:r>
      <w:r>
        <w:rPr>
          <w:rStyle w:val="VerbatimChar"/>
        </w:rPr>
        <w:t xml:space="preserve">cmd_queue</w:t>
      </w:r>
      <w:r>
        <w:t xml:space="preserve"> </w:t>
      </w:r>
      <w:r>
        <w:t xml:space="preserve">в БД; в новой версии этого разделения нет.</w:t>
      </w:r>
    </w:p>
    <w:p>
      <w:pPr>
        <w:pStyle w:val="BodyText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Инструмент миграции данных — отдельная программа, которую запускает оператор (не часть веб-приложения).</w:t>
      </w:r>
    </w:p>
    <w:p>
      <w:pPr>
        <w:pStyle w:val="BodyText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Пользователи и авторизация.</w:t>
      </w:r>
      <w:r>
        <w:t xml:space="preserve"> </w:t>
      </w:r>
      <w:r>
        <w:t xml:space="preserve">- Система пользователей закладывается с версии 0.1: учётные записи хранятся в БД, приложение с самого начала работает с текущим пользователем.</w:t>
      </w:r>
      <w:r>
        <w:t xml:space="preserve"> </w:t>
      </w:r>
      <w:r>
        <w:t xml:space="preserve">- По умолчанию авторизация — anonymous: вход без логина и пароля, все работают как анонимный пользователь.</w:t>
      </w:r>
      <w:r>
        <w:t xml:space="preserve"> </w:t>
      </w:r>
      <w:r>
        <w:t xml:space="preserve">- Вход по логину и паролю — в версии 1.0; включается в настройках, по умолчанию выключен.</w:t>
      </w:r>
    </w:p>
    <w:p>
      <w:pPr>
        <w:pStyle w:val="BodyText"/>
      </w:pPr>
      <w:r>
        <w:rPr>
          <w:b/>
          <w:bCs/>
        </w:rPr>
        <w:t xml:space="preserve">Предложение.</w:t>
      </w:r>
      <w:r>
        <w:t xml:space="preserve"> </w:t>
      </w:r>
      <w:r>
        <w:t xml:space="preserve">Spring Security с первой версии; anonymous-режим — его штатная анонимная аутентификация, поэтому включение входа в 1.0 не меняет контроллеры и шаблоны.</w:t>
      </w:r>
    </w:p>
    <w:p>
      <w:pPr>
        <w:pStyle w:val="BodyText"/>
      </w:pPr>
      <w:r>
        <w:rPr>
          <w:b/>
          <w:bCs/>
        </w:rPr>
        <w:t xml:space="preserve">Предложение.</w:t>
      </w:r>
      <w:r>
        <w:t xml:space="preserve"> </w:t>
      </w:r>
      <w:r>
        <w:t xml:space="preserve">Модули приложения (Java-пакеты):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Клиент Sparx API, драйверы узлов прибора, опрос состояния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acquisition</w:t>
            </w:r>
          </w:p>
        </w:tc>
        <w:tc>
          <w:tcPr/>
          <w:p>
            <w:pPr>
              <w:pStyle w:val="Compact"/>
            </w:pPr>
            <w:r>
              <w:t xml:space="preserve">Выполнение методов и последовательностей, сбор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Буфер живых данных в памяти, рассылка по 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Сущности, репозитории, доступ к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Калибровка, расчёты, контроль качества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Генерация отчётов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Контроллеры, шаблоны Thymeleaf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Отдельная программа переноса данных из MSSQL</w:t>
            </w:r>
          </w:p>
        </w:tc>
      </w:tr>
    </w:tbl>
    <w:bookmarkEnd w:id="20"/>
    <w:bookmarkStart w:id="21" w:name="технологический-стек"/>
    <w:p>
      <w:pPr>
        <w:pStyle w:val="Heading2"/>
      </w:pPr>
      <w:r>
        <w:t xml:space="preserve">2. Технологический стек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Выбор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Язык и платформа</w:t>
            </w:r>
          </w:p>
        </w:tc>
        <w:tc>
          <w:tcPr/>
          <w:p>
            <w:pPr>
              <w:pStyle w:val="Compact"/>
            </w:pPr>
            <w:r>
              <w:t xml:space="preserve">Java 25 LTS; переход на Java 29 LTS (сентябрь 2027) — до выпуска 1.0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Каркас</w:t>
            </w:r>
          </w:p>
        </w:tc>
        <w:tc>
          <w:tcPr/>
          <w:p>
            <w:pPr>
              <w:pStyle w:val="Compact"/>
            </w:pPr>
            <w:r>
              <w:t xml:space="preserve">Spring Boot, embedded Tomcat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Шаблоны</w:t>
            </w:r>
          </w:p>
        </w:tc>
        <w:tc>
          <w:tcPr/>
          <w:p>
            <w:pPr>
              <w:pStyle w:val="Compact"/>
            </w:pPr>
            <w:r>
              <w:t xml:space="preserve">Thymeleaf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Частичное обновление страниц</w:t>
            </w:r>
          </w:p>
        </w:tc>
        <w:tc>
          <w:tcPr/>
          <w:p>
            <w:pPr>
              <w:pStyle w:val="Compact"/>
            </w:pPr>
            <w:r>
              <w:t xml:space="preserve">htmx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Живые данные</w:t>
            </w:r>
          </w:p>
        </w:tc>
        <w:tc>
          <w:tcPr/>
          <w:p>
            <w:pPr>
              <w:pStyle w:val="Compact"/>
            </w:pPr>
            <w:r>
              <w:t xml:space="preserve">Server-Sent Events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Компоненты интерфейса</w:t>
            </w:r>
          </w:p>
        </w:tc>
        <w:tc>
          <w:tcPr/>
          <w:p>
            <w:pPr>
              <w:pStyle w:val="Compact"/>
            </w:pPr>
            <w:r>
              <w:t xml:space="preserve">Bootstrap 5.3, Tom Select, Bootstrap Icons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Графики</w:t>
            </w:r>
          </w:p>
        </w:tc>
        <w:tc>
          <w:tcPr/>
          <w:p>
            <w:pPr>
              <w:pStyle w:val="Compact"/>
            </w:pPr>
            <w:r>
              <w:t xml:space="preserve">Chart.js — все графики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Таблица образцов</w:t>
            </w:r>
          </w:p>
        </w:tc>
        <w:tc>
          <w:tcPr/>
          <w:p>
            <w:pPr>
              <w:pStyle w:val="Compact"/>
            </w:pPr>
            <w:r>
              <w:t xml:space="preserve">Tabulator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Свои компоненты</w:t>
            </w:r>
          </w:p>
        </w:tc>
        <w:tc>
          <w:tcPr/>
          <w:p>
            <w:pPr>
              <w:pStyle w:val="Compact"/>
            </w:pPr>
            <w:r>
              <w:t xml:space="preserve">Веб-компоненты (custom elements) на TypeScript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Сборка фронтенда</w:t>
            </w:r>
          </w:p>
        </w:tc>
        <w:tc>
          <w:tcPr/>
          <w:p>
            <w:pPr>
              <w:pStyle w:val="Compact"/>
            </w:pPr>
            <w:r>
              <w:t xml:space="preserve">Vite, Sass, npm, frontend-maven-plugin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</w:pPr>
            <w:r>
              <w:t xml:space="preserve">PostgreSQL 18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Обновление структуры БД</w:t>
            </w:r>
          </w:p>
        </w:tc>
        <w:tc>
          <w:tcPr/>
          <w:p>
            <w:pPr>
              <w:pStyle w:val="Compact"/>
            </w:pPr>
            <w:r>
              <w:t xml:space="preserve">Liquibase (раздел 8.4)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Сборка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версий</w:t>
            </w:r>
          </w:p>
        </w:tc>
        <w:tc>
          <w:tcPr/>
          <w:p>
            <w:pPr>
              <w:pStyle w:val="Compact"/>
            </w:pPr>
            <w:r>
              <w:t xml:space="preserve">git, хостинг — GitHub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https://github.com/mnogono/hawk-eye.git</w:t>
            </w:r>
            <w:r>
              <w:t xml:space="preserve"> </w:t>
            </w:r>
            <w:r>
              <w:t xml:space="preserve">(раздел 12)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Целевая ОС</w:t>
            </w:r>
          </w:p>
        </w:tc>
        <w:tc>
          <w:tcPr/>
          <w:p>
            <w:pPr>
              <w:pStyle w:val="Compact"/>
            </w:pPr>
            <w:r>
              <w:t xml:space="preserve">Windows; Linux не собираем и не тестируем, но не закрываем (раздел 11.1)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Установщик</w:t>
            </w:r>
          </w:p>
        </w:tc>
        <w:tc>
          <w:tcPr/>
          <w:p>
            <w:pPr>
              <w:pStyle w:val="Compact"/>
            </w:pPr>
            <w:r>
              <w:t xml:space="preserve">Inno Setup (Windows), JRE внутри (</w:t>
            </w:r>
            <w:r>
              <w:rPr>
                <w:rStyle w:val="VerbatimChar"/>
              </w:rPr>
              <w:t xml:space="preserve">jlink</w:t>
            </w:r>
            <w:r>
              <w:t xml:space="preserve">); PostgreSQL не входит — заказчик ставит сам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 Java</w:t>
            </w:r>
          </w:p>
        </w:tc>
        <w:tc>
          <w:tcPr/>
          <w:p>
            <w:pPr>
              <w:pStyle w:val="Compact"/>
            </w:pPr>
            <w:r>
              <w:t xml:space="preserve">JUnit 5, Testcontainers (PostgreSQL)</w:t>
            </w:r>
          </w:p>
        </w:tc>
        <w:tc>
          <w:tcPr/>
          <w:p>
            <w:pPr>
              <w:pStyle w:val="Compac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 фронтенда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используем</w:t>
            </w:r>
          </w:p>
        </w:tc>
        <w:tc>
          <w:tcPr/>
          <w:p>
            <w:pPr>
              <w:pStyle w:val="Compact"/>
            </w:pPr>
            <w:r>
              <w:t xml:space="preserve">Vaadin</w:t>
            </w:r>
          </w:p>
        </w:tc>
        <w:tc>
          <w:tcPr/>
          <w:p>
            <w:pPr>
              <w:pStyle w:val="Compact"/>
            </w:pPr>
            <w:r>
              <w:t xml:space="preserve">Решено</w:t>
            </w:r>
          </w:p>
        </w:tc>
      </w:tr>
    </w:tbl>
    <w:bookmarkEnd w:id="21"/>
    <w:bookmarkStart w:id="27" w:name="фронтенд"/>
    <w:p>
      <w:pPr>
        <w:pStyle w:val="Heading2"/>
      </w:pPr>
      <w:r>
        <w:t xml:space="preserve">3. Фронтенд</w:t>
      </w:r>
    </w:p>
    <w:bookmarkStart w:id="22" w:name="сборка"/>
    <w:p>
      <w:pPr>
        <w:pStyle w:val="Heading3"/>
      </w:pPr>
      <w:r>
        <w:t xml:space="preserve">3.1. Сборка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- Vite собирает и минифицирует TypeScript и Sass; зависимости — из npm.</w:t>
      </w:r>
      <w:r>
        <w:t xml:space="preserve"> </w:t>
      </w:r>
      <w:r>
        <w:t xml:space="preserve">- frontend-maven-plugin скачивает Node.js внутрь проекта и запускает сборку фронтенда при</w:t>
      </w:r>
      <w:r>
        <w:t xml:space="preserve"> </w:t>
      </w:r>
      <w:r>
        <w:rPr>
          <w:rStyle w:val="VerbatimChar"/>
        </w:rPr>
        <w:t xml:space="preserve">mvn package</w:t>
      </w:r>
      <w:r>
        <w:t xml:space="preserve">. Разработчику не нужно ставить Node отдельно.</w:t>
      </w:r>
      <w:r>
        <w:t xml:space="preserve"> </w:t>
      </w:r>
      <w:r>
        <w:t xml:space="preserve">- Сброс кэша браузера — Spring</w:t>
      </w:r>
      <w:r>
        <w:t xml:space="preserve"> </w:t>
      </w:r>
      <w:r>
        <w:rPr>
          <w:rStyle w:val="VerbatimChar"/>
        </w:rPr>
        <w:t xml:space="preserve">VersionResourceResolver</w:t>
      </w:r>
      <w:r>
        <w:t xml:space="preserve"> </w:t>
      </w:r>
      <w:r>
        <w:t xml:space="preserve">со стратегией по содержимому (хеш в имени файла). Vite выдаёт файлы с постоянными именами; связывать шаблоны с манифестом Vite не нужно.</w:t>
      </w:r>
      <w:r>
        <w:t xml:space="preserve"> </w:t>
      </w:r>
      <w:r>
        <w:t xml:space="preserve">- Режим разработки:</w:t>
      </w:r>
      <w:r>
        <w:t xml:space="preserve"> </w:t>
      </w:r>
      <w:r>
        <w:rPr>
          <w:rStyle w:val="VerbatimChar"/>
        </w:rPr>
        <w:t xml:space="preserve">vite build --watch</w:t>
      </w:r>
      <w:r>
        <w:t xml:space="preserve"> </w:t>
      </w:r>
      <w:r>
        <w:t xml:space="preserve">и Spring Boot DevTools.</w:t>
      </w:r>
    </w:p>
    <w:bookmarkEnd w:id="22"/>
    <w:bookmarkStart w:id="23" w:name="свои-компоненты"/>
    <w:p>
      <w:pPr>
        <w:pStyle w:val="Heading3"/>
      </w:pPr>
      <w:r>
        <w:t xml:space="preserve">3.2. Свои компоненты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Веб-компоненты (custom elements) на TypeScript, без фреймворка:</w:t>
      </w:r>
      <w:r>
        <w:t xml:space="preserve"> </w:t>
      </w:r>
      <w:r>
        <w:rPr>
          <w:rStyle w:val="VerbatimChar"/>
        </w:rPr>
        <w:t xml:space="preserve">&lt;hawk-live-chart&gt;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&lt;hawk-sample-table&gt;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&lt;hawk-zone-editor&gt;</w:t>
      </w:r>
      <w:r>
        <w:t xml:space="preserve"> </w:t>
      </w:r>
      <w:r>
        <w:t xml:space="preserve">и т. д. Браузер сам инициализирует компонент, когда htmx вставляет его в страницу, — повторная инициализация после подмены фрагмента не нужна. В шаблоне Thymeleaf компонент — обычный тег с атрибутами; Chart.js, SSE и Tabulator спрятаны внутри.</w:t>
      </w:r>
    </w:p>
    <w:bookmarkEnd w:id="23"/>
    <w:bookmarkStart w:id="24" w:name="оформление"/>
    <w:p>
      <w:pPr>
        <w:pStyle w:val="Heading3"/>
      </w:pPr>
      <w:r>
        <w:t xml:space="preserve">3.3. Оформление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- Bootstrap 5.3; тема — через переменные Sass (палитра, шрифт, отступы), подключаются только нужные части Bootstrap.</w:t>
      </w:r>
      <w:r>
        <w:t xml:space="preserve"> </w:t>
      </w:r>
      <w:r>
        <w:t xml:space="preserve">- Для плотных экранов (редактор методов, ручное управление) — компактные размеры:</w:t>
      </w:r>
      <w:r>
        <w:t xml:space="preserve"> </w:t>
      </w:r>
      <w:r>
        <w:rPr>
          <w:rStyle w:val="VerbatimChar"/>
        </w:rPr>
        <w:t xml:space="preserve">form-control-sm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btn-sm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table-sm</w:t>
      </w:r>
      <w:r>
        <w:t xml:space="preserve">.</w:t>
      </w:r>
      <w:r>
        <w:t xml:space="preserve"> </w:t>
      </w:r>
      <w:r>
        <w:t xml:space="preserve">- Светлая и тёмная темы —</w:t>
      </w:r>
      <w:r>
        <w:t xml:space="preserve"> </w:t>
      </w:r>
      <w:r>
        <w:rPr>
          <w:rStyle w:val="VerbatimChar"/>
        </w:rPr>
        <w:t xml:space="preserve">data-bs-theme</w:t>
      </w:r>
      <w:r>
        <w:t xml:space="preserve">.</w:t>
      </w:r>
      <w:r>
        <w:t xml:space="preserve"> </w:t>
      </w:r>
      <w:r>
        <w:t xml:space="preserve">- Выпадающие списки с поиском и множественным выбором — Tom Select поверх обычного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; варианты для длинных списков (проект, скважина) подгружаются с сервера.</w:t>
      </w:r>
      <w:r>
        <w:t xml:space="preserve"> </w:t>
      </w:r>
      <w:r>
        <w:t xml:space="preserve">- Модальные окна — Bootstrap Modal, содержимое подгружается через htmx. Уведомления — Toast.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Кнопки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Поля ввода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form-control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Текстовые поля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textarea.form-control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Выпадающие списки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form-select</w:t>
            </w:r>
            <w:r>
              <w:t xml:space="preserve">; с поиском — Tom 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Окна, подтверждения</w:t>
            </w:r>
          </w:p>
        </w:tc>
        <w:tc>
          <w:tcPr/>
          <w:p>
            <w:pPr>
              <w:pStyle w:val="Compact"/>
            </w:pPr>
            <w:r>
              <w:t xml:space="preserve">Bootstrap Modal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Уведомления</w:t>
            </w:r>
          </w:p>
        </w:tc>
        <w:tc>
          <w:tcPr/>
          <w:p>
            <w:pPr>
              <w:pStyle w:val="Compact"/>
            </w:pPr>
            <w:r>
              <w:t xml:space="preserve">Bootstrap 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Иконки</w:t>
            </w:r>
          </w:p>
        </w:tc>
        <w:tc>
          <w:tcPr/>
          <w:p>
            <w:pPr>
              <w:pStyle w:val="Compact"/>
            </w:pPr>
            <w:r>
              <w:t xml:space="preserve">SVG-спрайт (см. 3.4)</w:t>
            </w:r>
          </w:p>
        </w:tc>
      </w:tr>
    </w:tbl>
    <w:bookmarkEnd w:id="24"/>
    <w:bookmarkStart w:id="25" w:name="иконки"/>
    <w:p>
      <w:pPr>
        <w:pStyle w:val="Heading3"/>
      </w:pPr>
      <w:r>
        <w:t xml:space="preserve">3.4. Иконки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- Иконки только как SVG-спрайт; шрифт Bootstrap Icons не подключаем.</w:t>
      </w:r>
      <w:r>
        <w:t xml:space="preserve"> </w:t>
      </w:r>
      <w:r>
        <w:t xml:space="preserve">- Сборка кладёт в спрайт только используемые Bootstrap Icons (из</w:t>
      </w:r>
      <w:r>
        <w:t xml:space="preserve"> </w:t>
      </w:r>
      <w:r>
        <w:rPr>
          <w:rStyle w:val="VerbatimChar"/>
        </w:rPr>
        <w:t xml:space="preserve">node_modules/bootstrap-icons/icons/</w:t>
      </w:r>
      <w:r>
        <w:t xml:space="preserve">) и свои иконки. Список используемых иконок ведётся в конфигурации сборки.</w:t>
      </w:r>
      <w:r>
        <w:t xml:space="preserve"> </w:t>
      </w:r>
      <w:r>
        <w:t xml:space="preserve">- Свои иконки — в стиле Bootstrap Icons:</w:t>
      </w:r>
      <w:r>
        <w:t xml:space="preserve"> </w:t>
      </w:r>
      <w:r>
        <w:rPr>
          <w:rStyle w:val="VerbatimChar"/>
        </w:rPr>
        <w:t xml:space="preserve">viewBox="0 0 16 16"</w:t>
      </w:r>
      <w:r>
        <w:t xml:space="preserve">, один цвет</w:t>
      </w:r>
      <w:r>
        <w:t xml:space="preserve"> </w:t>
      </w:r>
      <w:r>
        <w:rPr>
          <w:rStyle w:val="VerbatimChar"/>
        </w:rPr>
        <w:t xml:space="preserve">fill="currentColor"</w:t>
      </w:r>
      <w:r>
        <w:t xml:space="preserve">, линии около 1 px.</w:t>
      </w:r>
      <w:r>
        <w:t xml:space="preserve"> </w:t>
      </w:r>
      <w:r>
        <w:t xml:space="preserve">- В шаблонах — фрагмент Thymeleaf; в JS-компонентах — функция</w:t>
      </w:r>
      <w:r>
        <w:t xml:space="preserve"> </w:t>
      </w:r>
      <w:r>
        <w:rPr>
          <w:rStyle w:val="VerbatimChar"/>
        </w:rPr>
        <w:t xml:space="preserve">icon(name)</w:t>
      </w:r>
      <w:r>
        <w:t xml:space="preserve">, которая собирает такой же</w:t>
      </w:r>
      <w:r>
        <w:t xml:space="preserve"> </w:t>
      </w:r>
      <w:r>
        <w:rPr>
          <w:rStyle w:val="VerbatimChar"/>
        </w:rPr>
        <w:t xml:space="preserve">&lt;svg&gt;&lt;use&gt;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&lt;!-- fragments/icon.html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th:fragment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"icon(name)"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"1em"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"1em"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use</w:t>
      </w:r>
      <w:r>
        <w:rPr>
          <w:rStyle w:val="OtherTok"/>
        </w:rPr>
        <w:t xml:space="preserve"> th:href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"@{/icons/icons.svg} + '#' + ${name}"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th:replace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"~{fragments/icon :: icon('crucible')}"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1"/>
        </w:numPr>
      </w:pPr>
      <w:r>
        <w:t xml:space="preserve">Встроенный SVG — только для разовых случаев (логотип).</w:t>
      </w:r>
    </w:p>
    <w:bookmarkEnd w:id="25"/>
    <w:bookmarkStart w:id="26" w:name="адреса-страниц-url"/>
    <w:p>
      <w:pPr>
        <w:pStyle w:val="Heading3"/>
      </w:pPr>
      <w:r>
        <w:t xml:space="preserve">3.5. Адреса страниц (URL)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Данные доступны по ссылке: у каждого ресурса — образца (</w:t>
      </w:r>
      <w:r>
        <w:rPr>
          <w:rStyle w:val="VerbatimChar"/>
        </w:rPr>
        <w:t xml:space="preserve">sample</w:t>
      </w:r>
      <w:r>
        <w:t xml:space="preserve">), метода (</w:t>
      </w:r>
      <w:r>
        <w:rPr>
          <w:rStyle w:val="VerbatimChar"/>
        </w:rPr>
        <w:t xml:space="preserve">method</w:t>
      </w:r>
      <w:r>
        <w:t xml:space="preserve">) и т. д. — свой постоянный адрес. Ссылку можно сохранить в закладки или отправить коллеге; по ней открываются те же данные.</w:t>
      </w:r>
    </w:p>
    <w:p>
      <w:pPr>
        <w:pStyle w:val="BodyText"/>
      </w:pPr>
      <w:r>
        <w:rPr>
          <w:b/>
          <w:bCs/>
        </w:rPr>
        <w:t xml:space="preserve">Предложение.</w:t>
      </w:r>
      <w:r>
        <w:t xml:space="preserve"> </w:t>
      </w:r>
      <w:r>
        <w:t xml:space="preserve">- Вид адресов: список —</w:t>
      </w:r>
      <w:r>
        <w:t xml:space="preserve"> </w:t>
      </w:r>
      <w:r>
        <w:rPr>
          <w:rStyle w:val="VerbatimChar"/>
        </w:rPr>
        <w:t xml:space="preserve">/samples</w:t>
      </w:r>
      <w:r>
        <w:t xml:space="preserve">, запись —</w:t>
      </w:r>
      <w:r>
        <w:t xml:space="preserve"> </w:t>
      </w:r>
      <w:r>
        <w:rPr>
          <w:rStyle w:val="VerbatimChar"/>
        </w:rPr>
        <w:t xml:space="preserve">/samples/{id}</w:t>
      </w:r>
      <w:r>
        <w:t xml:space="preserve">; так же</w:t>
      </w:r>
      <w:r>
        <w:t xml:space="preserve"> </w:t>
      </w:r>
      <w:r>
        <w:rPr>
          <w:rStyle w:val="VerbatimChar"/>
        </w:rPr>
        <w:t xml:space="preserve">/methods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/methods/{id}</w:t>
      </w:r>
      <w:r>
        <w:t xml:space="preserve"> </w:t>
      </w:r>
      <w:r>
        <w:t xml:space="preserve">и остальные ресурсы.</w:t>
      </w:r>
      <w:r>
        <w:t xml:space="preserve"> </w:t>
      </w:r>
      <w:r>
        <w:t xml:space="preserve">- Фильтры, сортировка и страница списка — в параметрах адреса (</w:t>
      </w:r>
      <w:r>
        <w:rPr>
          <w:rStyle w:val="VerbatimChar"/>
        </w:rPr>
        <w:t xml:space="preserve">/samples?method=12&amp;sort=-date</w:t>
      </w:r>
      <w:r>
        <w:t xml:space="preserve">), чтобы ссылка открывала ту же выборку. Когда htmx меняет часть страницы, адрес в браузере обновляется (</w:t>
      </w:r>
      <w:r>
        <w:rPr>
          <w:rStyle w:val="VerbatimChar"/>
        </w:rPr>
        <w:t xml:space="preserve">hx-push-url</w:t>
      </w:r>
      <w:r>
        <w:t xml:space="preserve">).</w:t>
      </w:r>
      <w:r>
        <w:t xml:space="preserve"> </w:t>
      </w:r>
      <w:r>
        <w:t xml:space="preserve">- Если вход по логину включён (раздел 1), ссылка без входа в систему ведёт на страницу входа, после входа — на исходный адрес.</w:t>
      </w:r>
    </w:p>
    <w:bookmarkEnd w:id="26"/>
    <w:bookmarkEnd w:id="27"/>
    <w:bookmarkStart w:id="31" w:name="графики-и-живые-данные"/>
    <w:p>
      <w:pPr>
        <w:pStyle w:val="Heading2"/>
      </w:pPr>
      <w:r>
        <w:t xml:space="preserve">4. Графики и живые данные</w:t>
      </w:r>
    </w:p>
    <w:bookmarkStart w:id="28" w:name="исходные-данные"/>
    <w:p>
      <w:pPr>
        <w:pStyle w:val="Heading3"/>
      </w:pPr>
      <w:r>
        <w:t xml:space="preserve">4.1. Исходные данные</w:t>
      </w:r>
    </w:p>
    <w:p>
      <w:pPr>
        <w:pStyle w:val="Compact"/>
        <w:numPr>
          <w:ilvl w:val="0"/>
          <w:numId w:val="1002"/>
        </w:numPr>
      </w:pPr>
      <w:r>
        <w:t xml:space="preserve">Прибор отдаёт данные с частотой 10 Гц (</w:t>
      </w:r>
      <w:r>
        <w:rPr>
          <w:rStyle w:val="VerbatimChar"/>
        </w:rPr>
        <w:t xml:space="preserve">sparx_api.js:2005</w:t>
      </w:r>
      <w:r>
        <w:t xml:space="preserve"> </w:t>
      </w:r>
      <w:r>
        <w:t xml:space="preserve">в старой версии).</w:t>
      </w:r>
    </w:p>
    <w:p>
      <w:pPr>
        <w:pStyle w:val="Compact"/>
        <w:numPr>
          <w:ilvl w:val="0"/>
          <w:numId w:val="1002"/>
        </w:numPr>
      </w:pPr>
      <w:r>
        <w:t xml:space="preserve">Окно онлайн-графика по умолчанию — 10 минут, настраивается; в старой версии в памяти хранится до 60 минут (</w:t>
      </w:r>
      <w:r>
        <w:rPr>
          <w:rStyle w:val="VerbatimChar"/>
        </w:rPr>
        <w:t xml:space="preserve">max_online_data_stored_minutes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График</w:t>
            </w:r>
          </w:p>
        </w:tc>
        <w:tc>
          <w:tcPr/>
          <w:p>
            <w:pPr>
              <w:pStyle w:val="Compact"/>
            </w:pPr>
            <w:r>
              <w:t xml:space="preserve">Точек на кривую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Скользящее окно 10 мин</w:t>
            </w:r>
          </w:p>
        </w:tc>
        <w:tc>
          <w:tcPr/>
          <w:p>
            <w:pPr>
              <w:pStyle w:val="Compact"/>
            </w:pPr>
            <w:r>
              <w:t xml:space="preserve">6 000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Скользящее окно 60 мин</w:t>
            </w:r>
          </w:p>
        </w:tc>
        <w:tc>
          <w:tcPr/>
          <w:p>
            <w:pPr>
              <w:pStyle w:val="Compact"/>
            </w:pPr>
            <w:r>
              <w:t xml:space="preserve">36 000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Кривые анализа, накапливаются с начала анализа</w:t>
            </w:r>
          </w:p>
        </w:tc>
        <w:tc>
          <w:tcPr/>
          <w:p>
            <w:pPr>
              <w:pStyle w:val="Compact"/>
            </w:pPr>
            <w:r>
              <w:t xml:space="preserve">12 000–36 000 (анализ 20–60 мин)</w:t>
            </w:r>
          </w:p>
        </w:tc>
      </w:tr>
    </w:tbl>
    <w:bookmarkEnd w:id="28"/>
    <w:bookmarkStart w:id="29" w:name="доставка-данных-sse"/>
    <w:p>
      <w:pPr>
        <w:pStyle w:val="Heading3"/>
      </w:pPr>
      <w:r>
        <w:t xml:space="preserve">4.2. Доставка данных (SSE)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- Сервер держит кольцевой буфер последних N минут в памяти и рассылает обновления через SSE (</w:t>
      </w:r>
      <w:r>
        <w:rPr>
          <w:rStyle w:val="VerbatimChar"/>
        </w:rPr>
        <w:t xml:space="preserve">SseEmitter</w:t>
      </w:r>
      <w:r>
        <w:t xml:space="preserve">).</w:t>
      </w:r>
      <w:r>
        <w:t xml:space="preserve"> </w:t>
      </w:r>
      <w:r>
        <w:t xml:space="preserve">- Браузер при открытии страницы или переподключении забирает накопленную историю одним запросом, затем получает только новые точки — пачками раз в 0,5–1 с.</w:t>
      </w:r>
      <w:r>
        <w:t xml:space="preserve"> </w:t>
      </w:r>
      <w:r>
        <w:t xml:space="preserve">- Все вкладки и все пользователи получают одни и те же данные; прибор опрашивает только сервер.</w:t>
      </w:r>
    </w:p>
    <w:bookmarkEnd w:id="29"/>
    <w:bookmarkStart w:id="30" w:name="chart.js"/>
    <w:p>
      <w:pPr>
        <w:pStyle w:val="Heading3"/>
      </w:pPr>
      <w:r>
        <w:t xml:space="preserve">4.3. Chart.js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Chart.js для всех графиков: живые данные, кривые анализа, просмотр образцов, редактор зон.</w:t>
      </w:r>
    </w:p>
    <w:p>
      <w:pPr>
        <w:pStyle w:val="Compact"/>
        <w:numPr>
          <w:ilvl w:val="0"/>
          <w:numId w:val="1003"/>
        </w:numPr>
      </w:pPr>
      <w:r>
        <w:t xml:space="preserve">Анимация выключена; данные передаются упорядоченными и готовыми (</w:t>
      </w:r>
      <w:r>
        <w:rPr>
          <w:rStyle w:val="VerbatimChar"/>
        </w:rPr>
        <w:t xml:space="preserve">parsing: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normalized: true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Перерисовка — по пачке,</w:t>
      </w:r>
      <w:r>
        <w:t xml:space="preserve"> </w:t>
      </w:r>
      <w:r>
        <w:rPr>
          <w:rStyle w:val="VerbatimChar"/>
        </w:rPr>
        <w:t xml:space="preserve">chart.update('none')</w:t>
      </w:r>
      <w:r>
        <w:t xml:space="preserve">; не на каждую точку.</w:t>
      </w:r>
    </w:p>
    <w:p>
      <w:pPr>
        <w:pStyle w:val="Compact"/>
        <w:numPr>
          <w:ilvl w:val="0"/>
          <w:numId w:val="1003"/>
        </w:numPr>
      </w:pPr>
      <w:r>
        <w:t xml:space="preserve">Прореживание (decimation) — алгоритм</w:t>
      </w:r>
      <w:r>
        <w:t xml:space="preserve"> </w:t>
      </w:r>
      <w:r>
        <w:rPr>
          <w:b/>
          <w:bCs/>
        </w:rPr>
        <w:t xml:space="preserve">min-max</w:t>
      </w:r>
      <w:r>
        <w:t xml:space="preserve"> </w:t>
      </w:r>
      <w:r>
        <w:t xml:space="preserve">(сохраняет вершины пиков), не LTTB.</w:t>
      </w:r>
    </w:p>
    <w:p>
      <w:pPr>
        <w:pStyle w:val="Compact"/>
        <w:numPr>
          <w:ilvl w:val="0"/>
          <w:numId w:val="1003"/>
        </w:numPr>
      </w:pPr>
      <w:r>
        <w:t xml:space="preserve">Скользящее окно: точки добавляются в конец, точки старше окна удаляются из начала, границы оси X сдвигаются.</w:t>
      </w:r>
    </w:p>
    <w:p>
      <w:pPr>
        <w:pStyle w:val="Compact"/>
        <w:numPr>
          <w:ilvl w:val="0"/>
          <w:numId w:val="1003"/>
        </w:numPr>
      </w:pPr>
      <w:r>
        <w:t xml:space="preserve">Накапливающийся график: точки только добавляются, ось X растёт.</w:t>
      </w:r>
    </w:p>
    <w:p>
      <w:pPr>
        <w:pStyle w:val="Compact"/>
        <w:numPr>
          <w:ilvl w:val="0"/>
          <w:numId w:val="1003"/>
        </w:numPr>
      </w:pPr>
      <w:r>
        <w:t xml:space="preserve">Ось X — минуты от начала анализа, числовая ось (адаптер дат не нужен).</w:t>
      </w:r>
    </w:p>
    <w:p>
      <w:pPr>
        <w:pStyle w:val="Compact"/>
        <w:numPr>
          <w:ilvl w:val="0"/>
          <w:numId w:val="1003"/>
        </w:numPr>
      </w:pPr>
      <w:r>
        <w:t xml:space="preserve">Две оси Y: сигнал детектора и температура.</w:t>
      </w:r>
    </w:p>
    <w:p>
      <w:pPr>
        <w:pStyle w:val="Compact"/>
        <w:numPr>
          <w:ilvl w:val="0"/>
          <w:numId w:val="1003"/>
        </w:numPr>
      </w:pPr>
      <w:r>
        <w:t xml:space="preserve">Масштабирование —</w:t>
      </w:r>
      <w:r>
        <w:t xml:space="preserve"> </w:t>
      </w:r>
      <w:r>
        <w:rPr>
          <w:rStyle w:val="VerbatimChar"/>
        </w:rPr>
        <w:t xml:space="preserve">chartjs-plugin-zoom</w:t>
      </w:r>
      <w:r>
        <w:t xml:space="preserve">; зоны и их границы —</w:t>
      </w:r>
      <w:r>
        <w:t xml:space="preserve"> </w:t>
      </w:r>
      <w:r>
        <w:rPr>
          <w:rStyle w:val="VerbatimChar"/>
        </w:rPr>
        <w:t xml:space="preserve">chartjs-plugin-annotation</w:t>
      </w:r>
      <w:r>
        <w:t xml:space="preserve">; перетаскивание границ зон — своя надстройка над annotation.</w:t>
      </w:r>
    </w:p>
    <w:bookmarkEnd w:id="30"/>
    <w:bookmarkEnd w:id="31"/>
    <w:bookmarkStart w:id="32" w:name="таблица-образцов"/>
    <w:p>
      <w:pPr>
        <w:pStyle w:val="Heading2"/>
      </w:pPr>
      <w:r>
        <w:t xml:space="preserve">5. Таблица образцов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Tabulator.</w:t>
      </w:r>
    </w:p>
    <w:p>
      <w:pPr>
        <w:pStyle w:val="Compact"/>
        <w:numPr>
          <w:ilvl w:val="0"/>
          <w:numId w:val="1004"/>
        </w:numPr>
      </w:pPr>
      <w:r>
        <w:t xml:space="preserve">Бесконечная прокрутка с подгрузкой (</w:t>
      </w:r>
      <w:r>
        <w:rPr>
          <w:rStyle w:val="VerbatimChar"/>
        </w:rPr>
        <w:t xml:space="preserve">progressiveLoad: "scroll"</w:t>
      </w:r>
      <w:r>
        <w:t xml:space="preserve">), в DOM только видимые строки.</w:t>
      </w:r>
    </w:p>
    <w:p>
      <w:pPr>
        <w:pStyle w:val="Compact"/>
        <w:numPr>
          <w:ilvl w:val="0"/>
          <w:numId w:val="1004"/>
        </w:numPr>
      </w:pPr>
      <w:r>
        <w:t xml:space="preserve">Фильтрация и сортировка — на сервере (</w:t>
      </w:r>
      <w:r>
        <w:rPr>
          <w:rStyle w:val="VerbatimChar"/>
        </w:rPr>
        <w:t xml:space="preserve">filterMode: "remote"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sortMode: "remote"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Постраничная выборка —</w:t>
      </w:r>
      <w:r>
        <w:t xml:space="preserve"> </w:t>
      </w:r>
      <w:r>
        <w:rPr>
          <w:b/>
          <w:bCs/>
        </w:rPr>
        <w:t xml:space="preserve">keyset</w:t>
      </w:r>
      <w:r>
        <w:t xml:space="preserve">, не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:</w:t>
      </w:r>
      <w:r>
        <w:t xml:space="preserve"> </w:t>
      </w:r>
      <w:r>
        <w:rPr>
          <w:rStyle w:val="VerbatimChar"/>
        </w:rPr>
        <w:t xml:space="preserve">WHERE (sort_key, id) &gt; (:last_sort_key, :last_id) ORDER BY sort_key, id LIMIT :page_size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Индексы — под основные сортировки и фильтры: дата, имя образца, проект и скважина, метод.</w:t>
      </w:r>
    </w:p>
    <w:p>
      <w:pPr>
        <w:pStyle w:val="Compact"/>
        <w:numPr>
          <w:ilvl w:val="0"/>
          <w:numId w:val="1004"/>
        </w:numPr>
      </w:pPr>
      <w:r>
        <w:t xml:space="preserve">Объём: в базах заказчика — десятки тысяч образцов. Общее число найденных строк считается точно.</w:t>
      </w:r>
    </w:p>
    <w:p>
      <w:pPr>
        <w:pStyle w:val="Compact"/>
        <w:numPr>
          <w:ilvl w:val="0"/>
          <w:numId w:val="1004"/>
        </w:numPr>
      </w:pPr>
      <w:r>
        <w:t xml:space="preserve">Настройка колонок (порядок, ширина, видимость, запоминание) — средствами Tabulator; этим закрывается «Sample table column editor» из версии 1.0.</w:t>
      </w:r>
    </w:p>
    <w:p>
      <w:pPr>
        <w:pStyle w:val="Compact"/>
        <w:numPr>
          <w:ilvl w:val="0"/>
          <w:numId w:val="1004"/>
        </w:numPr>
      </w:pPr>
      <w:r>
        <w:t xml:space="preserve">Тема —</w:t>
      </w:r>
      <w:r>
        <w:t xml:space="preserve"> </w:t>
      </w:r>
      <w:r>
        <w:rPr>
          <w:rStyle w:val="VerbatimChar"/>
        </w:rPr>
        <w:t xml:space="preserve">tabulator_bootstrap5</w:t>
      </w:r>
      <w:r>
        <w:t xml:space="preserve">.</w:t>
      </w:r>
    </w:p>
    <w:bookmarkEnd w:id="32"/>
    <w:bookmarkStart w:id="33" w:name="связь-с-прибором"/>
    <w:p>
      <w:pPr>
        <w:pStyle w:val="Heading2"/>
      </w:pPr>
      <w:r>
        <w:t xml:space="preserve">6. Связь с прибором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Плата Sparx: JSON-RPC 2.0 поверх HTTP POST.</w:t>
      </w:r>
    </w:p>
    <w:p>
      <w:pPr>
        <w:pStyle w:val="Compact"/>
        <w:numPr>
          <w:ilvl w:val="0"/>
          <w:numId w:val="1005"/>
        </w:numPr>
      </w:pPr>
      <w:r>
        <w:t xml:space="preserve">Методы API (из старой версии,</w:t>
      </w:r>
      <w:r>
        <w:t xml:space="preserve"> </w:t>
      </w:r>
      <w:r>
        <w:rPr>
          <w:rStyle w:val="VerbatimChar"/>
        </w:rPr>
        <w:t xml:space="preserve">objects_ex/modules/pcb/sparx/sparx_api.js</w:t>
      </w:r>
      <w:r>
        <w:t xml:space="preserve">):</w:t>
      </w:r>
      <w:r>
        <w:t xml:space="preserve"> </w:t>
      </w:r>
      <w:r>
        <w:rPr>
          <w:rStyle w:val="VerbatimChar"/>
        </w:rPr>
        <w:t xml:space="preserve">exec_command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exec_watlow_command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exec_pedestal_command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exec_autoloader_command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exec_acq_command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get_acq_data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get_sensors_status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Узлы прибора: печь, регуляторы температуры Watlow, пьедестал, термопары, регуляторы расхода газа, дисплей EPC, автозагрузчик.</w:t>
      </w:r>
    </w:p>
    <w:p>
      <w:pPr>
        <w:pStyle w:val="Compact"/>
        <w:numPr>
          <w:ilvl w:val="0"/>
          <w:numId w:val="1005"/>
        </w:numPr>
      </w:pPr>
      <w:r>
        <w:t xml:space="preserve">Автозагрузчик EzAxis: ASCII-команды (</w:t>
      </w:r>
      <w:r>
        <w:rPr>
          <w:rStyle w:val="VerbatimChar"/>
        </w:rPr>
        <w:t xml:space="preserve">documents/Command_Set_EZHR17EN.pdf</w:t>
      </w:r>
      <w:r>
        <w:t xml:space="preserve">) передаются в hex через</w:t>
      </w:r>
      <w:r>
        <w:t xml:space="preserve"> </w:t>
      </w:r>
      <w:r>
        <w:rPr>
          <w:rStyle w:val="VerbatimChar"/>
        </w:rPr>
        <w:t xml:space="preserve">exec_autoloader_command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Описание протокола:</w:t>
      </w:r>
      <w:r>
        <w:t xml:space="preserve"> </w:t>
      </w:r>
      <w:r>
        <w:rPr>
          <w:rStyle w:val="VerbatimChar"/>
        </w:rPr>
        <w:t xml:space="preserve">documents/Comm Protocol*.pdf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documents/HAWK API.docx</w:t>
      </w:r>
      <w:r>
        <w:t xml:space="preserve"> </w:t>
      </w:r>
      <w:r>
        <w:t xml:space="preserve">в старом репозитории.</w:t>
      </w:r>
    </w:p>
    <w:p>
      <w:pPr>
        <w:pStyle w:val="FirstParagraph"/>
      </w:pPr>
      <w:r>
        <w:rPr>
          <w:b/>
          <w:bCs/>
        </w:rPr>
        <w:t xml:space="preserve">Открыто.</w:t>
      </w:r>
      <w:r>
        <w:t xml:space="preserve"> </w:t>
      </w:r>
      <w:r>
        <w:t xml:space="preserve">Старая версия поддерживает и предыдущее поколение плат — Wildcat (TCP к NetBurner, автозагрузчик по COM-порту). Нужна ли поддержка Wildcat в новой версии? В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её сейчас нет.</w:t>
      </w:r>
    </w:p>
    <w:bookmarkEnd w:id="33"/>
    <w:bookmarkStart w:id="34" w:name="эмулятор-sparx"/>
    <w:p>
      <w:pPr>
        <w:pStyle w:val="Heading2"/>
      </w:pPr>
      <w:r>
        <w:t xml:space="preserve">7. Эмулятор Sparx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Для разработки и автотестов используется существующий эмулятор из старого репозитория, без переписывания: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instrument/sparx/server.py</w:t>
      </w:r>
      <w:r>
        <w:t xml:space="preserve"> </w:t>
      </w:r>
      <w:r>
        <w:t xml:space="preserve">— эмулятор платы, JSON-RPC на</w:t>
      </w:r>
      <w:r>
        <w:t xml:space="preserve"> </w:t>
      </w:r>
      <w:r>
        <w:rPr>
          <w:rStyle w:val="VerbatimChar"/>
        </w:rPr>
        <w:t xml:space="preserve">127.0.0.1:10000</w:t>
      </w:r>
      <w:r>
        <w:t xml:space="preserve">; состояние —</w:t>
      </w:r>
      <w:r>
        <w:t xml:space="preserve"> </w:t>
      </w:r>
      <w:r>
        <w:rPr>
          <w:rStyle w:val="VerbatimChar"/>
        </w:rPr>
        <w:t xml:space="preserve">hawk_instrument.py</w:t>
      </w:r>
      <w:r>
        <w:t xml:space="preserve">; параметры командной строки задают состояние тигля, Watlow и водорода;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instrument/sparx/epc_display.py</w:t>
      </w:r>
      <w:r>
        <w:t xml:space="preserve"> </w:t>
      </w:r>
      <w:r>
        <w:t xml:space="preserve">— эмулятор дисплея EPC, порт 20000.</w:t>
      </w:r>
    </w:p>
    <w:p>
      <w:pPr>
        <w:pStyle w:val="BodyText"/>
      </w:pPr>
      <w:r>
        <w:t xml:space="preserve">Автотесты запускают эмулятор как внешний процесс и останавливают его после прогона.</w:t>
      </w:r>
    </w:p>
    <w:p>
      <w:pPr>
        <w:pStyle w:val="BodyText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Эмулятор запускается на Python 3: venv в старом репозитории (</w:t>
      </w:r>
      <w:r>
        <w:rPr>
          <w:rStyle w:val="VerbatimChar"/>
        </w:rPr>
        <w:t xml:space="preserve">instrument/venv</w:t>
      </w:r>
      <w:r>
        <w:t xml:space="preserve">) собран на Python 3.10, зависимости —</w:t>
      </w:r>
      <w:r>
        <w:t xml:space="preserve"> </w:t>
      </w:r>
      <w:r>
        <w:rPr>
          <w:rStyle w:val="VerbatimChar"/>
        </w:rPr>
        <w:t xml:space="preserve">instrument/sparx/requirements.txt</w:t>
      </w:r>
      <w:r>
        <w:t xml:space="preserve">. Упоминания Python 2.7 в README и</w:t>
      </w:r>
      <w:r>
        <w:t xml:space="preserve"> </w:t>
      </w:r>
      <w:r>
        <w:rPr>
          <w:rStyle w:val="VerbatimChar"/>
        </w:rPr>
        <w:t xml:space="preserve">server.cmd</w:t>
      </w:r>
      <w:r>
        <w:t xml:space="preserve"> </w:t>
      </w:r>
      <w:r>
        <w:t xml:space="preserve">старой версии устарели (</w:t>
      </w:r>
      <w:r>
        <w:rPr>
          <w:rStyle w:val="VerbatimChar"/>
        </w:rPr>
        <w:t xml:space="preserve">Werkzeug==2.0.1</w:t>
      </w:r>
      <w:r>
        <w:t xml:space="preserve"> </w:t>
      </w:r>
      <w:r>
        <w:t xml:space="preserve">на 2.7 не устанавливается).</w:t>
      </w:r>
    </w:p>
    <w:p>
      <w:pPr>
        <w:pStyle w:val="BodyText"/>
      </w:pPr>
      <w:r>
        <w:rPr>
          <w:b/>
          <w:bCs/>
        </w:rPr>
        <w:t xml:space="preserve">Открыто.</w:t>
      </w:r>
      <w:r>
        <w:t xml:space="preserve"> </w:t>
      </w:r>
      <w:r>
        <w:t xml:space="preserve">На машине разработки Python 3 сейчас не установлен; запуск эмулятора ещё не проверен.</w:t>
      </w:r>
    </w:p>
    <w:bookmarkEnd w:id="34"/>
    <w:bookmarkStart w:id="39" w:name="данные"/>
    <w:p>
      <w:pPr>
        <w:pStyle w:val="Heading2"/>
      </w:pPr>
      <w:r>
        <w:t xml:space="preserve">8. Данные</w:t>
      </w:r>
    </w:p>
    <w:bookmarkStart w:id="35" w:name="postgresql"/>
    <w:p>
      <w:pPr>
        <w:pStyle w:val="Heading3"/>
      </w:pPr>
      <w:r>
        <w:t xml:space="preserve">8.1. PostgreSQL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PostgreSQL вместо Microsoft SQL Server Express (лимит базы 10 ГБ).</w:t>
      </w:r>
    </w:p>
    <w:p>
      <w:pPr>
        <w:pStyle w:val="BodyText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Переработка структуры при переносе (из исходной дорожной карты):</w:t>
      </w:r>
      <w:r>
        <w:t xml:space="preserve"> </w:t>
      </w:r>
      <w:r>
        <w:t xml:space="preserve">- настройки кривых и словари, которые сейчас хранятся упакованными, становятся обычными реляционными таблицами;</w:t>
      </w:r>
      <w:r>
        <w:t xml:space="preserve"> </w:t>
      </w:r>
      <w:r>
        <w:t xml:space="preserve">- калибровка: коэффициенты — в отдельную таблицу; убрать поля</w:t>
      </w:r>
      <w:r>
        <w:t xml:space="preserve"> </w:t>
      </w:r>
      <w:r>
        <w:rPr>
          <w:rStyle w:val="VerbatimChar"/>
        </w:rPr>
        <w:t xml:space="preserve">calibration_over_r_xxx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calibration_oven_t_xxx</w:t>
      </w:r>
      <w:r>
        <w:t xml:space="preserve">; убрать</w:t>
      </w:r>
      <w:r>
        <w:t xml:space="preserve"> </w:t>
      </w:r>
      <w:r>
        <w:rPr>
          <w:rStyle w:val="VerbatimChar"/>
        </w:rPr>
        <w:t xml:space="preserve">calibration_coefficients</w:t>
      </w:r>
      <w:r>
        <w:t xml:space="preserve">; переработать</w:t>
      </w:r>
      <w:r>
        <w:t xml:space="preserve"> </w:t>
      </w:r>
      <w:r>
        <w:rPr>
          <w:rStyle w:val="VerbatimChar"/>
        </w:rPr>
        <w:t xml:space="preserve">calibration_sensor_data</w:t>
      </w:r>
      <w:r>
        <w:t xml:space="preserve"> </w:t>
      </w:r>
      <w:r>
        <w:t xml:space="preserve">(нужна только для калибровки POPI);</w:t>
      </w:r>
      <w:r>
        <w:t xml:space="preserve"> </w:t>
      </w:r>
      <w:r>
        <w:t xml:space="preserve">- пересмотреть</w:t>
      </w:r>
      <w:r>
        <w:t xml:space="preserve"> </w:t>
      </w:r>
      <w:r>
        <w:rPr>
          <w:rStyle w:val="VerbatimChar"/>
        </w:rPr>
        <w:t xml:space="preserve">calibration_curves</w:t>
      </w:r>
      <w:r>
        <w:t xml:space="preserve">,</w:t>
      </w:r>
      <w:r>
        <w:t xml:space="preserve"> </w:t>
      </w:r>
      <w:r>
        <w:rPr>
          <w:rStyle w:val="VerbatimChar"/>
        </w:rPr>
        <w:t xml:space="preserve">cm_cat_param</w:t>
      </w:r>
      <w:r>
        <w:t xml:space="preserve">,</w:t>
      </w:r>
      <w:r>
        <w:t xml:space="preserve"> </w:t>
      </w:r>
      <w:r>
        <w:rPr>
          <w:rStyle w:val="VerbatimChar"/>
        </w:rPr>
        <w:t xml:space="preserve">cm_category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cm_compos_log_comment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cm_conf</w:t>
      </w:r>
      <w:r>
        <w:t xml:space="preserve"> </w:t>
      </w:r>
      <w:r>
        <w:t xml:space="preserve">и остальные таблицы.</w:t>
      </w:r>
    </w:p>
    <w:p>
      <w:pPr>
        <w:pStyle w:val="BodyText"/>
      </w:pPr>
      <w:r>
        <w:t xml:space="preserve">Исходная БД: MSSQL</w:t>
      </w:r>
      <w:r>
        <w:t xml:space="preserve"> </w:t>
      </w:r>
      <w:r>
        <w:rPr>
          <w:rStyle w:val="VerbatimChar"/>
        </w:rPr>
        <w:t xml:space="preserve">hawk_v1_0</w:t>
      </w:r>
      <w:r>
        <w:t xml:space="preserve">, 42 таблицы (</w:t>
      </w:r>
      <w:r>
        <w:rPr>
          <w:rStyle w:val="VerbatimChar"/>
        </w:rPr>
        <w:t xml:space="preserve">server/data/create_sql_db.sql</w:t>
      </w:r>
      <w:r>
        <w:t xml:space="preserve"> </w:t>
      </w:r>
      <w:r>
        <w:t xml:space="preserve">в старом репозитории); служебные поля</w:t>
      </w:r>
      <w:r>
        <w:t xml:space="preserve"> </w:t>
      </w:r>
      <w:r>
        <w:rPr>
          <w:rStyle w:val="VerbatimChar"/>
        </w:rPr>
        <w:t xml:space="preserve">vdb_id/vdb_rec/vdb_cdate/vdb_edate/vdb_sid</w:t>
      </w:r>
      <w:r>
        <w:t xml:space="preserve">; системные EAV-таблицы</w:t>
      </w:r>
      <w:r>
        <w:t xml:space="preserve"> </w:t>
      </w:r>
      <w:r>
        <w:rPr>
          <w:rStyle w:val="VerbatimChar"/>
        </w:rPr>
        <w:t xml:space="preserve">vdb_*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PostgreSQL 18 — последняя стабильная версия (вышла в сентябре 2025, поддержка до ноября 2030). Есть официальные сборки для Windows, основных дистрибутивов Linux и macOS. PostgreSQL 19 на октябрь 2026 ещё в бете: в момент выхода у неё не будет пакетов во всех дистрибутивах. Переход на 19 рассмотреть ближе к выпуску 1.0. Обновление основной версии у заказчика требует</w:t>
      </w:r>
      <w:r>
        <w:t xml:space="preserve"> </w:t>
      </w:r>
      <w:r>
        <w:rPr>
          <w:rStyle w:val="VerbatimChar"/>
        </w:rPr>
        <w:t xml:space="preserve">pg_upgrade</w:t>
      </w:r>
      <w:r>
        <w:t xml:space="preserve"> </w:t>
      </w:r>
      <w:r>
        <w:t xml:space="preserve">или выгрузки и загрузки базы.</w:t>
      </w:r>
    </w:p>
    <w:p>
      <w:pPr>
        <w:pStyle w:val="BodyText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Заказчик устанавливает PostgreSQL сам, отдельно от приложения; установщик приложения PostgreSQL не содержит. Нужна пошаговая инструкция: установка PostgreSQL 18, создание базы и пользователя для HAWK-EYE. Параметры подключения (хост, порт, база, пользователь, пароль) задаются при установке приложения или при первом запуске. PostgreSQL нужен начиная с версии 0.1 (там хранятся настройки прибора).</w:t>
      </w:r>
    </w:p>
    <w:bookmarkEnd w:id="35"/>
    <w:bookmarkStart w:id="36" w:name="миграция"/>
    <w:p>
      <w:pPr>
        <w:pStyle w:val="Heading3"/>
      </w:pPr>
      <w:r>
        <w:t xml:space="preserve">8.2. Миграция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Отдельная программа, запускается оператором; переносит существующую базу HAWK-EYE в новую структуру. Тестируется на копиях реальных баз.</w:t>
      </w:r>
    </w:p>
    <w:bookmarkEnd w:id="36"/>
    <w:bookmarkStart w:id="37" w:name="бэкап"/>
    <w:p>
      <w:pPr>
        <w:pStyle w:val="Heading3"/>
      </w:pPr>
      <w:r>
        <w:t xml:space="preserve">8.3. Бэкап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Создание бэкапа — из приложения; восстановление — по пошаговой инструкции.</w:t>
      </w:r>
    </w:p>
    <w:p>
      <w:pPr>
        <w:pStyle w:val="BodyText"/>
      </w:pPr>
      <w:r>
        <w:rPr>
          <w:b/>
          <w:bCs/>
        </w:rPr>
        <w:t xml:space="preserve">Предложение.</w:t>
      </w:r>
      <w:r>
        <w:t xml:space="preserve"> </w:t>
      </w:r>
      <w:r>
        <w:t xml:space="preserve">Бэкап создаётся через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из установки PostgreSQL заказчика: путь к утилите — в настройках приложения, по умолчанию определяется автоматически. Версия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должна быть не ниже версии сервера. Если база стоит на другом компьютере, на компьютере с приложением нужны клиентские утилиты PostgreSQL 18.</w:t>
      </w:r>
    </w:p>
    <w:bookmarkEnd w:id="37"/>
    <w:bookmarkStart w:id="38" w:name="обновление-структуры-бд"/>
    <w:p>
      <w:pPr>
        <w:pStyle w:val="Heading3"/>
      </w:pPr>
      <w:r>
        <w:t xml:space="preserve">8.4. Обновление структуры БД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Liquibase — единственный способ создавать и менять структуру базы. Вручную структуру не меняем.</w:t>
      </w:r>
    </w:p>
    <w:p>
      <w:pPr>
        <w:pStyle w:val="BodyText"/>
      </w:pPr>
      <w:r>
        <w:rPr>
          <w:b/>
          <w:bCs/>
        </w:rPr>
        <w:t xml:space="preserve">Предложение.</w:t>
      </w:r>
      <w:r>
        <w:t xml:space="preserve"> </w:t>
      </w:r>
      <w:r>
        <w:t xml:space="preserve">- Главный changelog —</w:t>
      </w:r>
      <w:r>
        <w:t xml:space="preserve"> </w:t>
      </w:r>
      <w:r>
        <w:rPr>
          <w:rStyle w:val="VerbatimChar"/>
        </w:rPr>
        <w:t xml:space="preserve">db/changelog/db.changelog-master.yaml</w:t>
      </w:r>
      <w:r>
        <w:t xml:space="preserve">; changeset’ы разложены по версиям приложения (</w:t>
      </w:r>
      <w:r>
        <w:rPr>
          <w:rStyle w:val="VerbatimChar"/>
        </w:rPr>
        <w:t xml:space="preserve">0.1/</w:t>
      </w:r>
      <w:r>
        <w:t xml:space="preserve">,</w:t>
      </w:r>
      <w:r>
        <w:t xml:space="preserve"> </w:t>
      </w:r>
      <w:r>
        <w:rPr>
          <w:rStyle w:val="VerbatimChar"/>
        </w:rPr>
        <w:t xml:space="preserve">0.2/</w:t>
      </w:r>
      <w:r>
        <w:t xml:space="preserve">, …) и подключаются через</w:t>
      </w:r>
      <w:r>
        <w:t xml:space="preserve"> </w:t>
      </w:r>
      <w:r>
        <w:rPr>
          <w:rStyle w:val="VerbatimChar"/>
        </w:rPr>
        <w:t xml:space="preserve">includeAll</w:t>
      </w:r>
      <w:r>
        <w:t xml:space="preserve">. Формат changeset’ов — formatted SQL: база только PostgreSQL, обычный SQL проще читать и проверять.</w:t>
      </w:r>
      <w:r>
        <w:t xml:space="preserve"> </w:t>
      </w:r>
      <w:r>
        <w:t xml:space="preserve">- Автозапуск Liquibase в Spring Boot выключен (</w:t>
      </w:r>
      <w:r>
        <w:rPr>
          <w:rStyle w:val="VerbatimChar"/>
        </w:rPr>
        <w:t xml:space="preserve">spring.liquibase.enabled=false</w:t>
      </w:r>
      <w:r>
        <w:t xml:space="preserve">). Приложение запускает обновление само при старте, в таком порядке:</w:t>
      </w:r>
      <w:r>
        <w:t xml:space="preserve"> </w:t>
      </w:r>
      <w:r>
        <w:t xml:space="preserve">1. если есть неприменённые changeset’ы — сначала бэкап базы (</w:t>
      </w:r>
      <w:r>
        <w:rPr>
          <w:rStyle w:val="VerbatimChar"/>
        </w:rPr>
        <w:t xml:space="preserve">pg_dump</w:t>
      </w:r>
      <w:r>
        <w:t xml:space="preserve">, раздел 8.3);</w:t>
      </w:r>
      <w:r>
        <w:t xml:space="preserve"> </w:t>
      </w:r>
      <w:r>
        <w:t xml:space="preserve">2. применение changeset’ов;</w:t>
      </w:r>
      <w:r>
        <w:t xml:space="preserve"> </w:t>
      </w:r>
      <w:r>
        <w:t xml:space="preserve">3. если в</w:t>
      </w:r>
      <w:r>
        <w:t xml:space="preserve"> </w:t>
      </w:r>
      <w:r>
        <w:rPr>
          <w:rStyle w:val="VerbatimChar"/>
        </w:rPr>
        <w:t xml:space="preserve">DATABASECHANGELOG</w:t>
      </w:r>
      <w:r>
        <w:t xml:space="preserve"> </w:t>
      </w:r>
      <w:r>
        <w:t xml:space="preserve">есть changeset’ы, которых эта версия не знает, приложение не запускается: база обновлена более новой версией.</w:t>
      </w:r>
      <w:r>
        <w:t xml:space="preserve"> </w:t>
      </w:r>
      <w:r>
        <w:t xml:space="preserve">- Мастер первого запуска создаёт структуру пустой базы теми же changeset’ами; инструмент миграции из MSSQL — тоже. Источник структуры БД один.</w:t>
      </w:r>
      <w:r>
        <w:t xml:space="preserve"> </w:t>
      </w:r>
      <w:r>
        <w:t xml:space="preserve">- Тесты: все changeset’ы применяются к пустому PostgreSQL 18 (Testcontainers), а также обновление базы предыдущей версии до текущей.</w:t>
      </w:r>
    </w:p>
    <w:p>
      <w:pPr>
        <w:pStyle w:val="BodyText"/>
      </w:pPr>
      <w:r>
        <w:rPr>
          <w:b/>
          <w:bCs/>
        </w:rPr>
        <w:t xml:space="preserve">Лицензия.</w:t>
      </w:r>
      <w:r>
        <w:t xml:space="preserve"> </w:t>
      </w:r>
      <w:r>
        <w:t xml:space="preserve">Liquibase Community с версии 5.0 распространяется по Functional Source License (FSL-1.1-ALv2), а не по Apache 2.0; каждый выпуск через два года переходит на Apache 2.0. FSL разрешает бесплатное использование в продакшене, в том числе внутри своего продукта; запрещено только коммерческое использование, конкурирующее с самим Liquibase. HAWK-EYE с Liquibase не конкурирует. Но FSL не входит в число лицензий, одобренных OSI: если юристы заказчика требуют только OSI-лицензии в составе распространяемой программы, нужно брать последнюю ветку 4.x (Apache 2.0).</w:t>
      </w:r>
    </w:p>
    <w:p>
      <w:pPr>
        <w:pStyle w:val="BodyText"/>
      </w:pPr>
      <w:r>
        <w:rPr>
          <w:b/>
          <w:bCs/>
        </w:rPr>
        <w:t xml:space="preserve">Открыто.</w:t>
      </w:r>
      <w:r>
        <w:t xml:space="preserve"> </w:t>
      </w:r>
      <w:r>
        <w:t xml:space="preserve">Устраивает ли заказчика лицензия FSL у Liquibase 5.x — или берём 4.x.</w:t>
      </w:r>
    </w:p>
    <w:bookmarkEnd w:id="38"/>
    <w:bookmarkEnd w:id="39"/>
    <w:bookmarkStart w:id="40" w:name="отчёты"/>
    <w:p>
      <w:pPr>
        <w:pStyle w:val="Heading2"/>
      </w:pPr>
      <w:r>
        <w:t xml:space="preserve">9. Отчёты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Форматы — PDF, ODT, DOCX; LibreOffice и другие офисные пакеты не требуются. Набор отчётов пересматривается вместе с заказчиком (в старой версии — 11 шаблонов, из них 9 по типам методов).</w:t>
      </w:r>
    </w:p>
    <w:p>
      <w:pPr>
        <w:pStyle w:val="BodyText"/>
      </w:pPr>
      <w:r>
        <w:rPr>
          <w:b/>
          <w:bCs/>
        </w:rPr>
        <w:t xml:space="preserve">Открыто.</w:t>
      </w:r>
      <w:r>
        <w:t xml:space="preserve"> </w:t>
      </w:r>
      <w:r>
        <w:t xml:space="preserve">Библиотека генерации отчётов.</w:t>
      </w:r>
    </w:p>
    <w:bookmarkEnd w:id="40"/>
    <w:bookmarkStart w:id="41" w:name="тестирование"/>
    <w:p>
      <w:pPr>
        <w:pStyle w:val="Heading2"/>
      </w:pPr>
      <w:r>
        <w:t xml:space="preserve">10. Тестирование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Автотесты обязательны в каждой версии и входят в её срок. Версия готова, только когда проходят её тесты и тесты всех предыдущих версий. Покрывается:</w:t>
      </w:r>
      <w:r>
        <w:t xml:space="preserve"> </w:t>
      </w:r>
      <w:r>
        <w:t xml:space="preserve">- алгоритмы — калибровка, расчёт, контроль качества, обработка данных сбора; результаты сверяются с результатами старого HAWK-EYE на эталонных наборах данных от заказчика;</w:t>
      </w:r>
      <w:r>
        <w:t xml:space="preserve"> </w:t>
      </w:r>
      <w:r>
        <w:t xml:space="preserve">- операции создания, чтения, изменения и удаления для всех типов записей;</w:t>
      </w:r>
      <w:r>
        <w:t xml:space="preserve"> </w:t>
      </w:r>
      <w:r>
        <w:t xml:space="preserve">- сериализация и десериализация — настройки, методы, кривые, сообщения протокола прибора, файлы импорта и экспорта;</w:t>
      </w:r>
      <w:r>
        <w:t xml:space="preserve"> </w:t>
      </w:r>
      <w:r>
        <w:t xml:space="preserve">- миграция данных — на копиях реальных баз;</w:t>
      </w:r>
      <w:r>
        <w:t xml:space="preserve"> </w:t>
      </w:r>
      <w:r>
        <w:t xml:space="preserve">- создание бэкапа и восстановление из него;</w:t>
      </w:r>
      <w:r>
        <w:t xml:space="preserve"> </w:t>
      </w:r>
      <w:r>
        <w:t xml:space="preserve">- связь с прибором — на эмуляторе Sparx;</w:t>
      </w:r>
      <w:r>
        <w:t xml:space="preserve"> </w:t>
      </w:r>
      <w:r>
        <w:t xml:space="preserve">- логика своих фронтенд-компонентов — Vitest (скользящее окно графика, перетаскивание границ зон, разбор данных SSE);</w:t>
      </w:r>
      <w:r>
        <w:t xml:space="preserve"> </w:t>
      </w:r>
      <w:r>
        <w:t xml:space="preserve">- остальной основной функционал, который можно проверить кодом.</w:t>
      </w:r>
    </w:p>
    <w:bookmarkEnd w:id="41"/>
    <w:bookmarkStart w:id="45" w:name="платформы-установка-и-обновления"/>
    <w:p>
      <w:pPr>
        <w:pStyle w:val="Heading2"/>
      </w:pPr>
      <w:r>
        <w:t xml:space="preserve">11. Платформы, установка и обновления</w:t>
      </w:r>
    </w:p>
    <w:bookmarkStart w:id="42" w:name="платформы"/>
    <w:p>
      <w:pPr>
        <w:pStyle w:val="Heading3"/>
      </w:pPr>
      <w:r>
        <w:t xml:space="preserve">11.1. Платформы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Целевая ОС — Windows. Linux в первом приближении не собираем и не тестируем, но технологии выбираются так, чтобы перейти на Linux можно было без переписывания. Другие ОС — решать при необходимости.</w:t>
      </w:r>
    </w:p>
    <w:p>
      <w:pPr>
        <w:pStyle w:val="BodyText"/>
      </w:pPr>
      <w:r>
        <w:t xml:space="preserve">Правила переносимости:</w:t>
      </w:r>
      <w:r>
        <w:t xml:space="preserve"> </w:t>
      </w:r>
      <w:r>
        <w:t xml:space="preserve">- никаких Windows-специфичных API в Java-коде (реестр, JNA, WMI); всё платформенное — служба, установщик, ярлыки — изолировано в</w:t>
      </w:r>
      <w:r>
        <w:t xml:space="preserve"> </w:t>
      </w:r>
      <w:r>
        <w:rPr>
          <w:rStyle w:val="VerbatimChar"/>
        </w:rPr>
        <w:t xml:space="preserve">distribution/windows</w:t>
      </w:r>
      <w:r>
        <w:t xml:space="preserve">;</w:t>
      </w:r>
      <w:r>
        <w:t xml:space="preserve"> </w:t>
      </w:r>
      <w:r>
        <w:t xml:space="preserve">- пути — через</w:t>
      </w:r>
      <w:r>
        <w:t xml:space="preserve"> </w:t>
      </w:r>
      <w:r>
        <w:rPr>
          <w:rStyle w:val="VerbatimChar"/>
        </w:rPr>
        <w:t xml:space="preserve">java.nio.file.Path</w:t>
      </w:r>
      <w:r>
        <w:t xml:space="preserve">; каталоги конфигурации, данных и логов задаются настройкой, не зашиты;</w:t>
      </w:r>
      <w:r>
        <w:t xml:space="preserve"> </w:t>
      </w:r>
      <w:r>
        <w:t xml:space="preserve">- имена файлов ресурсов и шаблонов — с точным регистром (в Linux файловая система чувствительна к регистру);</w:t>
      </w:r>
      <w:r>
        <w:t xml:space="preserve"> </w:t>
      </w:r>
      <w:r>
        <w:t xml:space="preserve">- путь к утилитам PostgreSQL (</w:t>
      </w:r>
      <w:r>
        <w:rPr>
          <w:rStyle w:val="VerbatimChar"/>
        </w:rPr>
        <w:t xml:space="preserve">pg_dump</w:t>
      </w:r>
      <w:r>
        <w:t xml:space="preserve">) — настройкой;</w:t>
      </w:r>
      <w:r>
        <w:t xml:space="preserve"> </w:t>
      </w:r>
      <w:r>
        <w:t xml:space="preserve">- отчёты не зависят от шрифтов Windows: нужные шрифты поставляются с приложением;</w:t>
      </w:r>
      <w:r>
        <w:t xml:space="preserve"> </w:t>
      </w:r>
      <w:r>
        <w:t xml:space="preserve">- связь с прибором Sparx — по HTTP, переносима. Плата Wildcat работала через COM-порт — если её понадобится поддержать, это место потребует отдельного внимания.</w:t>
      </w:r>
    </w:p>
    <w:bookmarkEnd w:id="42"/>
    <w:bookmarkStart w:id="43" w:name="установка"/>
    <w:p>
      <w:pPr>
        <w:pStyle w:val="Heading3"/>
      </w:pPr>
      <w:r>
        <w:t xml:space="preserve">11.2. Установка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Для Windows — установщик Inno Setup. Java внутри (</w:t>
      </w:r>
      <w:r>
        <w:rPr>
          <w:rStyle w:val="VerbatimChar"/>
        </w:rPr>
        <w:t xml:space="preserve">jlink</w:t>
      </w:r>
      <w:r>
        <w:t xml:space="preserve">); PostgreSQL не входит, заказчик ставит его сам по инструкции. Заказчик получает исходный код и сам распространяет программу, поэтому установщик должен собираться у него из исходников.</w:t>
      </w:r>
    </w:p>
    <w:p>
      <w:pPr>
        <w:pStyle w:val="BodyText"/>
      </w:pPr>
      <w:r>
        <w:rPr>
          <w:b/>
          <w:bCs/>
        </w:rPr>
        <w:t xml:space="preserve">Предложение.</w:t>
      </w:r>
      <w:r>
        <w:t xml:space="preserve"> </w:t>
      </w:r>
      <w:r>
        <w:t xml:space="preserve">- Настройка — в самом приложении: мастер первого запуска в браузере (подключение к PostgreSQL с проверкой, создание таблиц, первый администратор). Установщик делает только платформенную часть: копирует файлы, регистрирует службу, создаёт ярлык и правило брандмауэра. Так установщик остаётся тонким, а мастер пригодится и для Linux.</w:t>
      </w:r>
      <w:r>
        <w:t xml:space="preserve"> </w:t>
      </w:r>
      <w:r>
        <w:t xml:space="preserve">- Приложение работает как служба Windows (обёртка WinSW): стартует вместе с компьютером без входа пользователя — нужно для ночных последовательностей.</w:t>
      </w:r>
      <w:r>
        <w:t xml:space="preserve"> </w:t>
      </w:r>
      <w:r>
        <w:t xml:space="preserve">- Сборка</w:t>
      </w:r>
      <w:r>
        <w:t xml:space="preserve"> </w:t>
      </w:r>
      <w:r>
        <w:rPr>
          <w:rStyle w:val="VerbatimChar"/>
        </w:rPr>
        <w:t xml:space="preserve">setup.exe</w:t>
      </w:r>
      <w:r>
        <w:t xml:space="preserve"> </w:t>
      </w:r>
      <w:r>
        <w:t xml:space="preserve">— отдельным профилем Maven на Windows-машине с Inno Setup. Цифровая подпись (сертификат заказчика) добавляется одним параметром сборки; без подписи Windows SmartScreen предупреждает о неизвестном издателе.</w:t>
      </w:r>
    </w:p>
    <w:bookmarkEnd w:id="43"/>
    <w:bookmarkStart w:id="44" w:name="обновления"/>
    <w:p>
      <w:pPr>
        <w:pStyle w:val="Heading3"/>
      </w:pPr>
      <w:r>
        <w:t xml:space="preserve">11.3. Обновления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Автообновления и онлайн-проверки обновлений нет: на компьютерах клиентов, как правило, нет интернета. Обновление — новый</w:t>
      </w:r>
      <w:r>
        <w:t xml:space="preserve"> </w:t>
      </w:r>
      <w:r>
        <w:rPr>
          <w:rStyle w:val="VerbatimChar"/>
        </w:rPr>
        <w:t xml:space="preserve">setup.exe</w:t>
      </w:r>
      <w:r>
        <w:t xml:space="preserve">, который заказчик передаёт клиенту (ссылка, почта, флешка); клиент запускает его поверх установленной версии.</w:t>
      </w:r>
    </w:p>
    <w:p>
      <w:pPr>
        <w:pStyle w:val="BodyText"/>
      </w:pPr>
      <w:r>
        <w:rPr>
          <w:b/>
          <w:bCs/>
        </w:rPr>
        <w:t xml:space="preserve">Предложение.</w:t>
      </w:r>
    </w:p>
    <w:p>
      <w:pPr>
        <w:pStyle w:val="BodyText"/>
      </w:pPr>
      <w:r>
        <w:t xml:space="preserve">Раскладка на диске:</w:t>
      </w:r>
      <w:r>
        <w:t xml:space="preserve"> </w:t>
      </w:r>
      <w:r>
        <w:t xml:space="preserve">- программа и Java —</w:t>
      </w:r>
      <w:r>
        <w:t xml:space="preserve"> </w:t>
      </w:r>
      <w:r>
        <w:rPr>
          <w:rStyle w:val="VerbatimChar"/>
        </w:rPr>
        <w:t xml:space="preserve">C:\Program Files\HAWK-EYE Phoenix\</w:t>
      </w:r>
      <w:r>
        <w:t xml:space="preserve">, заменяется при обновлении;</w:t>
      </w:r>
      <w:r>
        <w:t xml:space="preserve"> </w:t>
      </w:r>
      <w:r>
        <w:t xml:space="preserve">- настройки и логи —</w:t>
      </w:r>
      <w:r>
        <w:t xml:space="preserve"> </w:t>
      </w:r>
      <w:r>
        <w:rPr>
          <w:rStyle w:val="VerbatimChar"/>
        </w:rPr>
        <w:t xml:space="preserve">C:\ProgramData\HAWK-EYE Phoenix\</w:t>
      </w:r>
      <w:r>
        <w:t xml:space="preserve">, при обновлении и удалении программы не трогаются.</w:t>
      </w:r>
    </w:p>
    <w:p>
      <w:pPr>
        <w:pStyle w:val="BodyText"/>
      </w:pPr>
      <w:r>
        <w:t xml:space="preserve">Порядок обновления:</w:t>
      </w:r>
      <w:r>
        <w:t xml:space="preserve"> </w:t>
      </w:r>
      <w:r>
        <w:t xml:space="preserve">1. Установщик спрашивает у работающего приложения его состояние (локальный HTTP-запрос). Если идёт анализ или последовательность — установщик сообщает об этом и предлагает повторить позже; службу не останавливает.</w:t>
      </w:r>
      <w:r>
        <w:t xml:space="preserve"> </w:t>
      </w:r>
      <w:r>
        <w:t xml:space="preserve">2. Остановка службы, замена файлов программы, запуск службы.</w:t>
      </w:r>
      <w:r>
        <w:t xml:space="preserve"> </w:t>
      </w:r>
      <w:r>
        <w:t xml:space="preserve">3. При старте приложение обновляет структуру БД через Liquibase: если есть неприменённые changeset’ы — сначала бэкап базы (</w:t>
      </w:r>
      <w:r>
        <w:rPr>
          <w:rStyle w:val="VerbatimChar"/>
        </w:rPr>
        <w:t xml:space="preserve">pg_dump</w:t>
      </w:r>
      <w:r>
        <w:t xml:space="preserve">), затем changeset’ы (раздел 8.4).</w:t>
      </w:r>
      <w:r>
        <w:t xml:space="preserve"> </w:t>
      </w:r>
      <w:r>
        <w:t xml:space="preserve">4. Приложение не запускается на базе, которую уже обновила более новая версия (защита от установки старой версии поверх новой базы).</w:t>
      </w:r>
      <w:r>
        <w:t xml:space="preserve"> </w:t>
      </w:r>
      <w:r>
        <w:t xml:space="preserve">5. Номер версии виден в интерфейсе (окно «About» и страница администратора).</w:t>
      </w:r>
    </w:p>
    <w:p>
      <w:pPr>
        <w:pStyle w:val="BodyText"/>
      </w:pPr>
      <w:r>
        <w:t xml:space="preserve">Откат — установка предыдущего</w:t>
      </w:r>
      <w:r>
        <w:t xml:space="preserve"> </w:t>
      </w:r>
      <w:r>
        <w:rPr>
          <w:rStyle w:val="VerbatimChar"/>
        </w:rPr>
        <w:t xml:space="preserve">setup.exe</w:t>
      </w:r>
      <w:r>
        <w:t xml:space="preserve"> </w:t>
      </w:r>
      <w:r>
        <w:t xml:space="preserve">и восстановление бэкапа, сделанного перед миграцией, по инструкции.</w:t>
      </w:r>
    </w:p>
    <w:p>
      <w:pPr>
        <w:pStyle w:val="BodyText"/>
      </w:pPr>
      <w:r>
        <w:t xml:space="preserve">Укладывается в текущие оценки: установщик — неделя «Installer» в 0.1; Liquibase и бэкап перед обновлением структуры — вместе с новой структурой БД в 0.2.</w:t>
      </w:r>
    </w:p>
    <w:p>
      <w:pPr>
        <w:pStyle w:val="BodyText"/>
      </w:pPr>
      <w:r>
        <w:t xml:space="preserve">Не закладываем: загрузку пакета обновления через страницу администратора, онлайн-проверку, корпоративное развёртывание (MSI, SCCM/Intune) — можно добавить, если клиенты заказчика попросят.</w:t>
      </w:r>
    </w:p>
    <w:bookmarkEnd w:id="44"/>
    <w:bookmarkEnd w:id="45"/>
    <w:bookmarkStart w:id="46" w:name="исходный-код"/>
    <w:p>
      <w:pPr>
        <w:pStyle w:val="Heading2"/>
      </w:pPr>
      <w:r>
        <w:t xml:space="preserve">12. Исходный код</w:t>
      </w:r>
    </w:p>
    <w:p>
      <w:pPr>
        <w:pStyle w:val="FirstParagraph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Хостинг — GitHub:</w:t>
      </w:r>
      <w:r>
        <w:t xml:space="preserve"> </w:t>
      </w:r>
      <w:r>
        <w:rPr>
          <w:rStyle w:val="VerbatimChar"/>
        </w:rPr>
        <w:t xml:space="preserve">https://github.com/mnogono/hawk-eye.git</w:t>
      </w:r>
      <w:r>
        <w:t xml:space="preserve">. Ранний прототип примерно десятилетней давности (Maven,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</w:t>
      </w:r>
      <w:r>
        <w:t xml:space="preserve">, файлы IntelliJ IDEA) удалён из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 остался только в истории git; основой новой версии он не является.</w:t>
      </w:r>
    </w:p>
    <w:p>
      <w:pPr>
        <w:pStyle w:val="BodyText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напрямую не коммитим; работа идёт в рабочих ветках.</w:t>
      </w:r>
    </w:p>
    <w:p>
      <w:pPr>
        <w:pStyle w:val="BodyText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Документы проекта — в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репозитория: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 карта маршрута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и её генератор</w:t>
      </w:r>
      <w:r>
        <w:t xml:space="preserve"> </w:t>
      </w:r>
      <w:r>
        <w:rPr>
          <w:rStyle w:val="VerbatimChar"/>
        </w:rPr>
        <w:t xml:space="preserve">tools/route-map/</w:t>
      </w:r>
      <w:r>
        <w:t xml:space="preserve">, сборка DOCX</w:t>
      </w:r>
      <w:r>
        <w:t xml:space="preserve"> </w:t>
      </w:r>
      <w:r>
        <w:rPr>
          <w:rStyle w:val="VerbatimChar"/>
        </w:rPr>
        <w:t xml:space="preserve">build-docx.cmd</w:t>
      </w:r>
      <w:r>
        <w:t xml:space="preserve">; собранные</w:t>
      </w:r>
      <w:r>
        <w:t xml:space="preserve"> </w:t>
      </w:r>
      <w:r>
        <w:rPr>
          <w:rStyle w:val="VerbatimChar"/>
        </w:rPr>
        <w:t xml:space="preserve">roadmap.docx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spec.docx</w:t>
      </w:r>
      <w:r>
        <w:t xml:space="preserve"> </w:t>
      </w:r>
      <w:r>
        <w:t xml:space="preserve">хранятся в git рядом с исходниками.</w:t>
      </w:r>
    </w:p>
    <w:p>
      <w:pPr>
        <w:pStyle w:val="BodyText"/>
      </w:pPr>
      <w:r>
        <w:rPr>
          <w:b/>
          <w:bCs/>
        </w:rPr>
        <w:t xml:space="preserve">Решено.</w:t>
      </w:r>
      <w:r>
        <w:t xml:space="preserve"> </w:t>
      </w:r>
      <w:r>
        <w:t xml:space="preserve">Новая версия начинается с рабочей ветки от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(каркас проекта), после проверки — слияние в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через pull request.</w:t>
      </w:r>
    </w:p>
    <w:bookmarkEnd w:id="46"/>
    <w:bookmarkStart w:id="47" w:name="открытые-вопросы"/>
    <w:p>
      <w:pPr>
        <w:pStyle w:val="Heading2"/>
      </w:pPr>
      <w:r>
        <w:t xml:space="preserve">13. Открытые вопросы</w:t>
      </w:r>
    </w:p>
    <w:p>
      <w:pPr>
        <w:pStyle w:val="Compact"/>
        <w:numPr>
          <w:ilvl w:val="0"/>
          <w:numId w:val="1006"/>
        </w:numPr>
      </w:pPr>
      <w:r>
        <w:t xml:space="preserve">Поддержка плат Wildcat (раздел 6).</w:t>
      </w:r>
    </w:p>
    <w:p>
      <w:pPr>
        <w:pStyle w:val="Compact"/>
        <w:numPr>
          <w:ilvl w:val="0"/>
          <w:numId w:val="1006"/>
        </w:numPr>
      </w:pPr>
      <w:r>
        <w:t xml:space="preserve">Установить Python 3 и проверить запуск эмулятора Sparx (раздел 7).</w:t>
      </w:r>
    </w:p>
    <w:p>
      <w:pPr>
        <w:pStyle w:val="Compact"/>
        <w:numPr>
          <w:ilvl w:val="0"/>
          <w:numId w:val="1006"/>
        </w:numPr>
      </w:pPr>
      <w:r>
        <w:t xml:space="preserve">Создание бэкапа через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— подтвердить (раздел 8.3).</w:t>
      </w:r>
    </w:p>
    <w:p>
      <w:pPr>
        <w:pStyle w:val="Compact"/>
        <w:numPr>
          <w:ilvl w:val="0"/>
          <w:numId w:val="1006"/>
        </w:numPr>
      </w:pPr>
      <w:r>
        <w:t xml:space="preserve">Библиотека генерации отчётов (раздел 9).</w:t>
      </w:r>
    </w:p>
    <w:p>
      <w:pPr>
        <w:pStyle w:val="Compact"/>
        <w:numPr>
          <w:ilvl w:val="0"/>
          <w:numId w:val="1006"/>
        </w:numPr>
      </w:pPr>
      <w:r>
        <w:t xml:space="preserve">Экраны старой версии, которых нет в дорожной карте: калибровка температуры образца, статическая и динамическая калибровка печи, журналы прибора и событий, обслуживание, статистика прибора, тесты Watlow и системы.</w:t>
      </w:r>
    </w:p>
    <w:p>
      <w:pPr>
        <w:pStyle w:val="Compact"/>
        <w:numPr>
          <w:ilvl w:val="0"/>
          <w:numId w:val="1006"/>
        </w:numPr>
      </w:pPr>
      <w:r>
        <w:t xml:space="preserve">Нужно ли управлять шагами сбора данных из интерфейса.</w:t>
      </w:r>
    </w:p>
    <w:p>
      <w:pPr>
        <w:pStyle w:val="Compact"/>
        <w:numPr>
          <w:ilvl w:val="0"/>
          <w:numId w:val="1006"/>
        </w:numPr>
      </w:pPr>
      <w:r>
        <w:t xml:space="preserve">Лицензия Liquibase 5.x (FSL) — устраивает ли заказчика, или берём 4.x (раздел 8.4).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2026-10-10T04:14:39Z</dcterms:created>
  <dcterms:modified xsi:type="dcterms:W3CDTF">2026-10-10T04:14:39Z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