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ESP32-RC-Sound</w:t>
      </w:r>
    </w:p>
    <w:p>
      <w:pPr>
        <w:spacing w:after="240"/>
      </w:pPr>
      <w:r>
        <w:rPr>
          <w:color w:val="808080"/>
          <w:sz w:val="26"/>
          <w:szCs w:val="26"/>
        </w:rPr>
        <w:t xml:space="preserve">Versionsanalyse &amp; Übertragbarkeit der v1.24-Korrekturen</w:t>
      </w:r>
    </w:p>
    <w:p>
      <w:pPr>
        <w:spacing w:after="120"/>
      </w:pPr>
      <w:r>
        <w:rPr>
          <w:sz w:val="22"/>
          <w:szCs w:val="22"/>
        </w:rPr>
        <w:t xml:space="preserve">Dieses Dokument vergleicht die Versionen 0.45, 0.70, 0.85 und 1.24 des ESP32-RC-Sound-Moduls und bewertet, welche der in v1.24 vorgenommenen CRSF-Korrekturen sich auf die älteren, noch gepflegten Versionen 0.70 und 0.85 übertragen lassen.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  Versionsüberblick</w:t>
      </w:r>
    </w:p>
    <w:tbl>
      <w:tblPr>
        <w:tblW w:type="dxa" w:w="99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300"/>
        <w:gridCol w:w="6500"/>
        <w:gridCol w:w="2100"/>
      </w:tblGrid>
      <w:tr>
        <w:trPr>
          <w:tblHeader/>
        </w:trPr>
        <w:tc>
          <w:tcPr>
            <w:tcW w:type="dxa" w:w="1300"/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Kernmerkmale</w:t>
            </w:r>
          </w:p>
        </w:tc>
        <w:tc>
          <w:tcPr>
            <w:tcW w:type="dxa" w:w="2100"/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</w:t>
            </w:r>
          </w:p>
        </w:tc>
      </w:tr>
      <w:tr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0.45</w:t>
            </w:r>
          </w:p>
        </w:tc>
        <w:tc>
          <w:tcPr>
            <w:tcW w:type="dxa" w:w="6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Frühe Basis; SBUS/CRSF-Eingang, Soundausgabe. Versionsstrings uneinheitlich (v0.13/v0.44/v0.45 im Code).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Referenz / historisch</w:t>
            </w:r>
          </w:p>
        </w:tc>
      </w:tr>
      <w:tr>
        <w:tc>
          <w:tcPr>
            <w:tcW w:type="dxa" w:w="13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6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CRSF-Parametersystem (Lua-Menü) vorhanden. Kein S.Port. Sendet eigenen Batterie-Frame.</w:t>
            </w:r>
          </w:p>
        </w:tc>
        <w:tc>
          <w:tcPr>
            <w:tcW w:type="dxa" w:w="21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Vergleichsbasis</w:t>
            </w:r>
          </w:p>
        </w:tc>
      </w:tr>
      <w:tr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6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Wie 0.70 plus S.Port-LiPo-Telemetrie. Versionsstrings uneinheitlich (v0.70/v0.85 im Code).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Vergleichsbasis</w:t>
            </w:r>
          </w:p>
        </w:tc>
      </w:tr>
      <w:tr>
        <w:tc>
          <w:tcPr>
            <w:tcW w:type="dxa" w:w="13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1.24</w:t>
            </w:r>
          </w:p>
        </w:tc>
        <w:tc>
          <w:tcPr>
            <w:tcW w:type="dxa" w:w="6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Aktuelle Endfassung: eindeutige CRSF-Adresse, Ping-Slot, lückenlose Parameter-IDs, RxBt vom Empfänger, Absturz-Schutz.</w:t>
            </w:r>
          </w:p>
        </w:tc>
        <w:tc>
          <w:tcPr>
            <w:tcW w:type="dxa" w:w="21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final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2  Feature-Matrix</w:t>
      </w:r>
    </w:p>
    <w:p>
      <w:pPr>
        <w:spacing w:after="120"/>
      </w:pPr>
      <w:r>
        <w:rPr>
          <w:sz w:val="22"/>
          <w:szCs w:val="22"/>
        </w:rPr>
        <w:t xml:space="preserve">Gegenüberstellung der für die CRSF-Konfiguration relevanten Funktionen. „ja“ = im Code vorhanden.</w:t>
      </w:r>
    </w:p>
    <w:tbl>
      <w:tblPr>
        <w:tblW w:type="dxa" w:w="99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5400"/>
        <w:gridCol w:w="1500"/>
        <w:gridCol w:w="1500"/>
        <w:gridCol w:w="1500"/>
      </w:tblGrid>
      <w:tr>
        <w:trPr>
          <w:tblHeader/>
        </w:trPr>
        <w:tc>
          <w:tcPr>
            <w:tcW w:type="dxa" w:w="5400"/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500"/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0.70</w:t>
            </w:r>
          </w:p>
        </w:tc>
        <w:tc>
          <w:tcPr>
            <w:tcW w:type="dxa" w:w="1500"/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0.85</w:t>
            </w:r>
          </w:p>
        </w:tc>
        <w:tc>
          <w:tcPr>
            <w:tcW w:type="dxa" w:w="1500"/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1.24</w:t>
            </w:r>
          </w:p>
        </w:tc>
      </w:tr>
      <w:tr>
        <w:tc>
          <w:tcPr>
            <w:tcW w:type="dxa" w:w="5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CRSF-Parametersystem (Lua-Menü)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54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S.Port-LiPo-Telemetrie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5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Einzelzellen über CRSF-Voltages (0x0E)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54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Parameter-IDs lückenlos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5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Eindeutige CRSF-Adresse (aus WM-Adresse)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54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Ping-Answer-Slot (Multi-Device)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5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RxBt bleibt Empfängermessung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54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Absturz-Schutz bei Laufzeit-HW-Wechsel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ja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Hinweis: 0.70 und 0.85 haben </w:t>
      </w:r>
      <w:r>
        <w:rPr>
          <w:b/>
          <w:bCs/>
          <w:sz w:val="20"/>
          <w:szCs w:val="20"/>
        </w:rPr>
        <w:t xml:space="preserve">keine</w:t>
      </w:r>
      <w:r>
        <w:rPr>
          <w:color w:val="808080"/>
          <w:sz w:val="20"/>
          <w:szCs w:val="20"/>
        </w:rPr>
        <w:t xml:space="preserve"> Parameter-Lücke – sie besitzen die Parameter 69/70 (Ebenen-Umschaltkanäle) noch. Die Lücke entstand erst nach 0.85, als diese Parameter entfernt wurden, ohne die höheren IDs (71–74) nachzurücken. In 1.24 ist sie geschlossen (IDs 1–72, nachgerückt).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3  Die Korrekturen in v1.24</w:t>
      </w:r>
    </w:p>
    <w:p>
      <w:pPr>
        <w:pStyle w:val="Heading2"/>
        <w:spacing w:after="80" w:before="200"/>
      </w:pPr>
      <w:r>
        <w:rPr>
          <w:b/>
          <w:bCs/>
          <w:color w:val="2E74B5"/>
        </w:rPr>
        <w:t xml:space="preserve">3.1  Eindeutige CRSF-Geräteadresse</w:t>
      </w:r>
    </w:p>
    <w:p>
      <w:pPr>
        <w:spacing w:after="120"/>
      </w:pPr>
      <w:r>
        <w:rPr>
          <w:sz w:val="22"/>
          <w:szCs w:val="22"/>
        </w:rPr>
        <w:t xml:space="preserve">Bis 1.23 meldete sich das Modul im CRSF-Parametersystem fest als 0xC8 (Flight Controller). Betreibt man mehrere solcher Module am selben Empfänger (z. B. zusätzlich ein Wilhelm-Meier-Multiswitch), kollidieren die Adressen und der TBS Agent zeigt nur eines. v1.24 leitet die Adresse aus der WM-Adresse ab: </w:t>
      </w:r>
      <w:r>
        <w:rPr>
          <w:b/>
          <w:bCs/>
          <w:sz w:val="22"/>
          <w:szCs w:val="22"/>
        </w:rPr>
        <w:t xml:space="preserve">Adresse = 0xC0 + WM-Adresse</w:t>
      </w:r>
      <w:r>
        <w:rPr>
          <w:sz w:val="22"/>
          <w:szCs w:val="22"/>
        </w:rPr>
        <w:t xml:space="preserve"> (WM0→0xC0, WM2→0xC2).</w:t>
      </w:r>
    </w:p>
    <w:p>
      <w:pPr>
        <w:pStyle w:val="Heading2"/>
        <w:spacing w:after="80" w:before="200"/>
      </w:pPr>
      <w:r>
        <w:rPr>
          <w:b/>
          <w:bCs/>
          <w:color w:val="2E74B5"/>
        </w:rPr>
        <w:t xml:space="preserve">3.2  Ping-Answer-Slot</w:t>
      </w:r>
    </w:p>
    <w:p>
      <w:pPr>
        <w:spacing w:after="120"/>
      </w:pPr>
      <w:r>
        <w:rPr>
          <w:sz w:val="22"/>
          <w:szCs w:val="22"/>
        </w:rPr>
        <w:t xml:space="preserve">Damit sich die device-info-Antworten mehrerer Module auf dem Downlink nicht überlagern, antwortet jedes Modul erst in seinem Zeit-Slot nach dem Wilhelm-Meier-Schema: </w:t>
      </w:r>
      <w:r>
        <w:rPr>
          <w:b/>
          <w:bCs/>
          <w:sz w:val="22"/>
          <w:szCs w:val="22"/>
        </w:rPr>
        <w:t xml:space="preserve">Slot = (Adresse − 0xC0) × 2</w:t>
      </w:r>
      <w:r>
        <w:rPr>
          <w:sz w:val="22"/>
          <w:szCs w:val="22"/>
        </w:rPr>
        <w:t xml:space="preserve">, Verzögerung = Slot × CRSF_SLOT_MS (5 ms). So erscheinen alle Module getrennt.</w:t>
      </w:r>
    </w:p>
    <w:p>
      <w:pPr>
        <w:pStyle w:val="Heading2"/>
        <w:spacing w:after="80" w:before="200"/>
      </w:pPr>
      <w:r>
        <w:rPr>
          <w:b/>
          <w:bCs/>
          <w:color w:val="2E74B5"/>
        </w:rPr>
        <w:t xml:space="preserve">3.3  Lückenlose Parameter-IDs</w:t>
      </w:r>
    </w:p>
    <w:p>
      <w:pPr>
        <w:spacing w:after="120"/>
      </w:pPr>
      <w:r>
        <w:rPr>
          <w:sz w:val="22"/>
          <w:szCs w:val="22"/>
        </w:rPr>
        <w:t xml:space="preserve">Der ELRS-Lua-Agent fragt beim Menü-Aufbau alle Parameter der Reihe nach ab. Eine fehlende ID lässt das ganze Menü abbrechen. In 1.23 fehlten 69/70; v1.24 rückt 71–74 auf 69–72 nach und setzt CRSF_PARAM_COUNT korrekt auf 72.</w:t>
      </w:r>
    </w:p>
    <w:p>
      <w:pPr>
        <w:pStyle w:val="Heading2"/>
        <w:spacing w:after="80" w:before="200"/>
      </w:pPr>
      <w:r>
        <w:rPr>
          <w:b/>
          <w:bCs/>
          <w:color w:val="2E74B5"/>
        </w:rPr>
        <w:t xml:space="preserve">3.4  RxBt vom Empfänger</w:t>
      </w:r>
    </w:p>
    <w:p>
      <w:pPr>
        <w:spacing w:after="120"/>
      </w:pPr>
      <w:r>
        <w:rPr>
          <w:sz w:val="22"/>
          <w:szCs w:val="22"/>
        </w:rPr>
        <w:t xml:space="preserve">Das Modul sendet keinen eigenen Batterie-Frame (0x08) mehr. Dadurch bleibt RxBt die vom Empfänger selbst gemessene Spannung. Einzelzellen laufen über den Voltages-Frame (0x0E) und kollidieren nicht.</w:t>
      </w:r>
    </w:p>
    <w:p>
      <w:pPr>
        <w:pStyle w:val="Heading2"/>
        <w:spacing w:after="80" w:before="200"/>
      </w:pPr>
      <w:r>
        <w:rPr>
          <w:b/>
          <w:bCs/>
          <w:color w:val="2E74B5"/>
        </w:rPr>
        <w:t xml:space="preserve">3.5  Absturz-Schutz</w:t>
      </w:r>
    </w:p>
    <w:p>
      <w:pPr>
        <w:spacing w:after="120"/>
      </w:pPr>
      <w:r>
        <w:rPr>
          <w:sz w:val="22"/>
          <w:szCs w:val="22"/>
        </w:rPr>
        <w:t xml:space="preserve">Wird Hardware_Config zur Laufzeit auf V4 gestellt, ohne dass S.Port initialisiert wurde, verhinderte fehlender Null-Check einen Absturz. v1.24 fängt das ab (S.Port arbeitet nach einem Neustart).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4  Übertragbarkeit auf 0.70 und 0.85</w:t>
      </w:r>
    </w:p>
    <w:p>
      <w:pPr>
        <w:spacing w:after="120"/>
      </w:pPr>
      <w:r>
        <w:rPr>
          <w:sz w:val="22"/>
          <w:szCs w:val="22"/>
        </w:rPr>
        <w:t xml:space="preserve">Bewertung, welche v1.24-Korrektur für die jeweilige Version sinnvoll und nötig ist. „nötig“ = behebt ein reales Problem dieser Version; „n. a.“ = Funktion in dieser Version nicht vorhanden.</w:t>
      </w:r>
    </w:p>
    <w:tbl>
      <w:tblPr>
        <w:tblW w:type="dxa" w:w="10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3000"/>
        <w:gridCol w:w="1500"/>
        <w:gridCol w:w="1500"/>
        <w:gridCol w:w="4400"/>
      </w:tblGrid>
      <w:tr>
        <w:trPr>
          <w:tblHeader/>
        </w:trPr>
        <w:tc>
          <w:tcPr>
            <w:tcW w:type="dxa" w:w="3000"/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Korrektur</w:t>
            </w:r>
          </w:p>
        </w:tc>
        <w:tc>
          <w:tcPr>
            <w:tcW w:type="dxa" w:w="1500"/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0.70</w:t>
            </w:r>
          </w:p>
        </w:tc>
        <w:tc>
          <w:tcPr>
            <w:tcW w:type="dxa" w:w="1500"/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0.85</w:t>
            </w:r>
          </w:p>
        </w:tc>
        <w:tc>
          <w:tcPr>
            <w:tcW w:type="dxa" w:w="4400"/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Eindeutige CRSF-Adresse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empfohlen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empfohlen</w:t>
            </w:r>
          </w:p>
        </w:tc>
        <w:tc>
          <w:tcPr>
            <w:tcW w:type="dxa" w:w="4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Beide nutzen fest 0xC8 → Kollision bei Multi-Device. Übertragbar (CRSF-Parametersystem vorhanden).</w:t>
            </w:r>
          </w:p>
        </w:tc>
      </w:tr>
      <w:tr>
        <w:tc>
          <w:tcPr>
            <w:tcW w:type="dxa" w:w="30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Ping-Answer-Slot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empfohlen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empfohlen</w:t>
            </w:r>
          </w:p>
        </w:tc>
        <w:tc>
          <w:tcPr>
            <w:tcW w:type="dxa" w:w="44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Nur zusammen mit der Adress-Kopplung sinnvoll (Multi-Device).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Parameter-Lücke schließen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n. nötig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n. nötig</w:t>
            </w:r>
          </w:p>
        </w:tc>
        <w:tc>
          <w:tcPr>
            <w:tcW w:type="dxa" w:w="4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Beide sind bereits lückenlos (69/70 vorhanden).</w:t>
            </w:r>
          </w:p>
        </w:tc>
      </w:tr>
      <w:tr>
        <w:tc>
          <w:tcPr>
            <w:tcW w:type="dxa" w:w="30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RxBt vom Empfänger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nötig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n. nötig</w:t>
            </w:r>
          </w:p>
        </w:tc>
        <w:tc>
          <w:tcPr>
            <w:tcW w:type="dxa" w:w="44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 sendet einen Batterie-Frame (überschreibt RxBt); 0.85 tut das nicht mehr.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Absturz-Schutz S.Port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n. a.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empfohlen</w:t>
            </w:r>
          </w:p>
        </w:tc>
        <w:tc>
          <w:tcPr>
            <w:tcW w:type="dxa" w:w="4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 hat kein S.Port; 0.85 hat S.Port und profitiert vom Null-Check.</w:t>
            </w:r>
          </w:p>
        </w:tc>
      </w:tr>
      <w:tr>
        <w:tc>
          <w:tcPr>
            <w:tcW w:type="dxa" w:w="30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S.Port-LiPo-Dekodierfixes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n. a.</w:t>
            </w:r>
          </w:p>
        </w:tc>
        <w:tc>
          <w:tcPr>
            <w:tcW w:type="dxa" w:w="15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prüfen</w:t>
            </w:r>
          </w:p>
        </w:tc>
        <w:tc>
          <w:tcPr>
            <w:tcW w:type="dxa" w:w="4400"/>
            <w:shd w:fill="EEF3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 ohne S.Port; bei 0.85 abhängig davon, ob die State-Machine-/FLVSS-Fixes schon enthalten sind.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Versionsstrings vereinheitlichen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empfohlen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B6E0B"/>
                <w:sz w:val="20"/>
                <w:szCs w:val="20"/>
              </w:rPr>
              <w:t xml:space="preserve">empfohlen</w:t>
            </w:r>
          </w:p>
        </w:tc>
        <w:tc>
          <w:tcPr>
            <w:tcW w:type="dxa" w:w="4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Beide mischen alte Versionsnummern im Code (0.70: v0.70; 0.85: v0.70/v0.85).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5  Empfehlung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Wer nur ein einzelnes Modul am Empfänger betreibt, braucht die Adress-Kopplung und den Slot nicht – die älteren Versionen funktionieren im Einzelbetrieb.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Sobald mehrere CRSF-Konfigurationsgeräte am selben Empfänger hängen (Soundmodul + Multiswitch), sind Adress-Kopplung und Ping-Slot in allen beteiligten Modulen erforderlich – sonst überlagern sich die Geräteantworten.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Für 0.70 ist zusätzlich der RxBt-Fix sinnvoll, wenn die Empfängerspannung korrekt angezeigt werden soll.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Für 0.85 lohnt der Absturz-Schutz und die Prüfung, ob die S.Port-Dekodierfixes (State-Machine, FLVSS-Format, Poll-ID-Zuordnung) bereits enthalten sind.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Empfänger-Voraussetzung für Multi-Device: ExpressLRS ab Version 4.x (leitet Nicht-0xC8-Adressen bidirektional weiter).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Die konkrete Code-Übertragung auf 0.70 bzw. 0.85 ist überschaubar (Adress-Helfer, Slot-Verzögerung, ggf. Entfernen des Batterie-Frames) und kann auf Wunsch als eigener Build erstellt werden.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Versionsanalyse 1.24</dc:title>
  <dc:creator>ESP32-RC-Sound</dc:creator>
  <cp:lastModifiedBy>Un-named</cp:lastModifiedBy>
  <cp:revision>1</cp:revision>
  <dcterms:created xsi:type="dcterms:W3CDTF">2026-07-08T19:48:40.290Z</dcterms:created>
  <dcterms:modified xsi:type="dcterms:W3CDTF">2026-07-08T19:48:40.311Z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