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data-sanitizer-poo-notice-dutilisation"/>
    <w:p>
      <w:pPr>
        <w:pStyle w:val="Heading1"/>
      </w:pPr>
      <w:r>
        <w:t xml:space="preserve">Data Sanitizer (POO) — Notice d’utilisation</w:t>
      </w:r>
    </w:p>
    <w:p>
      <w:pPr>
        <w:pStyle w:val="FirstParagraph"/>
      </w:pPr>
      <w:r>
        <w:t xml:space="preserve">Dernière mise à jour : 2025‑08‑26</w:t>
      </w:r>
    </w:p>
    <w:bookmarkStart w:id="20" w:name="objet-du-projet"/>
    <w:p>
      <w:pPr>
        <w:pStyle w:val="Heading2"/>
      </w:pPr>
      <w:r>
        <w:t xml:space="preserve">1. Objet du projet</w:t>
      </w:r>
    </w:p>
    <w:p>
      <w:pPr>
        <w:pStyle w:val="FirstParagraph"/>
      </w:pPr>
      <w:r>
        <w:t xml:space="preserve">Data Sanitizer fournit une chaîne fiable pour importer, normaliser et écrire des historiques de prix d’actions dans PostgreSQL. La refonte POO vise 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stabilité/fiabilité</w:t>
      </w:r>
      <w:r>
        <w:t xml:space="preserve"> </w:t>
      </w:r>
      <w:r>
        <w:t xml:space="preserve">des données (flux idempotent, upserts, vues de compatibilité);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intégration simple</w:t>
      </w:r>
      <w:r>
        <w:t xml:space="preserve"> </w:t>
      </w:r>
      <w:r>
        <w:t xml:space="preserve">par d’autres projets (ex.</w:t>
      </w:r>
      <w:r>
        <w:t xml:space="preserve"> </w:t>
      </w:r>
      <w:r>
        <w:rPr>
          <w:i/>
          <w:iCs/>
        </w:rPr>
        <w:t xml:space="preserve">MarketAdvisor</w:t>
      </w:r>
      <w:r>
        <w:t xml:space="preserve">) via une API CLI et des conventions de schéma stables.</w:t>
      </w:r>
    </w:p>
    <w:bookmarkEnd w:id="20"/>
    <w:bookmarkStart w:id="21" w:name="prérequis"/>
    <w:p>
      <w:pPr>
        <w:pStyle w:val="Heading2"/>
      </w:pPr>
      <w:r>
        <w:t xml:space="preserve">2. Prérequis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Python</w:t>
      </w:r>
      <w:r>
        <w:t xml:space="preserve"> 3.12+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PostgreSQL</w:t>
      </w:r>
      <w:r>
        <w:t xml:space="preserve"> 14+ (local ou distant)</w:t>
      </w:r>
    </w:p>
    <w:p>
      <w:pPr>
        <w:pStyle w:val="Compact"/>
        <w:numPr>
          <w:ilvl w:val="0"/>
          <w:numId w:val="1001"/>
        </w:numPr>
      </w:pPr>
      <w:r>
        <w:t xml:space="preserve">Accès réseau vers</w:t>
      </w:r>
      <w:r>
        <w:t xml:space="preserve"> </w:t>
      </w:r>
      <w:r>
        <w:rPr>
          <w:i/>
          <w:iCs/>
        </w:rPr>
        <w:t xml:space="preserve">Yahoo Finance</w:t>
      </w:r>
      <w:r>
        <w:t xml:space="preserve"> </w:t>
      </w:r>
      <w:r>
        <w:t xml:space="preserve">(utilisé par</w:t>
      </w:r>
      <w:r>
        <w:t xml:space="preserve"> </w:t>
      </w:r>
      <w:r>
        <w:rPr>
          <w:rStyle w:val="VerbatimChar"/>
        </w:rPr>
        <w:t xml:space="preserve">yfinance</w:t>
      </w:r>
      <w:r>
        <w:t xml:space="preserve">).</w:t>
      </w:r>
    </w:p>
    <w:bookmarkEnd w:id="21"/>
    <w:bookmarkStart w:id="22" w:name="installation"/>
    <w:p>
      <w:pPr>
        <w:pStyle w:val="Heading2"/>
      </w:pPr>
      <w:r>
        <w:t xml:space="preserve">3. Installation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.venv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.venv/bin/activate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.</w:t>
      </w:r>
    </w:p>
    <w:bookmarkEnd w:id="22"/>
    <w:bookmarkStart w:id="24" w:name="configuration"/>
    <w:p>
      <w:pPr>
        <w:pStyle w:val="Heading2"/>
      </w:pPr>
      <w:r>
        <w:t xml:space="preserve">4. Configuration</w:t>
      </w:r>
    </w:p>
    <w:p>
      <w:pPr>
        <w:pStyle w:val="FirstParagraph"/>
      </w:pPr>
      <w:r>
        <w:t xml:space="preserve">Créer un fichier</w:t>
      </w:r>
      <w:r>
        <w:t xml:space="preserve"> </w:t>
      </w:r>
      <w:r>
        <w:rPr>
          <w:b/>
          <w:bCs/>
        </w:rPr>
        <w:t xml:space="preserve">.env</w:t>
      </w:r>
      <w:r>
        <w:t xml:space="preserve"> </w:t>
      </w:r>
      <w:r>
        <w:t xml:space="preserve">à la racine :</w:t>
      </w:r>
    </w:p>
    <w:p>
      <w:pPr>
        <w:pStyle w:val="SourceCode"/>
      </w:pPr>
      <w:r>
        <w:rPr>
          <w:rStyle w:val="DataTypeTok"/>
        </w:rPr>
        <w:t xml:space="preserve">DATABASE_URL</w:t>
      </w:r>
      <w:r>
        <w:rPr>
          <w:rStyle w:val="OtherTok"/>
        </w:rPr>
        <w:t xml:space="preserve">=</w:t>
      </w:r>
      <w:r>
        <w:rPr>
          <w:rStyle w:val="StringTok"/>
        </w:rPr>
        <w:t xml:space="preserve">postgresql://pea_user:pea_password@127.0.0.1:5432/pea_db</w:t>
      </w:r>
      <w:r>
        <w:br/>
      </w:r>
      <w:r>
        <w:rPr>
          <w:rStyle w:val="DataTypeTok"/>
        </w:rPr>
        <w:t xml:space="preserve">DS_PRICE_READ_VIEW</w:t>
      </w:r>
      <w:r>
        <w:rPr>
          <w:rStyle w:val="OtherTok"/>
        </w:rPr>
        <w:t xml:space="preserve">=</w:t>
      </w:r>
      <w:r>
        <w:rPr>
          <w:rStyle w:val="StringTok"/>
        </w:rPr>
        <w:t xml:space="preserve">v_prices_compat</w:t>
      </w:r>
      <w:r>
        <w:br/>
      </w:r>
      <w:r>
        <w:rPr>
          <w:rStyle w:val="DataTypeTok"/>
        </w:rPr>
        <w:t xml:space="preserve">DS_PRICE_WRITE_TABLE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equity_prices</w:t>
      </w:r>
      <w:r>
        <w:br/>
      </w:r>
      <w:r>
        <w:rPr>
          <w:rStyle w:val="DataTypeTok"/>
        </w:rPr>
        <w:t xml:space="preserve">DS_PRICE_DATE_COL</w:t>
      </w:r>
      <w:r>
        <w:rPr>
          <w:rStyle w:val="OtherTok"/>
        </w:rPr>
        <w:t xml:space="preserve">=</w:t>
      </w:r>
      <w:r>
        <w:rPr>
          <w:rStyle w:val="StringTok"/>
        </w:rPr>
        <w:t xml:space="preserve">price_date</w:t>
      </w:r>
      <w:r>
        <w:br/>
      </w:r>
      <w:r>
        <w:rPr>
          <w:rStyle w:val="DataTypeTok"/>
        </w:rPr>
        <w:t xml:space="preserve">LOG_LEVEL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INFO</w:t>
      </w:r>
      <w:r>
        <w:br/>
      </w:r>
      <w:r>
        <w:rPr>
          <w:rStyle w:val="DataTypeTok"/>
        </w:rPr>
        <w:t xml:space="preserve">REQUEST_PAUSE_S</w:t>
      </w:r>
      <w:r>
        <w:rPr>
          <w:rStyle w:val="OtherTok"/>
        </w:rPr>
        <w:t xml:space="preserve">=</w:t>
      </w:r>
      <w:r>
        <w:rPr>
          <w:rStyle w:val="FloatTok"/>
        </w:rPr>
        <w:t xml:space="preserve">0.6</w:t>
      </w:r>
      <w:r>
        <w:br/>
      </w:r>
      <w:r>
        <w:rPr>
          <w:rStyle w:val="DataTypeTok"/>
        </w:rPr>
        <w:t xml:space="preserve">YF_TIMEOUT_S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</w:p>
    <w:p>
      <w:pPr>
        <w:pStyle w:val="BlockText"/>
      </w:pPr>
      <w:r>
        <w:t xml:space="preserve">Le chargement de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est</w:t>
      </w:r>
      <w:r>
        <w:t xml:space="preserve"> </w:t>
      </w:r>
      <w:r>
        <w:rPr>
          <w:b/>
          <w:bCs/>
        </w:rPr>
        <w:t xml:space="preserve">automatique</w:t>
      </w:r>
      <w:r>
        <w:t xml:space="preserve"> </w:t>
      </w:r>
      <w:r>
        <w:t xml:space="preserve">(aucun</w:t>
      </w:r>
      <w:r>
        <w:t xml:space="preserve"> </w:t>
      </w:r>
      <w:r>
        <w:rPr>
          <w:rStyle w:val="VerbatimChar"/>
        </w:rPr>
        <w:t xml:space="preserve">export</w:t>
      </w:r>
      <w:r>
        <w:t xml:space="preserve"> </w:t>
      </w:r>
      <w:r>
        <w:t xml:space="preserve">requis).</w:t>
      </w:r>
    </w:p>
    <w:bookmarkStart w:id="23" w:name="objets-de-base-attendus-côté-db"/>
    <w:p>
      <w:pPr>
        <w:pStyle w:val="Heading3"/>
      </w:pPr>
      <w:r>
        <w:t xml:space="preserve">4.1 Objets de base attendus côté DB</w:t>
      </w:r>
    </w:p>
    <w:p>
      <w:pPr>
        <w:pStyle w:val="Compact"/>
        <w:numPr>
          <w:ilvl w:val="0"/>
          <w:numId w:val="1002"/>
        </w:numPr>
      </w:pPr>
      <w:r>
        <w:t xml:space="preserve">Table</w:t>
      </w:r>
      <w:r>
        <w:t xml:space="preserve"> </w:t>
      </w:r>
      <w:r>
        <w:rPr>
          <w:b/>
          <w:bCs/>
        </w:rPr>
        <w:t xml:space="preserve">equities</w:t>
      </w:r>
      <w:r>
        <w:t xml:space="preserve"> : univers des titres (incluant</w:t>
      </w:r>
      <w:r>
        <w:t xml:space="preserve"> </w:t>
      </w:r>
      <w:r>
        <w:rPr>
          <w:rStyle w:val="VerbatimChar"/>
        </w:rPr>
        <w:t xml:space="preserve">isin</w:t>
      </w:r>
      <w:r>
        <w:t xml:space="preserve">,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,</w:t>
      </w:r>
      <w:r>
        <w:t xml:space="preserve"> </w:t>
      </w:r>
      <w:r>
        <w:rPr>
          <w:rStyle w:val="VerbatimChar"/>
        </w:rPr>
        <w:t xml:space="preserve">is_active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is_valid</w:t>
      </w:r>
      <w:r>
        <w:t xml:space="preserve">, etc.).</w:t>
      </w:r>
    </w:p>
    <w:p>
      <w:pPr>
        <w:pStyle w:val="Compact"/>
        <w:numPr>
          <w:ilvl w:val="0"/>
          <w:numId w:val="1002"/>
        </w:numPr>
      </w:pPr>
      <w:r>
        <w:t xml:space="preserve">Table</w:t>
      </w:r>
      <w:r>
        <w:t xml:space="preserve"> </w:t>
      </w:r>
      <w:r>
        <w:rPr>
          <w:b/>
          <w:bCs/>
        </w:rPr>
        <w:t xml:space="preserve">equity_prices</w:t>
      </w:r>
      <w:r>
        <w:t xml:space="preserve"> : historique des prix (clé :</w:t>
      </w:r>
      <w:r>
        <w:t xml:space="preserve"> </w:t>
      </w:r>
      <w:r>
        <w:rPr>
          <w:rStyle w:val="VerbatimChar"/>
        </w:rPr>
        <w:t xml:space="preserve">(isin, symbol, price_date)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Vue</w:t>
      </w:r>
      <w:r>
        <w:t xml:space="preserve"> </w:t>
      </w:r>
      <w:r>
        <w:rPr>
          <w:b/>
          <w:bCs/>
        </w:rPr>
        <w:t xml:space="preserve">v_prices_compat</w:t>
      </w:r>
      <w:r>
        <w:t xml:space="preserve"> : vue de lecture (compatibilité).</w:t>
      </w:r>
    </w:p>
    <w:p>
      <w:pPr>
        <w:pStyle w:val="FirstParagraph"/>
      </w:pPr>
      <w:r>
        <w:rPr>
          <w:i/>
          <w:iCs/>
        </w:rPr>
        <w:t xml:space="preserve">Exemple SQL idempotent pour la vue :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.v_prices_compat;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.v_prices_compat (</w:t>
      </w:r>
      <w:r>
        <w:br/>
      </w:r>
      <w:r>
        <w:rPr>
          <w:rStyle w:val="NormalTok"/>
        </w:rPr>
        <w:t xml:space="preserve">  isin, symbol, price_date, open_price, close_price, high_price, low_price, volume, adj_close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isin, symbol, price_date, open_price, close_price, high_price, low_price, volume, adj_close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.equity_prices;</w:t>
      </w:r>
    </w:p>
    <w:bookmarkEnd w:id="23"/>
    <w:bookmarkEnd w:id="24"/>
    <w:bookmarkStart w:id="28" w:name="utilisation-cli"/>
    <w:p>
      <w:pPr>
        <w:pStyle w:val="Heading2"/>
      </w:pPr>
      <w:r>
        <w:t xml:space="preserve">5. Utilisation — CLI</w:t>
      </w:r>
    </w:p>
    <w:p>
      <w:pPr>
        <w:pStyle w:val="FirstParagraph"/>
      </w:pPr>
      <w:r>
        <w:t xml:space="preserve">Le binaire</w:t>
      </w:r>
      <w:r>
        <w:t xml:space="preserve"> </w:t>
      </w:r>
      <w:r>
        <w:rPr>
          <w:rStyle w:val="VerbatimChar"/>
          <w:b/>
          <w:bCs/>
        </w:rPr>
        <w:t xml:space="preserve">data-sanitizer</w:t>
      </w:r>
      <w:r>
        <w:t xml:space="preserve"> </w:t>
      </w:r>
      <w:r>
        <w:t xml:space="preserve">charge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automatiquement et expose une</w:t>
      </w:r>
      <w:r>
        <w:t xml:space="preserve"> </w:t>
      </w:r>
      <w:r>
        <w:rPr>
          <w:b/>
          <w:bCs/>
        </w:rPr>
        <w:t xml:space="preserve">commande unique</w:t>
      </w:r>
      <w:r>
        <w:t xml:space="preserve">.</w:t>
      </w:r>
    </w:p>
    <w:bookmarkStart w:id="25" w:name="vérifier-la-connexion-db"/>
    <w:p>
      <w:pPr>
        <w:pStyle w:val="Heading3"/>
      </w:pPr>
      <w:r>
        <w:t xml:space="preserve">5.1 Vérifier la connexion DB</w:t>
      </w:r>
    </w:p>
    <w:p>
      <w:pPr>
        <w:pStyle w:val="SourceCode"/>
      </w:pPr>
      <w:r>
        <w:rPr>
          <w:rStyle w:val="ExtensionTok"/>
        </w:rPr>
        <w:t xml:space="preserve">data-sanitizer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--check-db</w:t>
      </w:r>
    </w:p>
    <w:p>
      <w:pPr>
        <w:pStyle w:val="FirstParagraph"/>
      </w:pPr>
      <w:r>
        <w:t xml:space="preserve">Affiche un diagnostic ✅/❌ (hôte, base, user).</w:t>
      </w:r>
    </w:p>
    <w:bookmarkEnd w:id="25"/>
    <w:bookmarkStart w:id="26" w:name="mettre-à-jour-les-prix"/>
    <w:p>
      <w:pPr>
        <w:pStyle w:val="Heading3"/>
      </w:pPr>
      <w:r>
        <w:t xml:space="preserve">5.2 Mettre à jour les prix</w:t>
      </w:r>
    </w:p>
    <w:p>
      <w:pPr>
        <w:pStyle w:val="SourceCode"/>
      </w:pPr>
      <w:r>
        <w:rPr>
          <w:rStyle w:val="CommentTok"/>
        </w:rPr>
        <w:t xml:space="preserve"># Lecture seule (aucun write)</w:t>
      </w:r>
      <w:r>
        <w:br/>
      </w:r>
      <w:r>
        <w:rPr>
          <w:rStyle w:val="ExtensionTok"/>
        </w:rPr>
        <w:t xml:space="preserve">data-sanitizer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--dry-run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--since</w:t>
      </w:r>
      <w:r>
        <w:rPr>
          <w:rStyle w:val="NormalTok"/>
        </w:rPr>
        <w:t xml:space="preserve"> 2024-01-01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SAN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AIR.PA</w:t>
      </w:r>
      <w:r>
        <w:br/>
      </w:r>
      <w:r>
        <w:br/>
      </w:r>
      <w:r>
        <w:rPr>
          <w:rStyle w:val="CommentTok"/>
        </w:rPr>
        <w:t xml:space="preserve"># Écriture effective (par défaut), alias explicite possible</w:t>
      </w:r>
      <w:r>
        <w:br/>
      </w:r>
      <w:r>
        <w:rPr>
          <w:rStyle w:val="ExtensionTok"/>
        </w:rPr>
        <w:t xml:space="preserve">data-sanitizer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--write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--limit</w:t>
      </w:r>
      <w:r>
        <w:rPr>
          <w:rStyle w:val="NormalTok"/>
        </w:rPr>
        <w:t xml:space="preserve"> 10 </w:t>
      </w:r>
      <w:r>
        <w:rPr>
          <w:rStyle w:val="AttributeTok"/>
        </w:rPr>
        <w:t xml:space="preserve">--sleep</w:t>
      </w:r>
      <w:r>
        <w:rPr>
          <w:rStyle w:val="NormalTok"/>
        </w:rPr>
        <w:t xml:space="preserve"> 0.3</w:t>
      </w:r>
    </w:p>
    <w:p>
      <w:pPr>
        <w:pStyle w:val="FirstParagraph"/>
      </w:pPr>
      <w:r>
        <w:rPr>
          <w:b/>
          <w:bCs/>
        </w:rPr>
        <w:t xml:space="preserve">Options 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--since YYYY-MM-DD</w:t>
      </w:r>
      <w:r>
        <w:t xml:space="preserve"> : date de départ (sinon reprend à la dernière date connue).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--limit N</w:t>
      </w:r>
      <w:r>
        <w:t xml:space="preserve"> : nombre max de titres à traiter.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--only / -o</w:t>
      </w:r>
      <w:r>
        <w:t xml:space="preserve"> : filtrer par</w:t>
      </w:r>
      <w:r>
        <w:t xml:space="preserve"> </w:t>
      </w:r>
      <w:r>
        <w:rPr>
          <w:rStyle w:val="VerbatimChar"/>
        </w:rPr>
        <w:t xml:space="preserve">ISIN</w:t>
      </w:r>
      <w:r>
        <w:t xml:space="preserve">/</w:t>
      </w:r>
      <w:r>
        <w:rPr>
          <w:rStyle w:val="VerbatimChar"/>
        </w:rPr>
        <w:t xml:space="preserve">SYMBOL</w:t>
      </w:r>
      <w:r>
        <w:t xml:space="preserve"> </w:t>
      </w:r>
      <w:r>
        <w:t xml:space="preserve">(répétable).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--sleep S</w:t>
      </w:r>
      <w:r>
        <w:t xml:space="preserve"> : pause entre tickers (throttle Yahoo si besoin).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--dry-run</w:t>
      </w:r>
      <w:r>
        <w:t xml:space="preserve"> : ne rien écrire en base.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--write</w:t>
      </w:r>
      <w:r>
        <w:t xml:space="preserve"> : alias explicite pour écrire (optionnel, l’écriture est le mode par défaut si</w:t>
      </w:r>
      <w:r>
        <w:t xml:space="preserve"> </w:t>
      </w:r>
      <w:r>
        <w:rPr>
          <w:rStyle w:val="VerbatimChar"/>
        </w:rPr>
        <w:t xml:space="preserve">--dry-run</w:t>
      </w:r>
      <w:r>
        <w:t xml:space="preserve"> </w:t>
      </w:r>
      <w:r>
        <w:t xml:space="preserve">est absent).</w:t>
      </w:r>
    </w:p>
    <w:bookmarkEnd w:id="26"/>
    <w:bookmarkStart w:id="27" w:name="journalisation-progression"/>
    <w:p>
      <w:pPr>
        <w:pStyle w:val="Heading3"/>
      </w:pPr>
      <w:r>
        <w:t xml:space="preserve">5.3 Journalisation &amp; progression</w:t>
      </w:r>
    </w:p>
    <w:p>
      <w:pPr>
        <w:pStyle w:val="FirstParagraph"/>
      </w:pPr>
      <w:r>
        <w:t xml:space="preserve">Le service affiche des lignes de progression :</w:t>
      </w:r>
    </w:p>
    <w:p>
      <w:pPr>
        <w:pStyle w:val="SourceCode"/>
      </w:pPr>
      <w:r>
        <w:rPr>
          <w:rStyle w:val="VerbatimChar"/>
        </w:rPr>
        <w:t xml:space="preserve">[1/10] AIR.PA (ISIN …) … résolution du ticker</w:t>
      </w:r>
      <w:r>
        <w:br/>
      </w:r>
      <w:r>
        <w:rPr>
          <w:rStyle w:val="VerbatimChar"/>
        </w:rPr>
        <w:t xml:space="preserve">[1/10] AIR.PA (ISIN …) … téléchargement (AIR.PA, since=2024-01-01)</w:t>
      </w:r>
      <w:r>
        <w:br/>
      </w:r>
      <w:r>
        <w:rPr>
          <w:rStyle w:val="VerbatimChar"/>
        </w:rPr>
        <w:t xml:space="preserve">[1/10] AIR.PA (ISIN …) → ✅ écriture : 254 barres (total=6200, 1y=220)</w:t>
      </w:r>
    </w:p>
    <w:p>
      <w:pPr>
        <w:pStyle w:val="FirstParagraph"/>
      </w:pPr>
      <w:r>
        <w:t xml:space="preserve">Ajuster la verbosité via</w:t>
      </w:r>
      <w:r>
        <w:t xml:space="preserve"> </w:t>
      </w:r>
      <w:r>
        <w:rPr>
          <w:rStyle w:val="VerbatimChar"/>
        </w:rPr>
        <w:t xml:space="preserve">LOG_LEVEL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</w:t>
      </w:r>
    </w:p>
    <w:bookmarkEnd w:id="27"/>
    <w:bookmarkEnd w:id="28"/>
    <w:bookmarkStart w:id="31" w:name="X572934041ac9e6927cbd982fee6d984ade11955"/>
    <w:p>
      <w:pPr>
        <w:pStyle w:val="Heading2"/>
      </w:pPr>
      <w:r>
        <w:t xml:space="preserve">6. Intégration projet tiers (ex. MarketAdvisor)</w:t>
      </w:r>
    </w:p>
    <w:p>
      <w:pPr>
        <w:pStyle w:val="FirstParagraph"/>
      </w:pPr>
      <w:r>
        <w:t xml:space="preserve">Deux approches :</w:t>
      </w:r>
    </w:p>
    <w:bookmarkStart w:id="29" w:name="intégration-sql-directe-recommandée"/>
    <w:p>
      <w:pPr>
        <w:pStyle w:val="Heading3"/>
      </w:pPr>
      <w:r>
        <w:t xml:space="preserve">6.1 Intégration SQL directe (recommandée)</w:t>
      </w:r>
    </w:p>
    <w:p>
      <w:pPr>
        <w:pStyle w:val="FirstParagraph"/>
      </w:pPr>
      <w:r>
        <w:t xml:space="preserve">Lire depuis</w:t>
      </w:r>
      <w:r>
        <w:t xml:space="preserve"> </w:t>
      </w:r>
      <w:r>
        <w:rPr>
          <w:rStyle w:val="VerbatimChar"/>
          <w:b/>
          <w:bCs/>
        </w:rPr>
        <w:t xml:space="preserve">v_prices_compat</w:t>
      </w:r>
      <w:r>
        <w:t xml:space="preserve"> </w:t>
      </w:r>
      <w:r>
        <w:t xml:space="preserve">(contrat stable) 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v_prices_compat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'AIR.PA'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price_date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'2024-01-01'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Avantages : couplage minimal, pas de dépendance Python, compatibilité ascendante.</w:t>
      </w:r>
    </w:p>
    <w:bookmarkEnd w:id="29"/>
    <w:bookmarkStart w:id="30" w:name="intégration-python-en-dépendance"/>
    <w:p>
      <w:pPr>
        <w:pStyle w:val="Heading3"/>
      </w:pPr>
      <w:r>
        <w:t xml:space="preserve">6.2 Intégration Python (en dépendance)</w:t>
      </w:r>
    </w:p>
    <w:p>
      <w:pPr>
        <w:pStyle w:val="FirstParagraph"/>
      </w:pPr>
      <w:r>
        <w:t xml:space="preserve">Dans le projet client :</w:t>
      </w:r>
    </w:p>
    <w:p>
      <w:pPr>
        <w:pStyle w:val="SourceCode"/>
      </w:pPr>
      <w:r>
        <w:rPr>
          <w:rStyle w:val="CommentTok"/>
        </w:rPr>
        <w:t xml:space="preserve"># pyproject.toml</w:t>
      </w:r>
      <w:r>
        <w:br/>
      </w:r>
      <w:r>
        <w:rPr>
          <w:rStyle w:val="KeywordTok"/>
        </w:rPr>
        <w:t xml:space="preserve">[project]</w:t>
      </w:r>
      <w:r>
        <w:br/>
      </w:r>
      <w:r>
        <w:rPr>
          <w:rStyle w:val="DataTypeTok"/>
        </w:rPr>
        <w:t xml:space="preserve">dependencies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"data-sanitizer @ git+ssh://git@github.com/mnorodine/data_sanitizer_poo.git#egg=data-sanitizer"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]</w:t>
      </w:r>
    </w:p>
    <w:p>
      <w:pPr>
        <w:pStyle w:val="FirstParagraph"/>
      </w:pPr>
      <w:r>
        <w:t xml:space="preserve">Et appel en sous-process ou module :</w:t>
      </w:r>
    </w:p>
    <w:p>
      <w:pPr>
        <w:pStyle w:val="SourceCode"/>
      </w:pPr>
      <w:r>
        <w:rPr>
          <w:rStyle w:val="CommentTok"/>
        </w:rPr>
        <w:t xml:space="preserve"># sous-process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.venv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.venv/bin/activate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StringTok"/>
        </w:rPr>
        <w:t xml:space="preserve">"data-sanitizer @ git+ssh://git@github.com/mnorodine/data_sanitizer_poo.git#egg=data-sanitizer"</w:t>
      </w:r>
      <w:r>
        <w:br/>
      </w:r>
      <w:r>
        <w:rPr>
          <w:rStyle w:val="VariableTok"/>
        </w:rPr>
        <w:t xml:space="preserve">DATA_SANITIZER_OPTS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"--write --since 2025-01-01"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data-sanitizer</w:t>
      </w:r>
    </w:p>
    <w:p>
      <w:pPr>
        <w:pStyle w:val="BlockText"/>
      </w:pPr>
      <w:r>
        <w:t xml:space="preserve">Pour un couplage plus fort, exposer ultérieurement un mini-API Python (ports) est possible.</w:t>
      </w:r>
    </w:p>
    <w:bookmarkEnd w:id="30"/>
    <w:bookmarkEnd w:id="31"/>
    <w:bookmarkStart w:id="32" w:name="modèle-de-données-résumé"/>
    <w:p>
      <w:pPr>
        <w:pStyle w:val="Heading2"/>
      </w:pPr>
      <w:r>
        <w:t xml:space="preserve">7. Modèle de données (résumé)</w:t>
      </w:r>
    </w:p>
    <w:p>
      <w:pPr>
        <w:pStyle w:val="FirstParagraph"/>
      </w:pPr>
      <w:r>
        <w:rPr>
          <w:b/>
          <w:bCs/>
        </w:rPr>
        <w:t xml:space="preserve">equity_prices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isin</w:t>
      </w:r>
      <w:r>
        <w:t xml:space="preserve"> </w:t>
      </w:r>
      <w:r>
        <w:t xml:space="preserve">(text),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 </w:t>
      </w:r>
      <w:r>
        <w:t xml:space="preserve">(text),</w:t>
      </w:r>
      <w:r>
        <w:t xml:space="preserve"> </w:t>
      </w:r>
      <w:r>
        <w:rPr>
          <w:rStyle w:val="VerbatimChar"/>
        </w:rPr>
        <w:t xml:space="preserve">price_date</w:t>
      </w:r>
      <w:r>
        <w:t xml:space="preserve"> </w:t>
      </w:r>
      <w:r>
        <w:t xml:space="preserve">(date)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open_price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high_price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low_price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close_price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adj_close</w:t>
      </w:r>
      <w:r>
        <w:t xml:space="preserve"> </w:t>
      </w:r>
      <w:r>
        <w:t xml:space="preserve">(numeric)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volume</w:t>
      </w:r>
      <w:r>
        <w:t xml:space="preserve"> </w:t>
      </w:r>
      <w:r>
        <w:t xml:space="preserve">(bigint)</w:t>
      </w:r>
      <w:r>
        <w:t xml:space="preserve"> </w:t>
      </w:r>
      <w:r>
        <w:t xml:space="preserve">- Index :</w:t>
      </w:r>
      <w:r>
        <w:t xml:space="preserve"> </w:t>
      </w:r>
      <w:r>
        <w:rPr>
          <w:rStyle w:val="VerbatimChar"/>
        </w:rPr>
        <w:t xml:space="preserve">(isin, price_date)</w:t>
      </w:r>
      <w:r>
        <w:t xml:space="preserve">,</w:t>
      </w:r>
      <w:r>
        <w:t xml:space="preserve"> </w:t>
      </w:r>
      <w:r>
        <w:rPr>
          <w:rStyle w:val="VerbatimChar"/>
        </w:rPr>
        <w:t xml:space="preserve">(symbol, price_date)</w:t>
      </w:r>
      <w:r>
        <w:t xml:space="preserve">; clé unique</w:t>
      </w:r>
      <w:r>
        <w:t xml:space="preserve"> </w:t>
      </w:r>
      <w:r>
        <w:rPr>
          <w:rStyle w:val="VerbatimChar"/>
        </w:rPr>
        <w:t xml:space="preserve">(isin, symbol, price_date)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equities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isin</w:t>
      </w:r>
      <w:r>
        <w:t xml:space="preserve"> </w:t>
      </w:r>
      <w:r>
        <w:t xml:space="preserve">(PK),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,</w:t>
      </w:r>
      <w:r>
        <w:t xml:space="preserve"> </w:t>
      </w:r>
      <w:r>
        <w:rPr>
          <w:rStyle w:val="VerbatimChar"/>
        </w:rPr>
        <w:t xml:space="preserve">is_active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is_valid</w:t>
      </w:r>
      <w:r>
        <w:t xml:space="preserve">, etc. (attributs de suivi et qualité)</w:t>
      </w:r>
    </w:p>
    <w:p>
      <w:pPr>
        <w:pStyle w:val="BodyText"/>
      </w:pPr>
      <w:r>
        <w:rPr>
          <w:b/>
          <w:bCs/>
        </w:rPr>
        <w:t xml:space="preserve">v_prices_compat</w:t>
      </w:r>
      <w:r>
        <w:t xml:space="preserve"> </w:t>
      </w:r>
      <w:r>
        <w:t xml:space="preserve">- Projection lecture‐seule identique à</w:t>
      </w:r>
      <w:r>
        <w:t xml:space="preserve"> </w:t>
      </w:r>
      <w:r>
        <w:rPr>
          <w:rStyle w:val="VerbatimChar"/>
        </w:rPr>
        <w:t xml:space="preserve">equity_prices</w:t>
      </w:r>
      <w:r>
        <w:t xml:space="preserve"> </w:t>
      </w:r>
      <w:r>
        <w:t xml:space="preserve">pour compatibilité.</w:t>
      </w:r>
    </w:p>
    <w:bookmarkEnd w:id="32"/>
    <w:bookmarkStart w:id="33" w:name="bonnes-pratiques-dexploitation"/>
    <w:p>
      <w:pPr>
        <w:pStyle w:val="Heading2"/>
      </w:pPr>
      <w:r>
        <w:t xml:space="preserve">8. Bonnes pratiques d’exploitation</w:t>
      </w:r>
    </w:p>
    <w:p>
      <w:pPr>
        <w:pStyle w:val="Compact"/>
        <w:numPr>
          <w:ilvl w:val="0"/>
          <w:numId w:val="1003"/>
        </w:numPr>
      </w:pPr>
      <w:r>
        <w:t xml:space="preserve">Lancer d’abord en</w:t>
      </w:r>
      <w:r>
        <w:t xml:space="preserve"> </w:t>
      </w:r>
      <w:r>
        <w:rPr>
          <w:rStyle w:val="VerbatimChar"/>
        </w:rPr>
        <w:t xml:space="preserve">--dry-run</w:t>
      </w:r>
      <w:r>
        <w:t xml:space="preserve"> </w:t>
      </w:r>
      <w:r>
        <w:t xml:space="preserve">sur un échantillon (</w:t>
      </w:r>
      <w:r>
        <w:rPr>
          <w:rStyle w:val="VerbatimChar"/>
        </w:rPr>
        <w:t xml:space="preserve">--limit 5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Programmer un job périodique (ex. cron / Actions) avec</w:t>
      </w:r>
      <w:r>
        <w:t xml:space="preserve"> </w:t>
      </w:r>
      <w:r>
        <w:rPr>
          <w:rStyle w:val="VerbatimChar"/>
        </w:rPr>
        <w:t xml:space="preserve">--sleep 0.3</w:t>
      </w:r>
      <w:r>
        <w:t xml:space="preserve"> </w:t>
      </w:r>
      <w:r>
        <w:t xml:space="preserve">pour limiter le throttling Yahoo.</w:t>
      </w:r>
    </w:p>
    <w:p>
      <w:pPr>
        <w:pStyle w:val="Compact"/>
        <w:numPr>
          <w:ilvl w:val="0"/>
          <w:numId w:val="1003"/>
        </w:numPr>
      </w:pPr>
      <w:r>
        <w:t xml:space="preserve">Surveiller la volumétrie : index présents, vacuum/analyse réguliers.</w:t>
      </w:r>
    </w:p>
    <w:bookmarkEnd w:id="33"/>
    <w:bookmarkStart w:id="34" w:name="dépannage"/>
    <w:p>
      <w:pPr>
        <w:pStyle w:val="Heading2"/>
      </w:pPr>
      <w:r>
        <w:t xml:space="preserve">9. Dépannage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Pas de logs / très lent</w:t>
      </w:r>
      <w:r>
        <w:t xml:space="preserve"> : ajouter</w:t>
      </w:r>
      <w:r>
        <w:t xml:space="preserve"> </w:t>
      </w:r>
      <w:r>
        <w:rPr>
          <w:rStyle w:val="VerbatimChar"/>
        </w:rPr>
        <w:t xml:space="preserve">--limit 5 --sleep 0.3</w:t>
      </w:r>
      <w:r>
        <w:t xml:space="preserve">. Yahoo peut limiter.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Connexion DB KO</w:t>
      </w:r>
      <w:r>
        <w:t xml:space="preserve"> : vérifier</w:t>
      </w:r>
      <w:r>
        <w:t xml:space="preserve"> </w:t>
      </w:r>
      <w:r>
        <w:rPr>
          <w:rStyle w:val="VerbatimChar"/>
        </w:rPr>
        <w:t xml:space="preserve">DATABASE_URL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.env</w:t>
      </w:r>
      <w:r>
        <w:t xml:space="preserve"> ; tester</w:t>
      </w:r>
      <w:r>
        <w:t xml:space="preserve"> </w:t>
      </w:r>
      <w:r>
        <w:rPr>
          <w:rStyle w:val="VerbatimChar"/>
        </w:rPr>
        <w:t xml:space="preserve">data-sanitizer --check-db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Aucun prix</w:t>
      </w:r>
      <w:r>
        <w:t xml:space="preserve"> : certains tickers Yahoo peuvent être déslistés ou renommés. Vérifier la résolution de ticker et le mapping</w:t>
      </w:r>
      <w:r>
        <w:t xml:space="preserve"> </w:t>
      </w:r>
      <w:r>
        <w:rPr>
          <w:rStyle w:val="VerbatimChar"/>
        </w:rPr>
        <w:t xml:space="preserve">equities</w:t>
      </w:r>
      <w:r>
        <w:t xml:space="preserve">.</w:t>
      </w:r>
    </w:p>
    <w:bookmarkEnd w:id="34"/>
    <w:bookmarkStart w:id="35" w:name="ci-qualité"/>
    <w:p>
      <w:pPr>
        <w:pStyle w:val="Heading2"/>
      </w:pPr>
      <w:r>
        <w:t xml:space="preserve">10. CI &amp; Qualité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GitHub Actions</w:t>
      </w:r>
      <w:r>
        <w:t xml:space="preserve"> : lint (</w:t>
      </w:r>
      <w:r>
        <w:rPr>
          <w:rStyle w:val="VerbatimChar"/>
        </w:rPr>
        <w:t xml:space="preserve">ruff</w:t>
      </w:r>
      <w:r>
        <w:t xml:space="preserve">) + tests (</w:t>
      </w:r>
      <w:r>
        <w:rPr>
          <w:rStyle w:val="VerbatimChar"/>
        </w:rPr>
        <w:t xml:space="preserve">pytest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Ruff</w:t>
      </w:r>
      <w:r>
        <w:t xml:space="preserve"> : respect PEP8, imports, etc.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Tests</w:t>
      </w:r>
      <w:r>
        <w:t xml:space="preserve"> : smoke tests fournis, à compléter (mocks provider/DB) selon besoins.</w:t>
      </w:r>
    </w:p>
    <w:bookmarkEnd w:id="35"/>
    <w:bookmarkStart w:id="36" w:name="roadmap-courte"/>
    <w:p>
      <w:pPr>
        <w:pStyle w:val="Heading2"/>
      </w:pPr>
      <w:r>
        <w:t xml:space="preserve">11. Roadmap courte</w:t>
      </w:r>
    </w:p>
    <w:p>
      <w:pPr>
        <w:pStyle w:val="Compact"/>
        <w:numPr>
          <w:ilvl w:val="0"/>
          <w:numId w:val="1006"/>
        </w:numPr>
      </w:pPr>
      <w:r>
        <w:t xml:space="preserve">Option</w:t>
      </w:r>
      <w:r>
        <w:t xml:space="preserve"> </w:t>
      </w:r>
      <w:r>
        <w:rPr>
          <w:rStyle w:val="VerbatimChar"/>
        </w:rPr>
        <w:t xml:space="preserve">--progress bar</w:t>
      </w:r>
      <w:r>
        <w:t xml:space="preserve"> </w:t>
      </w:r>
      <w:r>
        <w:t xml:space="preserve">(barre compacte)</w:t>
      </w:r>
    </w:p>
    <w:p>
      <w:pPr>
        <w:pStyle w:val="Compact"/>
        <w:numPr>
          <w:ilvl w:val="0"/>
          <w:numId w:val="1006"/>
        </w:numPr>
      </w:pPr>
      <w:r>
        <w:t xml:space="preserve">Endpoint Python (service) minimal pour intégration directe MarketAdvisor</w:t>
      </w:r>
    </w:p>
    <w:p>
      <w:pPr>
        <w:pStyle w:val="Compact"/>
        <w:numPr>
          <w:ilvl w:val="0"/>
          <w:numId w:val="1006"/>
        </w:numPr>
      </w:pPr>
      <w:r>
        <w:t xml:space="preserve">Stubs/implémentations pour</w:t>
      </w:r>
      <w:r>
        <w:t xml:space="preserve"> </w:t>
      </w:r>
      <w:r>
        <w:rPr>
          <w:rStyle w:val="VerbatimChar"/>
        </w:rPr>
        <w:t xml:space="preserve">recompute_counts()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update_bounds()</w:t>
      </w:r>
      <w:r>
        <w:t xml:space="preserve"> </w:t>
      </w:r>
      <w:r>
        <w:t xml:space="preserve">selon usage réel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2025 Data Sanitizer POO — Tous droits réservés.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2025-08-26T21:12:07Z</dcterms:created>
  <dcterms:modified xsi:type="dcterms:W3CDTF">2025-08-26T21:12:07Z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