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«Культура» — Управление отгрузками</w:t>
      </w:r>
    </w:p>
    <w:p>
      <w:pPr>
        <w:pStyle w:val="Subtitle"/>
      </w:pPr>
      <w:r>
        <w:rPr>
          <w:i/>
        </w:rPr>
        <w:t xml:space="preserve">Step-by-step user guide and data-source map · Sales Manager role</w:t>
      </w:r>
    </w:p>
    <w:p>
      <w:r>
        <w:t xml:space="preserve">This guide walks through every action a sales manager takes in the shipment-management system, from logging in to closing a completed shipment. For each step it states (1) what the user does and (2) where the information for that step comes from.</w:t>
      </w:r>
    </w:p>
    <w:p>
      <w:pPr>
        <w:spacing w:after="200"/>
      </w:pPr>
      <w:r>
        <w:rPr>
          <w:b/>
        </w:rPr>
        <w:t xml:space="preserve">Reading the "Data source" lines.  </w:t>
      </w:r>
      <w:r>
        <w:t xml:space="preserve">“</w:t>
      </w:r>
      <w:r>
        <w:rPr>
          <w:b/>
          <w:color w:val="C0392B"/>
        </w:rPr>
        <w:t xml:space="preserve">(blank)</w:t>
      </w:r>
      <w:r>
        <w:t xml:space="preserve">” marks information whose origin is not yet defined in the system — it is either entered manually by the manager or arrives from an external source that still needs to be connected. These are the points to clarify during implementation.</w:t>
      </w:r>
    </w:p>
    <w:p>
      <w:pPr>
        <w:pStyle w:val="Heading1"/>
      </w:pPr>
      <w:r>
        <w:t xml:space="preserve">Part A · Getting in</w:t>
      </w:r>
    </w:p>
    <w:p>
      <w:pPr>
        <w:pStyle w:val="Heading2"/>
      </w:pPr>
      <w:r>
        <w:t xml:space="preserve">Step 1 · Log in</w:t>
      </w:r>
    </w:p>
    <w:p>
      <w:r>
        <w:rPr>
          <w:b/>
        </w:rPr>
        <w:t xml:space="preserve">Action.  </w:t>
      </w:r>
      <w:r>
        <w:t xml:space="preserve">On the login screen, the user enters their corporate email address and password, then clicks «Войти» (Log in). The email must match a registered user; demo accounts use the password "demo".</w:t>
      </w:r>
    </w:p>
    <w:p>
      <w:pPr>
        <w:spacing w:after="180"/>
      </w:pPr>
      <w:r>
        <w:rPr>
          <w:b/>
        </w:rPr>
        <w:t xml:space="preserve">Data source.  </w:t>
      </w:r>
      <w:r>
        <w:t xml:space="preserve"/>
      </w:r>
      <w:r>
        <w:rPr>
          <w:b/>
          <w:color w:val="C0392B"/>
        </w:rPr>
        <w:t xml:space="preserve">(blank)</w:t>
      </w:r>
      <w:r>
        <w:t xml:space="preserve"> — corporate credentials are provisioned outside the system (IT / corporate directory). No sign-up exists inside the app.</w:t>
      </w:r>
    </w:p>
    <w:p>
      <w:pPr>
        <w:pStyle w:val="Heading2"/>
      </w:pPr>
      <w:r>
        <w:t xml:space="preserve">Step 2 · Land on the dashboard («Дашборд»)</w:t>
      </w:r>
    </w:p>
    <w:p>
      <w:r>
        <w:rPr>
          <w:b/>
        </w:rPr>
        <w:t xml:space="preserve">Action.  </w:t>
      </w:r>
      <w:r>
        <w:t xml:space="preserve">After login the manager lands on the dashboard: «Мои задачи на сегодня» (My tasks for today), a list of delayed shipments, summary cards (completed / cancelled for the period) and a rotation-health card. The manager only sees shipments and customers assigned to them.</w:t>
      </w:r>
    </w:p>
    <w:p>
      <w:pPr>
        <w:spacing w:after="180"/>
      </w:pPr>
      <w:r>
        <w:rPr>
          <w:b/>
        </w:rPr>
        <w:t xml:space="preserve">Data source.  </w:t>
      </w:r>
      <w:r>
        <w:t xml:space="preserve">Tasks are generated automatically from the manager's active shipments — each shipment's current status determines its "next task". Shipment records themselves originate from the supply plan (Step 3). Rotation health is computed from order history.</w:t>
      </w:r>
    </w:p>
    <w:p>
      <w:pPr>
        <w:pStyle w:val="Heading1"/>
      </w:pPr>
      <w:r>
        <w:t xml:space="preserve">Part B · Getting a shipment into the system</w:t>
      </w:r>
    </w:p>
    <w:p>
      <w:pPr>
        <w:pStyle w:val="Heading2"/>
      </w:pPr>
      <w:r>
        <w:t xml:space="preserve">Step 3 · Load / receive the supply plan («Загрузить план»)</w:t>
      </w:r>
    </w:p>
    <w:p>
      <w:r>
        <w:rPr>
          <w:b/>
        </w:rPr>
        <w:t xml:space="preserve">Action.  </w:t>
      </w:r>
      <w:r>
        <w:t xml:space="preserve">The manager loads or receives a supply plan. From this plan the system creates planned shipments and generates the manager's task list. In the shipment the imported file is shown as e.g. «План_поставок_2026-05-Q2.xlsx».</w:t>
      </w:r>
    </w:p>
    <w:p>
      <w:pPr>
        <w:spacing w:after="180"/>
      </w:pPr>
      <w:r>
        <w:rPr>
          <w:b/>
        </w:rPr>
        <w:t xml:space="preserve">Data source.  </w:t>
      </w:r>
      <w:r>
        <w:t xml:space="preserve"/>
      </w:r>
      <w:r>
        <w:rPr>
          <w:b/>
          <w:color w:val="C0392B"/>
        </w:rPr>
        <w:t xml:space="preserve">(blank)</w:t>
      </w:r>
      <w:r>
        <w:t xml:space="preserve"> — the plan is an external document (Excel) prepared by the planning department and uploaded into the system. The contents of that file are produced outside this application.</w:t>
      </w:r>
    </w:p>
    <w:p>
      <w:pPr>
        <w:pStyle w:val="Heading2"/>
      </w:pPr>
      <w:r>
        <w:t xml:space="preserve">Step 4 · Create / open a shipment (the "отгрузка")</w:t>
      </w:r>
    </w:p>
    <w:p>
      <w:r>
        <w:rPr>
          <w:b/>
        </w:rPr>
        <w:t xml:space="preserve">Action.  </w:t>
      </w:r>
      <w:r>
        <w:t xml:space="preserve">A shipment can appear two ways: (a) automatically from the loaded plan, or (b) manually via the «Новая отгрузка» (New shipment) button, or (c) from the «План отгрузок» (Shipment plan) page by clicking «Взять в работу» (Take into work) on a planned item, which moves it into active shipments.</w:t>
      </w:r>
    </w:p>
    <w:p>
      <w:r>
        <w:rPr>
          <w:b/>
        </w:rPr>
        <w:t xml:space="preserve">Automatic status.  </w:t>
      </w:r>
      <w:r>
        <w:t xml:space="preserve">As soon as a shipment is created it is automatically assigned the status </w:t>
      </w:r>
      <w:r>
        <w:rPr>
          <w:b/>
        </w:rPr>
        <w:t xml:space="preserve">«Запланировано» (Planned)</w:t>
      </w:r>
      <w:r>
        <w:t xml:space="preserve">.</w:t>
      </w:r>
    </w:p>
    <w:p>
      <w:pPr>
        <w:spacing w:after="180"/>
      </w:pPr>
      <w:r>
        <w:rPr>
          <w:b/>
        </w:rPr>
        <w:t xml:space="preserve">Data source.  </w:t>
      </w:r>
      <w:r>
        <w:t xml:space="preserve">Product, quantity, planned date and delivery address come from the supply plan (plan №2026-05-Q2) when imported. For a manually created shipment these fields are </w:t>
      </w:r>
      <w:r>
        <w:rPr>
          <w:b/>
          <w:color w:val="C0392B"/>
        </w:rPr>
        <w:t xml:space="preserve">(blank)</w:t>
      </w:r>
      <w:r>
        <w:t xml:space="preserve"> — entered by the manager from the customer's request. Customer name and delivery address are pulled from the customer record.</w:t>
      </w:r>
    </w:p>
    <w:p>
      <w:pPr>
        <w:pStyle w:val="Heading1"/>
      </w:pPr>
      <w:r>
        <w:t xml:space="preserve">Part C · Working the shipment through its lifecycle</w:t>
      </w:r>
    </w:p>
    <w:p>
      <w:r>
        <w:t xml:space="preserve">The manager moves the shipment forward stage by stage. Opening a shipment shows a workflow timeline, a "Следующая задача" (Next task) card with a single primary action, and seven tabs: Обзор, План и история, Согласование, Продукция и склад, Печать документов, Доставка, Журнал.</w:t>
      </w:r>
    </w:p>
    <w:p>
      <w:pPr>
        <w:pStyle w:val="Heading2"/>
      </w:pPr>
      <w:r>
        <w:t xml:space="preserve">Step 5 · Review the planned shipment  ·  status «Запланировано»</w:t>
      </w:r>
    </w:p>
    <w:p>
      <w:r>
        <w:rPr>
          <w:b/>
        </w:rPr>
        <w:t xml:space="preserve">Action.  </w:t>
      </w:r>
      <w:r>
        <w:t xml:space="preserve">Next task: «Проверить план отгрузки» (Check the shipment plan). On the «План и история» tab the manager reviews and, if needed, edits the planned date, quantity, delivery address and adds a comment; they can open/download the source plan file and view the customer's past shipments and a volume analysis.</w:t>
      </w:r>
    </w:p>
    <w:p>
      <w:pPr>
        <w:spacing w:after="180"/>
      </w:pPr>
      <w:r>
        <w:rPr>
          <w:b/>
        </w:rPr>
        <w:t xml:space="preserve">Data source.  </w:t>
      </w:r>
      <w:r>
        <w:t xml:space="preserve">Editable parameters come from the imported plan. Customer history and the volume analysis (current vs. average of past deliveries) are computed by the system from existing shipment records. Manager comment: </w:t>
      </w:r>
      <w:r>
        <w:rPr>
          <w:b/>
          <w:color w:val="C0392B"/>
        </w:rPr>
        <w:t xml:space="preserve">(blank)</w:t>
      </w:r>
      <w:r>
        <w:t xml:space="preserve"> — free text.</w:t>
      </w:r>
    </w:p>
    <w:p>
      <w:pPr>
        <w:spacing w:after="180"/>
      </w:pPr>
      <w:r>
        <w:rPr>
          <w:b/>
        </w:rPr>
        <w:t xml:space="preserve">Note.  </w:t>
      </w:r>
      <w:r>
        <w:t xml:space="preserve">Corrections are allowed for 5 days after the shipment is created; afterwards a new order is required (≈2-month lead time).</w:t>
      </w:r>
    </w:p>
    <w:p>
      <w:pPr>
        <w:pStyle w:val="Heading2"/>
      </w:pPr>
      <w:r>
        <w:t xml:space="preserve">Step 6 · Send for client approval  ·  → status «Ожидает согласования»</w:t>
      </w:r>
    </w:p>
    <w:p>
      <w:r>
        <w:rPr>
          <w:b/>
        </w:rPr>
        <w:t xml:space="preserve">Action.  </w:t>
      </w:r>
      <w:r>
        <w:t xml:space="preserve">The manager clicks «Отправить на согласование» (Send for approval). This moves the shipment to «Ожидает согласования» (Awaiting approval). The manager then contacts the client about the date, volume and delivery address.</w:t>
      </w:r>
    </w:p>
    <w:p>
      <w:pPr>
        <w:spacing w:after="180"/>
      </w:pPr>
      <w:r>
        <w:rPr>
          <w:b/>
        </w:rPr>
        <w:t xml:space="preserve">Data source.  </w:t>
      </w:r>
      <w:r>
        <w:t xml:space="preserve"/>
      </w:r>
      <w:r>
        <w:rPr>
          <w:b/>
          <w:color w:val="C0392B"/>
        </w:rPr>
        <w:t xml:space="preserve">(blank)</w:t>
      </w:r>
      <w:r>
        <w:t xml:space="preserve"> — client contact happens outside the system (phone / email). Contact person, phone and email shown on the Обзор tab come from the customer record.</w:t>
      </w:r>
    </w:p>
    <w:p>
      <w:pPr>
        <w:pStyle w:val="Heading2"/>
      </w:pPr>
      <w:r>
        <w:t xml:space="preserve">Step 7 · Record the client's approval  ·  «Согласование» tab</w:t>
      </w:r>
    </w:p>
    <w:p>
      <w:r>
        <w:rPr>
          <w:b/>
        </w:rPr>
        <w:t xml:space="preserve">Action.  </w:t>
      </w:r>
      <w:r>
        <w:t xml:space="preserve">Once the client agrees, the manager clicks «Зафиксировать согласование» (Confirm approval). They can also add comments, use «Запросить изменения» (Request changes), and «Создать напоминание» (Create a reminder) if the client is unresponsive.</w:t>
      </w:r>
    </w:p>
    <w:p>
      <w:r>
        <w:rPr>
          <w:b/>
        </w:rPr>
        <w:t xml:space="preserve">Automatic status.  </w:t>
      </w:r>
      <w:r>
        <w:t xml:space="preserve">Confirming approval automatically advances the shipment to </w:t>
      </w:r>
      <w:r>
        <w:rPr>
          <w:b/>
        </w:rPr>
        <w:t xml:space="preserve">«Подготовка» (Preparing)</w:t>
      </w:r>
      <w:r>
        <w:t xml:space="preserve">.</w:t>
      </w:r>
    </w:p>
    <w:p>
      <w:pPr>
        <w:spacing w:after="180"/>
      </w:pPr>
      <w:r>
        <w:rPr>
          <w:b/>
        </w:rPr>
        <w:t xml:space="preserve">Data source.  </w:t>
      </w:r>
      <w:r>
        <w:t xml:space="preserve"/>
      </w:r>
      <w:r>
        <w:rPr>
          <w:b/>
          <w:color w:val="C0392B"/>
        </w:rPr>
        <w:t xml:space="preserve">(blank)</w:t>
      </w:r>
      <w:r>
        <w:t xml:space="preserve"> — the client's agreement (by phone or email) is recorded manually by the manager. The approver name and timestamp are captured by the system when the button is pressed.</w:t>
      </w:r>
    </w:p>
    <w:p>
      <w:pPr>
        <w:pStyle w:val="Heading2"/>
      </w:pPr>
      <w:r>
        <w:t xml:space="preserve">Step 8 · Check stock &amp; reserve product  ·  status «Подготовка», «Продукция и склад» tab</w:t>
      </w:r>
    </w:p>
    <w:p>
      <w:r>
        <w:rPr>
          <w:b/>
        </w:rPr>
        <w:t xml:space="preserve">Action.  </w:t>
      </w:r>
      <w:r>
        <w:t xml:space="preserve">Next task: «Проверить остатки на складе» (Check warehouse stock). The tab lists each product with required / available / reserved / missing / incoming quantities plus batch and serial numbers. If there is a shortage the manager clicks «Создать заявку» (Create replenishment request).</w:t>
      </w:r>
    </w:p>
    <w:p>
      <w:pPr>
        <w:spacing w:after="180"/>
      </w:pPr>
      <w:r>
        <w:rPr>
          <w:b/>
        </w:rPr>
        <w:t xml:space="preserve">Data source.  </w:t>
      </w:r>
      <w:r>
        <w:t xml:space="preserve"/>
      </w:r>
      <w:r>
        <w:rPr>
          <w:b/>
          <w:color w:val="C0392B"/>
        </w:rPr>
        <w:t xml:space="preserve">(blank)</w:t>
      </w:r>
      <w:r>
        <w:t xml:space="preserve"> — warehouse stock, reserved amounts, batch and serial numbers should come from the warehouse / inventory (WMS) system; that connection is not yet defined. Required quantity comes from the shipment itself. Replenishment requests are raised monthly (≈2-month lead time).</w:t>
      </w:r>
    </w:p>
    <w:p>
      <w:pPr>
        <w:pStyle w:val="Heading2"/>
      </w:pPr>
      <w:r>
        <w:t xml:space="preserve">Step 9 · Generate &amp; print documents  ·  → status «Документы готовы»</w:t>
      </w:r>
    </w:p>
    <w:p>
      <w:r>
        <w:rPr>
          <w:b/>
        </w:rPr>
        <w:t xml:space="preserve">Action.  </w:t>
      </w:r>
      <w:r>
        <w:t xml:space="preserve">On the «Печать документов» tab the manager works a checklist of 5 documents — Упаковочный лист, Счёт-фактура, Товарная накладная ТОРГ-12, Складской лист отбора, Транспортная накладная (ТТН) — marking each one as printed. When all five are marked, «Перейти к доставке» moves the shipment to «В доставке».</w:t>
      </w:r>
    </w:p>
    <w:p>
      <w:pPr>
        <w:spacing w:after="180"/>
      </w:pPr>
      <w:r>
        <w:rPr>
          <w:b/>
        </w:rPr>
        <w:t xml:space="preserve">Data source.  </w:t>
      </w:r>
      <w:r>
        <w:t xml:space="preserve">Documents are auto-generated by the system from the shipment data. </w:t>
      </w:r>
      <w:r>
        <w:rPr>
          <w:b/>
          <w:color w:val="C0392B"/>
        </w:rPr>
        <w:t xml:space="preserve">(blank)</w:t>
      </w:r>
      <w:r>
        <w:t xml:space="preserve"> — any fields requiring manual entry are filled in by the manager before printing.</w:t>
      </w:r>
    </w:p>
    <w:p>
      <w:pPr>
        <w:pStyle w:val="Heading2"/>
      </w:pPr>
      <w:r>
        <w:t xml:space="preserve">Step 10 · Arrange delivery  ·  status «В доставке», «Доставка» tab</w:t>
      </w:r>
    </w:p>
    <w:p>
      <w:r>
        <w:rPr>
          <w:b/>
        </w:rPr>
        <w:t xml:space="preserve">Action.  </w:t>
      </w:r>
      <w:r>
        <w:t xml:space="preserve">The manager selects a carrier from «Выбор перевозчика», then fills in the delivery data: tracking number, dispatch date, driver, vehicle and ETA, and updates the delivery status (Готов к отправке → Отгружен → В пути → Доставлен, or Неудачная доставка / Возвращён). Click «Сохранить данные доставки».</w:t>
      </w:r>
    </w:p>
    <w:p>
      <w:pPr>
        <w:spacing w:after="180"/>
      </w:pPr>
      <w:r>
        <w:rPr>
          <w:b/>
        </w:rPr>
        <w:t xml:space="preserve">Data source.  </w:t>
      </w:r>
      <w:r>
        <w:t xml:space="preserve">The carrier list comes from the system configuration. </w:t>
      </w:r>
      <w:r>
        <w:rPr>
          <w:b/>
          <w:color w:val="C0392B"/>
        </w:rPr>
        <w:t xml:space="preserve">(blank)</w:t>
      </w:r>
      <w:r>
        <w:t xml:space="preserve"> — tracking number, driver, vehicle, dispatch date and ETA are entered by the manager from the carrier. Delivery address is carried over from the shipment automatically.</w:t>
      </w:r>
    </w:p>
    <w:p>
      <w:pPr>
        <w:pStyle w:val="Heading2"/>
      </w:pPr>
      <w:r>
        <w:t xml:space="preserve">Step 11 · Confirm receipt &amp; close  ·  → status «Завершено»</w:t>
      </w:r>
    </w:p>
    <w:p>
      <w:r>
        <w:rPr>
          <w:b/>
        </w:rPr>
        <w:t xml:space="preserve">Action.  </w:t>
      </w:r>
      <w:r>
        <w:t xml:space="preserve">After delivery the manager uploads the proof of delivery (signed document from the client) and clicks «Зафиксировать получение» (Confirm receipt) on the «Согласование» tab. The shipment closes.</w:t>
      </w:r>
    </w:p>
    <w:p>
      <w:r>
        <w:rPr>
          <w:b/>
        </w:rPr>
        <w:t xml:space="preserve">Automatic status.  </w:t>
      </w:r>
      <w:r>
        <w:t xml:space="preserve">Confirming receipt automatically moves the shipment to </w:t>
      </w:r>
      <w:r>
        <w:rPr>
          <w:b/>
        </w:rPr>
        <w:t xml:space="preserve">«Завершено» (Completed)</w:t>
      </w:r>
      <w:r>
        <w:t xml:space="preserve"> and it passes into history.</w:t>
      </w:r>
    </w:p>
    <w:p>
      <w:pPr>
        <w:spacing w:after="180"/>
      </w:pPr>
      <w:r>
        <w:rPr>
          <w:b/>
        </w:rPr>
        <w:t xml:space="preserve">Data source.  </w:t>
      </w:r>
      <w:r>
        <w:t xml:space="preserve"/>
      </w:r>
      <w:r>
        <w:rPr>
          <w:b/>
          <w:color w:val="C0392B"/>
        </w:rPr>
        <w:t xml:space="preserve">(blank)</w:t>
      </w:r>
      <w:r>
        <w:t xml:space="preserve"> — the signed proof-of-delivery document is provided by the client and uploaded by the manager.</w:t>
      </w:r>
    </w:p>
    <w:p>
      <w:pPr>
        <w:pStyle w:val="Heading1"/>
      </w:pPr>
      <w:r>
        <w:t xml:space="preserve">Part D · Actions available at any time</w:t>
      </w:r>
    </w:p>
    <w:p>
      <w:pPr>
        <w:pStyle w:val="Heading2"/>
      </w:pPr>
      <w:r>
        <w:t xml:space="preserve">Step 12 · Flag a delay («Пометить задержку»)</w:t>
      </w:r>
    </w:p>
    <w:p>
      <w:r>
        <w:rPr>
          <w:b/>
        </w:rPr>
        <w:t xml:space="preserve">Action.  </w:t>
      </w:r>
      <w:r>
        <w:t xml:space="preserve">At any stage the manager can mark a shipment as delayed and enter a reason. The flag then appears on the dashboard and in the shipment list. It can be removed with «Снять метку задержки».</w:t>
      </w:r>
    </w:p>
    <w:p>
      <w:pPr>
        <w:spacing w:after="180"/>
      </w:pPr>
      <w:r>
        <w:rPr>
          <w:b/>
        </w:rPr>
        <w:t xml:space="preserve">Data source.  </w:t>
      </w:r>
      <w:r>
        <w:t xml:space="preserve"/>
      </w:r>
      <w:r>
        <w:rPr>
          <w:b/>
          <w:color w:val="C0392B"/>
        </w:rPr>
        <w:t xml:space="preserve">(blank)</w:t>
      </w:r>
      <w:r>
        <w:t xml:space="preserve"> — the delay reason is free text entered by the manager.</w:t>
      </w:r>
    </w:p>
    <w:p>
      <w:pPr>
        <w:pStyle w:val="Heading2"/>
      </w:pPr>
      <w:r>
        <w:t xml:space="preserve">Step 13 · Change status manually / step back</w:t>
      </w:r>
    </w:p>
    <w:p>
      <w:r>
        <w:rPr>
          <w:b/>
        </w:rPr>
        <w:t xml:space="preserve">Action.  </w:t>
      </w:r>
      <w:r>
        <w:t xml:space="preserve">«Изменить статус» opens a dialog to jump to any status (skipping or returning is allowed). «Назад по этапу» steps one stage back. The timeline nodes can also be clicked to jump.</w:t>
      </w:r>
    </w:p>
    <w:p>
      <w:pPr>
        <w:spacing w:after="180"/>
      </w:pPr>
      <w:r>
        <w:rPr>
          <w:b/>
        </w:rPr>
        <w:t xml:space="preserve">Data source.  </w:t>
      </w:r>
      <w:r>
        <w:t xml:space="preserve">System action — recorded in the journal with the old → new status. No external data.</w:t>
      </w:r>
    </w:p>
    <w:p>
      <w:pPr>
        <w:pStyle w:val="Heading2"/>
      </w:pPr>
      <w:r>
        <w:t xml:space="preserve">Step 14 · Cancel a shipment («Отменить»)</w:t>
      </w:r>
    </w:p>
    <w:p>
      <w:r>
        <w:rPr>
          <w:b/>
        </w:rPr>
        <w:t xml:space="preserve">Action.  </w:t>
      </w:r>
      <w:r>
        <w:t xml:space="preserve">Available only from the «Ожидает согласования» or «Подготовка» stages. The manager enters a cancellation reason; the shipment moves to «Отменено» (Cancelled) and enters history. This cannot be undone. After documents are being prepared, cancellation is no longer available.</w:t>
      </w:r>
    </w:p>
    <w:p>
      <w:pPr>
        <w:spacing w:after="180"/>
      </w:pPr>
      <w:r>
        <w:rPr>
          <w:b/>
        </w:rPr>
        <w:t xml:space="preserve">Data source.  </w:t>
      </w:r>
      <w:r>
        <w:t xml:space="preserve"/>
      </w:r>
      <w:r>
        <w:rPr>
          <w:b/>
          <w:color w:val="C0392B"/>
        </w:rPr>
        <w:t xml:space="preserve">(blank)</w:t>
      </w:r>
      <w:r>
        <w:t xml:space="preserve"> — cancellation reason is free text entered by the manager.</w:t>
      </w:r>
    </w:p>
    <w:p>
      <w:pPr>
        <w:pStyle w:val="Heading1"/>
      </w:pPr>
      <w:r>
        <w:t xml:space="preserve">Part E · Supporting modules</w:t>
      </w:r>
    </w:p>
    <w:p>
      <w:pPr>
        <w:pStyle w:val="Heading2"/>
      </w:pPr>
      <w:r>
        <w:t xml:space="preserve">Step 15 · Shipments in work («Отгрузки в работе»)</w:t>
      </w:r>
    </w:p>
    <w:p>
      <w:r>
        <w:rPr>
          <w:b/>
        </w:rPr>
        <w:t xml:space="preserve">Action.  </w:t>
      </w:r>
      <w:r>
        <w:t xml:space="preserve">A searchable, filterable list of all the manager's shipments (by status, delayed-only, or free-text search across customer / product / ID). Clicking a card opens the shipment.</w:t>
      </w:r>
    </w:p>
    <w:p>
      <w:pPr>
        <w:spacing w:after="180"/>
      </w:pPr>
      <w:r>
        <w:rPr>
          <w:b/>
        </w:rPr>
        <w:t xml:space="preserve">Data source.  </w:t>
      </w:r>
      <w:r>
        <w:t xml:space="preserve">System — the manager's own shipment records.</w:t>
      </w:r>
    </w:p>
    <w:p>
      <w:pPr>
        <w:pStyle w:val="Heading2"/>
      </w:pPr>
      <w:r>
        <w:t xml:space="preserve">Step 16 · History &amp; reports («История отгрузок»)</w:t>
      </w:r>
    </w:p>
    <w:p>
      <w:r>
        <w:rPr>
          <w:b/>
        </w:rPr>
        <w:t xml:space="preserve">Action.  </w:t>
      </w:r>
      <w:r>
        <w:t xml:space="preserve">Completed and cancelled shipments with KPIs — completed count, revenue, margin, cancellations — filterable by customer and period, with «Выгрузить отчёт» (Export report).</w:t>
      </w:r>
    </w:p>
    <w:p>
      <w:pPr>
        <w:spacing w:after="180"/>
      </w:pPr>
      <w:r>
        <w:rPr>
          <w:b/>
        </w:rPr>
        <w:t xml:space="preserve">Data source.  </w:t>
      </w:r>
      <w:r>
        <w:t xml:space="preserve">System — closed shipment records. Revenue and margin figures are stored on each completed shipment.</w:t>
      </w:r>
    </w:p>
    <w:p>
      <w:pPr>
        <w:pStyle w:val="Heading2"/>
      </w:pPr>
      <w:r>
        <w:t xml:space="preserve">Step 17 · Culture rotation check («Ротация культур»)</w:t>
      </w:r>
    </w:p>
    <w:p>
      <w:r>
        <w:rPr>
          <w:b/>
        </w:rPr>
        <w:t xml:space="preserve">Action.  </w:t>
      </w:r>
      <w:r>
        <w:t xml:space="preserve">A 3-step check: pick a customer → pick the end-product they manufacture → view the cultures used across their last 6 orders, with a verdict (green = balanced, yellow = one culture dominates, red = no rotation) and a recommended next culture. For red cases the manager can «Создать задачу» (Create a task) to discuss with the client.</w:t>
      </w:r>
    </w:p>
    <w:p>
      <w:pPr>
        <w:spacing w:after="180"/>
      </w:pPr>
      <w:r>
        <w:rPr>
          <w:b/>
        </w:rPr>
        <w:t xml:space="preserve">Data source.  </w:t>
      </w:r>
      <w:r>
        <w:t xml:space="preserve">System — the customer's order history for that product. The verdict and recommendation are computed automatically.</w:t>
      </w:r>
    </w:p>
    <w:p>
      <w:pPr>
        <w:pStyle w:val="Heading1"/>
      </w:pPr>
      <w:r>
        <w:t xml:space="preserve">Appendix · Data-source summary</w:t>
      </w:r>
    </w:p>
    <w:tbl>
      <w:tblPr>
        <w:tblStyle w:val="TableGrid"/>
        <w:tblW w:w="936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600"/>
        <w:gridCol w:w="4200"/>
        <w:gridCol w:w="4560"/>
      </w:tblGrid>
      <w:tr>
        <w:tc>
          <w:tcPr>
            <w:tcW w:w="600" w:type="dxa"/>
            <w:shd w:val="clear" w:color="auto" w:fill="0F2944"/>
            <w:tcMar>
              <w:top w:w="60" w:type="dxa"/>
              <w:bottom w:w="60" w:type="dxa"/>
              <w:left w:w="90" w:type="dxa"/>
              <w:right w:w="90" w:type="dxa"/>
            </w:tcMar>
          </w:tcPr>
          <w:p>
            <w:p>
              <w:r>
                <w:rPr>
                  <w:b/>
                  <w:color w:val="FFFFFF"/>
                </w:rPr>
                <w:t xml:space="preserve">#</w:t>
              </w:r>
            </w:p>
          </w:p>
        </w:tc>
        <w:tc>
          <w:tcPr>
            <w:tcW w:w="4200" w:type="dxa"/>
            <w:shd w:val="clear" w:color="auto" w:fill="0F2944"/>
            <w:tcMar>
              <w:top w:w="60" w:type="dxa"/>
              <w:bottom w:w="60" w:type="dxa"/>
              <w:left w:w="90" w:type="dxa"/>
              <w:right w:w="90" w:type="dxa"/>
            </w:tcMar>
          </w:tcPr>
          <w:p>
            <w:p>
              <w:r>
                <w:rPr>
                  <w:b/>
                  <w:color w:val="FFFFFF"/>
                </w:rPr>
                <w:t xml:space="preserve">Step</w:t>
              </w:r>
            </w:p>
          </w:p>
        </w:tc>
        <w:tc>
          <w:tcPr>
            <w:tcW w:w="4560" w:type="dxa"/>
            <w:shd w:val="clear" w:color="auto" w:fill="0F2944"/>
            <w:tcMar>
              <w:top w:w="60" w:type="dxa"/>
              <w:bottom w:w="60" w:type="dxa"/>
              <w:left w:w="90" w:type="dxa"/>
              <w:right w:w="90" w:type="dxa"/>
            </w:tcMar>
          </w:tcPr>
          <w:p>
            <w:p>
              <w:r>
                <w:rPr>
                  <w:b/>
                  <w:color w:val="FFFFFF"/>
                </w:rPr>
                <w:t xml:space="preserve">Data source</w:t>
              </w:r>
            </w:p>
          </w:p>
        </w:tc>
      </w:tr>
      <w:tr>
        <w:tc>
          <w:tcPr>
            <w:tcW w:w="600" w:type="dxa"/>
            <w:tcMar>
              <w:top w:w="60" w:type="dxa"/>
              <w:bottom w:w="60" w:type="dxa"/>
              <w:left w:w="90" w:type="dxa"/>
              <w:right w:w="90" w:type="dxa"/>
            </w:tcMar>
          </w:tcPr>
          <w:p>
            <w:p>
              <w:r>
                <w:t xml:space="preserve">1</w:t>
              </w:r>
            </w:p>
          </w:p>
        </w:tc>
        <w:tc>
          <w:tcPr>
            <w:tcW w:w="4200" w:type="dxa"/>
            <w:tcMar>
              <w:top w:w="60" w:type="dxa"/>
              <w:bottom w:w="60" w:type="dxa"/>
              <w:left w:w="90" w:type="dxa"/>
              <w:right w:w="90" w:type="dxa"/>
            </w:tcMar>
          </w:tcPr>
          <w:p>
            <w:p>
              <w:r>
                <w:t xml:space="preserve">Log in</w:t>
              </w:r>
            </w:p>
          </w:p>
        </w:tc>
        <w:tc>
          <w:tcPr>
            <w:tcW w:w="4560" w:type="dxa"/>
            <w:tcMar>
              <w:top w:w="60" w:type="dxa"/>
              <w:bottom w:w="60" w:type="dxa"/>
              <w:left w:w="90" w:type="dxa"/>
              <w:right w:w="90" w:type="dxa"/>
            </w:tcMar>
          </w:tcPr>
          <w:p>
            <w:p>
              <w:r>
                <w:t xml:space="preserve"/>
              </w:r>
              <w:r>
                <w:rPr>
                  <w:b/>
                  <w:color w:val="C0392B"/>
                </w:rPr>
                <w:t xml:space="preserve">(blank)</w:t>
              </w:r>
              <w:r>
                <w:t xml:space="preserve"> — corporate credentials (IT)</w:t>
              </w:r>
            </w:p>
          </w:p>
        </w:tc>
      </w:tr>
      <w:tr>
        <w:tc>
          <w:tcPr>
            <w:tcW w:w="600" w:type="dxa"/>
            <w:shd w:val="clear" w:color="auto" w:fill="F5F7FA"/>
            <w:tcMar>
              <w:top w:w="60" w:type="dxa"/>
              <w:bottom w:w="60" w:type="dxa"/>
              <w:left w:w="90" w:type="dxa"/>
              <w:right w:w="90" w:type="dxa"/>
            </w:tcMar>
          </w:tcPr>
          <w:p>
            <w:p>
              <w:r>
                <w:t xml:space="preserve">2</w:t>
              </w:r>
            </w:p>
          </w:p>
        </w:tc>
        <w:tc>
          <w:tcPr>
            <w:tcW w:w="4200" w:type="dxa"/>
            <w:shd w:val="clear" w:color="auto" w:fill="F5F7FA"/>
            <w:tcMar>
              <w:top w:w="60" w:type="dxa"/>
              <w:bottom w:w="60" w:type="dxa"/>
              <w:left w:w="90" w:type="dxa"/>
              <w:right w:w="90" w:type="dxa"/>
            </w:tcMar>
          </w:tcPr>
          <w:p>
            <w:p>
              <w:r>
                <w:t xml:space="preserve">Dashboard tasks</w:t>
              </w:r>
            </w:p>
          </w:p>
        </w:tc>
        <w:tc>
          <w:tcPr>
            <w:tcW w:w="4560" w:type="dxa"/>
            <w:shd w:val="clear" w:color="auto" w:fill="F5F7FA"/>
            <w:tcMar>
              <w:top w:w="60" w:type="dxa"/>
              <w:bottom w:w="60" w:type="dxa"/>
              <w:left w:w="90" w:type="dxa"/>
              <w:right w:w="90" w:type="dxa"/>
            </w:tcMar>
          </w:tcPr>
          <w:p>
            <w:p>
              <w:r>
                <w:t xml:space="preserve">Auto-generated from active shipments</w:t>
              </w:r>
            </w:p>
          </w:p>
        </w:tc>
      </w:tr>
      <w:tr>
        <w:tc>
          <w:tcPr>
            <w:tcW w:w="600" w:type="dxa"/>
            <w:tcMar>
              <w:top w:w="60" w:type="dxa"/>
              <w:bottom w:w="60" w:type="dxa"/>
              <w:left w:w="90" w:type="dxa"/>
              <w:right w:w="90" w:type="dxa"/>
            </w:tcMar>
          </w:tcPr>
          <w:p>
            <w:p>
              <w:r>
                <w:t xml:space="preserve">3</w:t>
              </w:r>
            </w:p>
          </w:p>
        </w:tc>
        <w:tc>
          <w:tcPr>
            <w:tcW w:w="4200" w:type="dxa"/>
            <w:tcMar>
              <w:top w:w="60" w:type="dxa"/>
              <w:bottom w:w="60" w:type="dxa"/>
              <w:left w:w="90" w:type="dxa"/>
              <w:right w:w="90" w:type="dxa"/>
            </w:tcMar>
          </w:tcPr>
          <w:p>
            <w:p>
              <w:r>
                <w:t xml:space="preserve">Load supply plan</w:t>
              </w:r>
            </w:p>
          </w:p>
        </w:tc>
        <w:tc>
          <w:tcPr>
            <w:tcW w:w="4560" w:type="dxa"/>
            <w:tcMar>
              <w:top w:w="60" w:type="dxa"/>
              <w:bottom w:w="60" w:type="dxa"/>
              <w:left w:w="90" w:type="dxa"/>
              <w:right w:w="90" w:type="dxa"/>
            </w:tcMar>
          </w:tcPr>
          <w:p>
            <w:p>
              <w:r>
                <w:t xml:space="preserve"/>
              </w:r>
              <w:r>
                <w:rPr>
                  <w:b/>
                  <w:color w:val="C0392B"/>
                </w:rPr>
                <w:t xml:space="preserve">(blank)</w:t>
              </w:r>
              <w:r>
                <w:t xml:space="preserve"> — external Excel from planning dept.</w:t>
              </w:r>
            </w:p>
          </w:p>
        </w:tc>
      </w:tr>
      <w:tr>
        <w:tc>
          <w:tcPr>
            <w:tcW w:w="600" w:type="dxa"/>
            <w:shd w:val="clear" w:color="auto" w:fill="F5F7FA"/>
            <w:tcMar>
              <w:top w:w="60" w:type="dxa"/>
              <w:bottom w:w="60" w:type="dxa"/>
              <w:left w:w="90" w:type="dxa"/>
              <w:right w:w="90" w:type="dxa"/>
            </w:tcMar>
          </w:tcPr>
          <w:p>
            <w:p>
              <w:r>
                <w:t xml:space="preserve">4</w:t>
              </w:r>
            </w:p>
          </w:p>
        </w:tc>
        <w:tc>
          <w:tcPr>
            <w:tcW w:w="4200" w:type="dxa"/>
            <w:shd w:val="clear" w:color="auto" w:fill="F5F7FA"/>
            <w:tcMar>
              <w:top w:w="60" w:type="dxa"/>
              <w:bottom w:w="60" w:type="dxa"/>
              <w:left w:w="90" w:type="dxa"/>
              <w:right w:w="90" w:type="dxa"/>
            </w:tcMar>
          </w:tcPr>
          <w:p>
            <w:p>
              <w:r>
                <w:t xml:space="preserve">Create shipment → «Запланировано»</w:t>
              </w:r>
            </w:p>
          </w:p>
        </w:tc>
        <w:tc>
          <w:tcPr>
            <w:tcW w:w="4560" w:type="dxa"/>
            <w:shd w:val="clear" w:color="auto" w:fill="F5F7FA"/>
            <w:tcMar>
              <w:top w:w="60" w:type="dxa"/>
              <w:bottom w:w="60" w:type="dxa"/>
              <w:left w:w="90" w:type="dxa"/>
              <w:right w:w="90" w:type="dxa"/>
            </w:tcMar>
          </w:tcPr>
          <w:p>
            <w:p>
              <w:r>
                <w:t xml:space="preserve">From plan, or </w:t>
              </w:r>
              <w:r>
                <w:rPr>
                  <w:b/>
                  <w:color w:val="C0392B"/>
                </w:rPr>
                <w:t xml:space="preserve">(blank)</w:t>
              </w:r>
              <w:r>
                <w:t xml:space="preserve"> manual entry</w:t>
              </w:r>
            </w:p>
          </w:p>
        </w:tc>
      </w:tr>
      <w:tr>
        <w:tc>
          <w:tcPr>
            <w:tcW w:w="600" w:type="dxa"/>
            <w:tcMar>
              <w:top w:w="60" w:type="dxa"/>
              <w:bottom w:w="60" w:type="dxa"/>
              <w:left w:w="90" w:type="dxa"/>
              <w:right w:w="90" w:type="dxa"/>
            </w:tcMar>
          </w:tcPr>
          <w:p>
            <w:p>
              <w:r>
                <w:t xml:space="preserve">5</w:t>
              </w:r>
            </w:p>
          </w:p>
        </w:tc>
        <w:tc>
          <w:tcPr>
            <w:tcW w:w="4200" w:type="dxa"/>
            <w:tcMar>
              <w:top w:w="60" w:type="dxa"/>
              <w:bottom w:w="60" w:type="dxa"/>
              <w:left w:w="90" w:type="dxa"/>
              <w:right w:w="90" w:type="dxa"/>
            </w:tcMar>
          </w:tcPr>
          <w:p>
            <w:p>
              <w:r>
                <w:t xml:space="preserve">Review planned shipment</w:t>
              </w:r>
            </w:p>
          </w:p>
        </w:tc>
        <w:tc>
          <w:tcPr>
            <w:tcW w:w="4560" w:type="dxa"/>
            <w:tcMar>
              <w:top w:w="60" w:type="dxa"/>
              <w:bottom w:w="60" w:type="dxa"/>
              <w:left w:w="90" w:type="dxa"/>
              <w:right w:w="90" w:type="dxa"/>
            </w:tcMar>
          </w:tcPr>
          <w:p>
            <w:p>
              <w:r>
                <w:t xml:space="preserve">Plan file + system history</w:t>
              </w:r>
            </w:p>
          </w:p>
        </w:tc>
      </w:tr>
      <w:tr>
        <w:tc>
          <w:tcPr>
            <w:tcW w:w="600" w:type="dxa"/>
            <w:shd w:val="clear" w:color="auto" w:fill="F5F7FA"/>
            <w:tcMar>
              <w:top w:w="60" w:type="dxa"/>
              <w:bottom w:w="60" w:type="dxa"/>
              <w:left w:w="90" w:type="dxa"/>
              <w:right w:w="90" w:type="dxa"/>
            </w:tcMar>
          </w:tcPr>
          <w:p>
            <w:p>
              <w:r>
                <w:t xml:space="preserve">6</w:t>
              </w:r>
            </w:p>
          </w:p>
        </w:tc>
        <w:tc>
          <w:tcPr>
            <w:tcW w:w="4200" w:type="dxa"/>
            <w:shd w:val="clear" w:color="auto" w:fill="F5F7FA"/>
            <w:tcMar>
              <w:top w:w="60" w:type="dxa"/>
              <w:bottom w:w="60" w:type="dxa"/>
              <w:left w:w="90" w:type="dxa"/>
              <w:right w:w="90" w:type="dxa"/>
            </w:tcMar>
          </w:tcPr>
          <w:p>
            <w:p>
              <w:r>
                <w:t xml:space="preserve">Send for approval → «Ожидает согласования»</w:t>
              </w:r>
            </w:p>
          </w:p>
        </w:tc>
        <w:tc>
          <w:tcPr>
            <w:tcW w:w="4560" w:type="dxa"/>
            <w:shd w:val="clear" w:color="auto" w:fill="F5F7FA"/>
            <w:tcMar>
              <w:top w:w="60" w:type="dxa"/>
              <w:bottom w:w="60" w:type="dxa"/>
              <w:left w:w="90" w:type="dxa"/>
              <w:right w:w="90" w:type="dxa"/>
            </w:tcMar>
          </w:tcPr>
          <w:p>
            <w:p>
              <w:r>
                <w:t xml:space="preserve"/>
              </w:r>
              <w:r>
                <w:rPr>
                  <w:b/>
                  <w:color w:val="C0392B"/>
                </w:rPr>
                <w:t xml:space="preserve">(blank)</w:t>
              </w:r>
              <w:r>
                <w:t xml:space="preserve"> — client contact (phone/email)</w:t>
              </w:r>
            </w:p>
          </w:p>
        </w:tc>
      </w:tr>
      <w:tr>
        <w:tc>
          <w:tcPr>
            <w:tcW w:w="600" w:type="dxa"/>
            <w:tcMar>
              <w:top w:w="60" w:type="dxa"/>
              <w:bottom w:w="60" w:type="dxa"/>
              <w:left w:w="90" w:type="dxa"/>
              <w:right w:w="90" w:type="dxa"/>
            </w:tcMar>
          </w:tcPr>
          <w:p>
            <w:p>
              <w:r>
                <w:t xml:space="preserve">7</w:t>
              </w:r>
            </w:p>
          </w:p>
        </w:tc>
        <w:tc>
          <w:tcPr>
            <w:tcW w:w="4200" w:type="dxa"/>
            <w:tcMar>
              <w:top w:w="60" w:type="dxa"/>
              <w:bottom w:w="60" w:type="dxa"/>
              <w:left w:w="90" w:type="dxa"/>
              <w:right w:w="90" w:type="dxa"/>
            </w:tcMar>
          </w:tcPr>
          <w:p>
            <w:p>
              <w:r>
                <w:t xml:space="preserve">Confirm approval → «Подготовка»</w:t>
              </w:r>
            </w:p>
          </w:p>
        </w:tc>
        <w:tc>
          <w:tcPr>
            <w:tcW w:w="4560" w:type="dxa"/>
            <w:tcMar>
              <w:top w:w="60" w:type="dxa"/>
              <w:bottom w:w="60" w:type="dxa"/>
              <w:left w:w="90" w:type="dxa"/>
              <w:right w:w="90" w:type="dxa"/>
            </w:tcMar>
          </w:tcPr>
          <w:p>
            <w:p>
              <w:r>
                <w:t xml:space="preserve"/>
              </w:r>
              <w:r>
                <w:rPr>
                  <w:b/>
                  <w:color w:val="C0392B"/>
                </w:rPr>
                <w:t xml:space="preserve">(blank)</w:t>
              </w:r>
              <w:r>
                <w:t xml:space="preserve"> — client agreement, recorded manually</w:t>
              </w:r>
            </w:p>
          </w:p>
        </w:tc>
      </w:tr>
      <w:tr>
        <w:tc>
          <w:tcPr>
            <w:tcW w:w="600" w:type="dxa"/>
            <w:shd w:val="clear" w:color="auto" w:fill="F5F7FA"/>
            <w:tcMar>
              <w:top w:w="60" w:type="dxa"/>
              <w:bottom w:w="60" w:type="dxa"/>
              <w:left w:w="90" w:type="dxa"/>
              <w:right w:w="90" w:type="dxa"/>
            </w:tcMar>
          </w:tcPr>
          <w:p>
            <w:p>
              <w:r>
                <w:t xml:space="preserve">8</w:t>
              </w:r>
            </w:p>
          </w:p>
        </w:tc>
        <w:tc>
          <w:tcPr>
            <w:tcW w:w="4200" w:type="dxa"/>
            <w:shd w:val="clear" w:color="auto" w:fill="F5F7FA"/>
            <w:tcMar>
              <w:top w:w="60" w:type="dxa"/>
              <w:bottom w:w="60" w:type="dxa"/>
              <w:left w:w="90" w:type="dxa"/>
              <w:right w:w="90" w:type="dxa"/>
            </w:tcMar>
          </w:tcPr>
          <w:p>
            <w:p>
              <w:r>
                <w:t xml:space="preserve">Check stock → «Подготовка»</w:t>
              </w:r>
            </w:p>
          </w:p>
        </w:tc>
        <w:tc>
          <w:tcPr>
            <w:tcW w:w="4560" w:type="dxa"/>
            <w:shd w:val="clear" w:color="auto" w:fill="F5F7FA"/>
            <w:tcMar>
              <w:top w:w="60" w:type="dxa"/>
              <w:bottom w:w="60" w:type="dxa"/>
              <w:left w:w="90" w:type="dxa"/>
              <w:right w:w="90" w:type="dxa"/>
            </w:tcMar>
          </w:tcPr>
          <w:p>
            <w:p>
              <w:r>
                <w:t xml:space="preserve"/>
              </w:r>
              <w:r>
                <w:rPr>
                  <w:b/>
                  <w:color w:val="C0392B"/>
                </w:rPr>
                <w:t xml:space="preserve">(blank)</w:t>
              </w:r>
              <w:r>
                <w:t xml:space="preserve"> — warehouse / WMS (not connected)</w:t>
              </w:r>
            </w:p>
          </w:p>
        </w:tc>
      </w:tr>
      <w:tr>
        <w:tc>
          <w:tcPr>
            <w:tcW w:w="600" w:type="dxa"/>
            <w:tcMar>
              <w:top w:w="60" w:type="dxa"/>
              <w:bottom w:w="60" w:type="dxa"/>
              <w:left w:w="90" w:type="dxa"/>
              <w:right w:w="90" w:type="dxa"/>
            </w:tcMar>
          </w:tcPr>
          <w:p>
            <w:p>
              <w:r>
                <w:t xml:space="preserve">9</w:t>
              </w:r>
            </w:p>
          </w:p>
        </w:tc>
        <w:tc>
          <w:tcPr>
            <w:tcW w:w="4200" w:type="dxa"/>
            <w:tcMar>
              <w:top w:w="60" w:type="dxa"/>
              <w:bottom w:w="60" w:type="dxa"/>
              <w:left w:w="90" w:type="dxa"/>
              <w:right w:w="90" w:type="dxa"/>
            </w:tcMar>
          </w:tcPr>
          <w:p>
            <w:p>
              <w:r>
                <w:t xml:space="preserve">Print documents → «Документы готовы»</w:t>
              </w:r>
            </w:p>
          </w:p>
        </w:tc>
        <w:tc>
          <w:tcPr>
            <w:tcW w:w="4560" w:type="dxa"/>
            <w:tcMar>
              <w:top w:w="60" w:type="dxa"/>
              <w:bottom w:w="60" w:type="dxa"/>
              <w:left w:w="90" w:type="dxa"/>
              <w:right w:w="90" w:type="dxa"/>
            </w:tcMar>
          </w:tcPr>
          <w:p>
            <w:p>
              <w:r>
                <w:t xml:space="preserve">Auto-generated; </w:t>
              </w:r>
              <w:r>
                <w:rPr>
                  <w:b/>
                  <w:color w:val="C0392B"/>
                </w:rPr>
                <w:t xml:space="preserve">(blank)</w:t>
              </w:r>
              <w:r>
                <w:t xml:space="preserve"> manual fields</w:t>
              </w:r>
            </w:p>
          </w:p>
        </w:tc>
      </w:tr>
      <w:tr>
        <w:tc>
          <w:tcPr>
            <w:tcW w:w="600" w:type="dxa"/>
            <w:shd w:val="clear" w:color="auto" w:fill="F5F7FA"/>
            <w:tcMar>
              <w:top w:w="60" w:type="dxa"/>
              <w:bottom w:w="60" w:type="dxa"/>
              <w:left w:w="90" w:type="dxa"/>
              <w:right w:w="90" w:type="dxa"/>
            </w:tcMar>
          </w:tcPr>
          <w:p>
            <w:p>
              <w:r>
                <w:t xml:space="preserve">10</w:t>
              </w:r>
            </w:p>
          </w:p>
        </w:tc>
        <w:tc>
          <w:tcPr>
            <w:tcW w:w="4200" w:type="dxa"/>
            <w:shd w:val="clear" w:color="auto" w:fill="F5F7FA"/>
            <w:tcMar>
              <w:top w:w="60" w:type="dxa"/>
              <w:bottom w:w="60" w:type="dxa"/>
              <w:left w:w="90" w:type="dxa"/>
              <w:right w:w="90" w:type="dxa"/>
            </w:tcMar>
          </w:tcPr>
          <w:p>
            <w:p>
              <w:r>
                <w:t xml:space="preserve">Arrange delivery → «В доставке»</w:t>
              </w:r>
            </w:p>
          </w:p>
        </w:tc>
        <w:tc>
          <w:tcPr>
            <w:tcW w:w="4560" w:type="dxa"/>
            <w:shd w:val="clear" w:color="auto" w:fill="F5F7FA"/>
            <w:tcMar>
              <w:top w:w="60" w:type="dxa"/>
              <w:bottom w:w="60" w:type="dxa"/>
              <w:left w:w="90" w:type="dxa"/>
              <w:right w:w="90" w:type="dxa"/>
            </w:tcMar>
          </w:tcPr>
          <w:p>
            <w:p>
              <w:r>
                <w:t xml:space="preserve">Carriers from config; </w:t>
              </w:r>
              <w:r>
                <w:rPr>
                  <w:b/>
                  <w:color w:val="C0392B"/>
                </w:rPr>
                <w:t xml:space="preserve">(blank)</w:t>
              </w:r>
              <w:r>
                <w:t xml:space="preserve"> carrier data</w:t>
              </w:r>
            </w:p>
          </w:p>
        </w:tc>
      </w:tr>
      <w:tr>
        <w:tc>
          <w:tcPr>
            <w:tcW w:w="600" w:type="dxa"/>
            <w:tcMar>
              <w:top w:w="60" w:type="dxa"/>
              <w:bottom w:w="60" w:type="dxa"/>
              <w:left w:w="90" w:type="dxa"/>
              <w:right w:w="90" w:type="dxa"/>
            </w:tcMar>
          </w:tcPr>
          <w:p>
            <w:p>
              <w:r>
                <w:t xml:space="preserve">11</w:t>
              </w:r>
            </w:p>
          </w:p>
        </w:tc>
        <w:tc>
          <w:tcPr>
            <w:tcW w:w="4200" w:type="dxa"/>
            <w:tcMar>
              <w:top w:w="60" w:type="dxa"/>
              <w:bottom w:w="60" w:type="dxa"/>
              <w:left w:w="90" w:type="dxa"/>
              <w:right w:w="90" w:type="dxa"/>
            </w:tcMar>
          </w:tcPr>
          <w:p>
            <w:p>
              <w:r>
                <w:t xml:space="preserve">Confirm receipt → «Завершено»</w:t>
              </w:r>
            </w:p>
          </w:p>
        </w:tc>
        <w:tc>
          <w:tcPr>
            <w:tcW w:w="4560" w:type="dxa"/>
            <w:tcMar>
              <w:top w:w="60" w:type="dxa"/>
              <w:bottom w:w="60" w:type="dxa"/>
              <w:left w:w="90" w:type="dxa"/>
              <w:right w:w="90" w:type="dxa"/>
            </w:tcMar>
          </w:tcPr>
          <w:p>
            <w:p>
              <w:r>
                <w:t xml:space="preserve"/>
              </w:r>
              <w:r>
                <w:rPr>
                  <w:b/>
                  <w:color w:val="C0392B"/>
                </w:rPr>
                <w:t xml:space="preserve">(blank)</w:t>
              </w:r>
              <w:r>
                <w:t xml:space="preserve"> — signed POD from client</w:t>
              </w:r>
            </w:p>
          </w:p>
        </w:tc>
      </w:tr>
      <w:tr>
        <w:tc>
          <w:tcPr>
            <w:tcW w:w="600" w:type="dxa"/>
            <w:shd w:val="clear" w:color="auto" w:fill="F5F7FA"/>
            <w:tcMar>
              <w:top w:w="60" w:type="dxa"/>
              <w:bottom w:w="60" w:type="dxa"/>
              <w:left w:w="90" w:type="dxa"/>
              <w:right w:w="90" w:type="dxa"/>
            </w:tcMar>
          </w:tcPr>
          <w:p>
            <w:p>
              <w:r>
                <w:t xml:space="preserve">12</w:t>
              </w:r>
            </w:p>
          </w:p>
        </w:tc>
        <w:tc>
          <w:tcPr>
            <w:tcW w:w="4200" w:type="dxa"/>
            <w:shd w:val="clear" w:color="auto" w:fill="F5F7FA"/>
            <w:tcMar>
              <w:top w:w="60" w:type="dxa"/>
              <w:bottom w:w="60" w:type="dxa"/>
              <w:left w:w="90" w:type="dxa"/>
              <w:right w:w="90" w:type="dxa"/>
            </w:tcMar>
          </w:tcPr>
          <w:p>
            <w:p>
              <w:r>
                <w:t xml:space="preserve">Flag delay</w:t>
              </w:r>
            </w:p>
          </w:p>
        </w:tc>
        <w:tc>
          <w:tcPr>
            <w:tcW w:w="4560" w:type="dxa"/>
            <w:shd w:val="clear" w:color="auto" w:fill="F5F7FA"/>
            <w:tcMar>
              <w:top w:w="60" w:type="dxa"/>
              <w:bottom w:w="60" w:type="dxa"/>
              <w:left w:w="90" w:type="dxa"/>
              <w:right w:w="90" w:type="dxa"/>
            </w:tcMar>
          </w:tcPr>
          <w:p>
            <w:p>
              <w:r>
                <w:t xml:space="preserve"/>
              </w:r>
              <w:r>
                <w:rPr>
                  <w:b/>
                  <w:color w:val="C0392B"/>
                </w:rPr>
                <w:t xml:space="preserve">(blank)</w:t>
              </w:r>
              <w:r>
                <w:t xml:space="preserve"> — manager's reason</w:t>
              </w:r>
            </w:p>
          </w:p>
        </w:tc>
      </w:tr>
      <w:tr>
        <w:tc>
          <w:tcPr>
            <w:tcW w:w="600" w:type="dxa"/>
            <w:tcMar>
              <w:top w:w="60" w:type="dxa"/>
              <w:bottom w:w="60" w:type="dxa"/>
              <w:left w:w="90" w:type="dxa"/>
              <w:right w:w="90" w:type="dxa"/>
            </w:tcMar>
          </w:tcPr>
          <w:p>
            <w:p>
              <w:r>
                <w:t xml:space="preserve">13</w:t>
              </w:r>
            </w:p>
          </w:p>
        </w:tc>
        <w:tc>
          <w:tcPr>
            <w:tcW w:w="4200" w:type="dxa"/>
            <w:tcMar>
              <w:top w:w="60" w:type="dxa"/>
              <w:bottom w:w="60" w:type="dxa"/>
              <w:left w:w="90" w:type="dxa"/>
              <w:right w:w="90" w:type="dxa"/>
            </w:tcMar>
          </w:tcPr>
          <w:p>
            <w:p>
              <w:r>
                <w:t xml:space="preserve">Change status manually</w:t>
              </w:r>
            </w:p>
          </w:p>
        </w:tc>
        <w:tc>
          <w:tcPr>
            <w:tcW w:w="4560" w:type="dxa"/>
            <w:tcMar>
              <w:top w:w="60" w:type="dxa"/>
              <w:bottom w:w="60" w:type="dxa"/>
              <w:left w:w="90" w:type="dxa"/>
              <w:right w:w="90" w:type="dxa"/>
            </w:tcMar>
          </w:tcPr>
          <w:p>
            <w:p>
              <w:r>
                <w:t xml:space="preserve">System action</w:t>
              </w:r>
            </w:p>
          </w:p>
        </w:tc>
      </w:tr>
      <w:tr>
        <w:tc>
          <w:tcPr>
            <w:tcW w:w="600" w:type="dxa"/>
            <w:shd w:val="clear" w:color="auto" w:fill="F5F7FA"/>
            <w:tcMar>
              <w:top w:w="60" w:type="dxa"/>
              <w:bottom w:w="60" w:type="dxa"/>
              <w:left w:w="90" w:type="dxa"/>
              <w:right w:w="90" w:type="dxa"/>
            </w:tcMar>
          </w:tcPr>
          <w:p>
            <w:p>
              <w:r>
                <w:t xml:space="preserve">14</w:t>
              </w:r>
            </w:p>
          </w:p>
        </w:tc>
        <w:tc>
          <w:tcPr>
            <w:tcW w:w="4200" w:type="dxa"/>
            <w:shd w:val="clear" w:color="auto" w:fill="F5F7FA"/>
            <w:tcMar>
              <w:top w:w="60" w:type="dxa"/>
              <w:bottom w:w="60" w:type="dxa"/>
              <w:left w:w="90" w:type="dxa"/>
              <w:right w:w="90" w:type="dxa"/>
            </w:tcMar>
          </w:tcPr>
          <w:p>
            <w:p>
              <w:r>
                <w:t xml:space="preserve">Cancel → «Отменено»</w:t>
              </w:r>
            </w:p>
          </w:p>
        </w:tc>
        <w:tc>
          <w:tcPr>
            <w:tcW w:w="4560" w:type="dxa"/>
            <w:shd w:val="clear" w:color="auto" w:fill="F5F7FA"/>
            <w:tcMar>
              <w:top w:w="60" w:type="dxa"/>
              <w:bottom w:w="60" w:type="dxa"/>
              <w:left w:w="90" w:type="dxa"/>
              <w:right w:w="90" w:type="dxa"/>
            </w:tcMar>
          </w:tcPr>
          <w:p>
            <w:p>
              <w:r>
                <w:t xml:space="preserve"/>
              </w:r>
              <w:r>
                <w:rPr>
                  <w:b/>
                  <w:color w:val="C0392B"/>
                </w:rPr>
                <w:t xml:space="preserve">(blank)</w:t>
              </w:r>
              <w:r>
                <w:t xml:space="preserve"> — manager's reason</w:t>
              </w:r>
            </w:p>
          </w:p>
        </w:tc>
      </w:tr>
      <w:tr>
        <w:tc>
          <w:tcPr>
            <w:tcW w:w="600" w:type="dxa"/>
            <w:tcMar>
              <w:top w:w="60" w:type="dxa"/>
              <w:bottom w:w="60" w:type="dxa"/>
              <w:left w:w="90" w:type="dxa"/>
              <w:right w:w="90" w:type="dxa"/>
            </w:tcMar>
          </w:tcPr>
          <w:p>
            <w:p>
              <w:r>
                <w:t xml:space="preserve">15</w:t>
              </w:r>
            </w:p>
          </w:p>
        </w:tc>
        <w:tc>
          <w:tcPr>
            <w:tcW w:w="4200" w:type="dxa"/>
            <w:tcMar>
              <w:top w:w="60" w:type="dxa"/>
              <w:bottom w:w="60" w:type="dxa"/>
              <w:left w:w="90" w:type="dxa"/>
              <w:right w:w="90" w:type="dxa"/>
            </w:tcMar>
          </w:tcPr>
          <w:p>
            <w:p>
              <w:r>
                <w:t xml:space="preserve">Shipments-in-work list</w:t>
              </w:r>
            </w:p>
          </w:p>
        </w:tc>
        <w:tc>
          <w:tcPr>
            <w:tcW w:w="4560" w:type="dxa"/>
            <w:tcMar>
              <w:top w:w="60" w:type="dxa"/>
              <w:bottom w:w="60" w:type="dxa"/>
              <w:left w:w="90" w:type="dxa"/>
              <w:right w:w="90" w:type="dxa"/>
            </w:tcMar>
          </w:tcPr>
          <w:p>
            <w:p>
              <w:r>
                <w:t xml:space="preserve">System records</w:t>
              </w:r>
            </w:p>
          </w:p>
        </w:tc>
      </w:tr>
      <w:tr>
        <w:tc>
          <w:tcPr>
            <w:tcW w:w="600" w:type="dxa"/>
            <w:shd w:val="clear" w:color="auto" w:fill="F5F7FA"/>
            <w:tcMar>
              <w:top w:w="60" w:type="dxa"/>
              <w:bottom w:w="60" w:type="dxa"/>
              <w:left w:w="90" w:type="dxa"/>
              <w:right w:w="90" w:type="dxa"/>
            </w:tcMar>
          </w:tcPr>
          <w:p>
            <w:p>
              <w:r>
                <w:t xml:space="preserve">16</w:t>
              </w:r>
            </w:p>
          </w:p>
        </w:tc>
        <w:tc>
          <w:tcPr>
            <w:tcW w:w="4200" w:type="dxa"/>
            <w:shd w:val="clear" w:color="auto" w:fill="F5F7FA"/>
            <w:tcMar>
              <w:top w:w="60" w:type="dxa"/>
              <w:bottom w:w="60" w:type="dxa"/>
              <w:left w:w="90" w:type="dxa"/>
              <w:right w:w="90" w:type="dxa"/>
            </w:tcMar>
          </w:tcPr>
          <w:p>
            <w:p>
              <w:r>
                <w:t xml:space="preserve">History &amp; reports</w:t>
              </w:r>
            </w:p>
          </w:p>
        </w:tc>
        <w:tc>
          <w:tcPr>
            <w:tcW w:w="4560" w:type="dxa"/>
            <w:shd w:val="clear" w:color="auto" w:fill="F5F7FA"/>
            <w:tcMar>
              <w:top w:w="60" w:type="dxa"/>
              <w:bottom w:w="60" w:type="dxa"/>
              <w:left w:w="90" w:type="dxa"/>
              <w:right w:w="90" w:type="dxa"/>
            </w:tcMar>
          </w:tcPr>
          <w:p>
            <w:p>
              <w:r>
                <w:t xml:space="preserve">System records</w:t>
              </w:r>
            </w:p>
          </w:p>
        </w:tc>
      </w:tr>
      <w:tr>
        <w:tc>
          <w:tcPr>
            <w:tcW w:w="600" w:type="dxa"/>
            <w:tcMar>
              <w:top w:w="60" w:type="dxa"/>
              <w:bottom w:w="60" w:type="dxa"/>
              <w:left w:w="90" w:type="dxa"/>
              <w:right w:w="90" w:type="dxa"/>
            </w:tcMar>
          </w:tcPr>
          <w:p>
            <w:p>
              <w:r>
                <w:t xml:space="preserve">17</w:t>
              </w:r>
            </w:p>
          </w:p>
        </w:tc>
        <w:tc>
          <w:tcPr>
            <w:tcW w:w="4200" w:type="dxa"/>
            <w:tcMar>
              <w:top w:w="60" w:type="dxa"/>
              <w:bottom w:w="60" w:type="dxa"/>
              <w:left w:w="90" w:type="dxa"/>
              <w:right w:w="90" w:type="dxa"/>
            </w:tcMar>
          </w:tcPr>
          <w:p>
            <w:p>
              <w:r>
                <w:t xml:space="preserve">Rotation check</w:t>
              </w:r>
            </w:p>
          </w:p>
        </w:tc>
        <w:tc>
          <w:tcPr>
            <w:tcW w:w="4560" w:type="dxa"/>
            <w:tcMar>
              <w:top w:w="60" w:type="dxa"/>
              <w:bottom w:w="60" w:type="dxa"/>
              <w:left w:w="90" w:type="dxa"/>
              <w:right w:w="90" w:type="dxa"/>
            </w:tcMar>
          </w:tcPr>
          <w:p>
            <w:p>
              <w:r>
                <w:t xml:space="preserve">System order history</w:t>
              </w:r>
            </w:p>
          </w:p>
        </w:tc>
      </w:tr>
    </w:tbl>
    <w:p>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paragraph" w:styleId="Title">
    <w:name w:val="Title"/>
    <w:pPr>
      <w:spacing w:after="40"/>
    </w:pPr>
    <w:rPr>
      <w:b/>
      <w:color w:val="0F2944"/>
      <w:sz w:val="44"/>
      <w:szCs w:val="44"/>
    </w:rPr>
  </w:style>
  <w:style w:type="paragraph" w:styleId="Subtitle">
    <w:name w:val="Subtitle"/>
    <w:pPr>
      <w:spacing w:after="260"/>
    </w:pPr>
    <w:rPr>
      <w:color w:val="6B7280"/>
      <w:sz w:val="24"/>
      <w:szCs w:val="24"/>
    </w:rPr>
  </w:style>
  <w:style w:type="paragraph" w:styleId="Heading1">
    <w:name w:val="heading 1"/>
    <w:basedOn w:val="Normal"/>
    <w:pPr>
      <w:spacing w:before="320" w:after="120"/>
      <w:keepNext/>
    </w:pPr>
    <w:rPr>
      <w:b/>
      <w:color w:val="17A563"/>
      <w:sz w:val="30"/>
      <w:szCs w:val="30"/>
    </w:rPr>
  </w:style>
  <w:style w:type="paragraph" w:styleId="Heading2">
    <w:name w:val="heading 2"/>
    <w:basedOn w:val="Normal"/>
    <w:pPr>
      <w:spacing w:before="220" w:after="80"/>
      <w:keepNext/>
    </w:pPr>
    <w:rPr>
      <w:b/>
      <w:color w:val="0F2944"/>
      <w:sz w:val="26"/>
      <w:szCs w:val="26"/>
    </w:rPr>
  </w:style>
  <w:style w:type="table" w:styleId="TableGrid">
    <w:name w:val="Table Grid"/>
    <w:tblPr>
      <w:tblBorders>
        <w:top w:val="single" w:sz="4" w:color="D0D5DD"/>
        <w:left w:val="single" w:sz="4" w:color="D0D5DD"/>
        <w:bottom w:val="single" w:sz="4" w:color="D0D5DD"/>
        <w:right w:val="single" w:sz="4" w:color="D0D5DD"/>
        <w:insideH w:val="single" w:sz="4" w:color="D0D5DD"/>
        <w:insideV w:val="single" w:sz="4" w:color="D0D5DD"/>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