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6.png" ContentType="image/png"/>
  <Override PartName="/word/media/rId30.png" ContentType="image/png"/>
  <Override PartName="/word/media/rId43.png" ContentType="image/png"/>
  <Override PartName="/word/media/rId3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Materials: Cultural Cognition, Environmental Orientation, and Pro-Environmental Behavior</w:t>
      </w:r>
    </w:p>
    <w:p>
      <w:pPr>
        <w:pStyle w:val="FirstParagraph"/>
      </w:pPr>
      <w:r>
        <w:t xml:space="preserve">These supplemental materials report the single-orientation structural equation models — cultural cognition predicting the Connectedness to Nature Scale (CNS) and the New Ecological Paradigm (NEP) separately — the associated mediation analysis, and the full combined model estimated with the four separate worldview measures (hierarchy, egalitarianism, individualism, communitarianism). The main text reports the combined model with the four worldview measures collapsed into two composite groups, Hierarch-Individualist (HIER-INDIV) and Egalitarian-Communitarian (EGAL-COMM); the four-measure version here is the specification the composite-group model replaces.</w:t>
      </w:r>
    </w:p>
    <w:bookmarkStart w:id="35" w:name="single-orientation-structural-models"/>
    <w:p>
      <w:pPr>
        <w:pStyle w:val="Heading1"/>
      </w:pPr>
      <w:r>
        <w:t xml:space="preserve">Single-orientation structural models</w:t>
      </w:r>
    </w:p>
    <w:tbl>
      <w:tblPr>
        <w:tblStyle w:val="Table"/>
        <w:tblW w:type="pct" w:w="5000"/>
        <w:tblLayout w:type="fixed"/>
        <w:tblLook w:firstRow="0" w:lastRow="0" w:firstColumn="0" w:lastColumn="0" w:noHBand="0" w:noVBand="0" w:val="0000"/>
      </w:tblPr>
      <w:tblGrid>
        <w:gridCol w:w="7920"/>
      </w:tblGrid>
      <w:tr>
        <w:tc>
          <w:tcPr/>
          <w:bookmarkStart w:id="29" w:name="fig-cns"/>
          <w:p>
            <w:pPr>
              <w:jc w:val="center"/>
            </w:pPr>
            <w:pPr>
              <w:jc w:val="left"/>
              <w:spacing w:before="200"/>
              <w:pStyle w:val="ImageCaption"/>
            </w:pPr>
            <w:r>
              <w:t xml:space="preserve">Figure 1: Measurement and structural model of cultural cognition, the Connectedness to Nature Scale, and public and private pro-environmental behaviors. Controlling for age, gender, race, education, and household income (paths not shown). Standardized coefficients shown; * p&lt;0.05, ** p&lt;0.01, *** p&lt;0.001.</w:t>
            </w:r>
          </w:p>
          <w:p>
            <w:pPr>
              <w:pStyle w:val="Compact"/>
              <w:jc w:val="center"/>
            </w:pPr>
            <w:r>
              <w:drawing>
                <wp:inline>
                  <wp:extent cx="6642100" cy="4428066"/>
                  <wp:effectExtent b="0" l="0" r="0" t="0"/>
                  <wp:docPr descr="" title="" id="27" name="Picture"/>
                  <a:graphic>
                    <a:graphicData uri="http://schemas.openxmlformats.org/drawingml/2006/picture">
                      <pic:pic>
                        <pic:nvPicPr>
                          <pic:cNvPr descr="cc-behave-supplemental_files/figure-docx/fig-cns-1.png" id="28" name="Picture"/>
                          <pic:cNvPicPr>
                            <a:picLocks noChangeArrowheads="1" noChangeAspect="1"/>
                          </pic:cNvPicPr>
                        </pic:nvPicPr>
                        <pic:blipFill>
                          <a:blip r:embed="rId26"/>
                          <a:stretch>
                            <a:fillRect/>
                          </a:stretch>
                        </pic:blipFill>
                        <pic:spPr bwMode="auto">
                          <a:xfrm>
                            <a:off x="0" y="0"/>
                            <a:ext cx="6642100" cy="4428066"/>
                          </a:xfrm>
                          <a:prstGeom prst="rect">
                            <a:avLst/>
                          </a:prstGeom>
                          <a:noFill/>
                          <a:ln w="9525">
                            <a:noFill/>
                            <a:headEnd/>
                            <a:tailEnd/>
                          </a:ln>
                        </pic:spPr>
                      </pic:pic>
                    </a:graphicData>
                  </a:graphic>
                </wp:inline>
              </w:drawing>
            </w:r>
          </w:p>
          <w:bookmarkEnd w:id="29"/>
        </w:tc>
      </w:tr>
    </w:tbl>
    <w:tbl>
      <w:tblPr>
        <w:tblStyle w:val="Table"/>
        <w:tblW w:type="pct" w:w="5000"/>
        <w:tblLayout w:type="fixed"/>
        <w:tblLook w:firstRow="0" w:lastRow="0" w:firstColumn="0" w:lastColumn="0" w:noHBand="0" w:noVBand="0" w:val="0000"/>
      </w:tblPr>
      <w:tblGrid>
        <w:gridCol w:w="7920"/>
      </w:tblGrid>
      <w:tr>
        <w:tc>
          <w:tcPr/>
          <w:bookmarkStart w:id="33" w:name="fig-nep"/>
          <w:p>
            <w:pPr>
              <w:jc w:val="center"/>
            </w:pPr>
            <w:pPr>
              <w:jc w:val="left"/>
              <w:spacing w:before="200"/>
              <w:pStyle w:val="ImageCaption"/>
            </w:pPr>
            <w:r>
              <w:t xml:space="preserve">Figure 2: Measurement and structural model of cultural cognition, the New Ecological Paradigm, and public and private pro-environmental behaviors. Controlling for age, gender, race, education, and household income (paths not shown). Standardized coefficients shown; * p&lt;0.05, ** p&lt;0.01, *** p&lt;0.001.</w:t>
            </w:r>
          </w:p>
          <w:p>
            <w:pPr>
              <w:pStyle w:val="Compact"/>
              <w:jc w:val="center"/>
            </w:pPr>
            <w:r>
              <w:drawing>
                <wp:inline>
                  <wp:extent cx="6642100" cy="4428066"/>
                  <wp:effectExtent b="0" l="0" r="0" t="0"/>
                  <wp:docPr descr="" title="" id="31" name="Picture"/>
                  <a:graphic>
                    <a:graphicData uri="http://schemas.openxmlformats.org/drawingml/2006/picture">
                      <pic:pic>
                        <pic:nvPicPr>
                          <pic:cNvPr descr="cc-behave-supplemental_files/figure-docx/fig-nep-1.png" id="32" name="Picture"/>
                          <pic:cNvPicPr>
                            <a:picLocks noChangeArrowheads="1" noChangeAspect="1"/>
                          </pic:cNvPicPr>
                        </pic:nvPicPr>
                        <pic:blipFill>
                          <a:blip r:embed="rId30"/>
                          <a:stretch>
                            <a:fillRect/>
                          </a:stretch>
                        </pic:blipFill>
                        <pic:spPr bwMode="auto">
                          <a:xfrm>
                            <a:off x="0" y="0"/>
                            <a:ext cx="6642100" cy="4428066"/>
                          </a:xfrm>
                          <a:prstGeom prst="rect">
                            <a:avLst/>
                          </a:prstGeom>
                          <a:noFill/>
                          <a:ln w="9525">
                            <a:noFill/>
                            <a:headEnd/>
                            <a:tailEnd/>
                          </a:ln>
                        </pic:spPr>
                      </pic:pic>
                    </a:graphicData>
                  </a:graphic>
                </wp:inline>
              </w:drawing>
            </w:r>
          </w:p>
          <w:bookmarkEnd w:id="33"/>
        </w:tc>
      </w:tr>
    </w:tbl>
    <w:tbl>
      <w:tblPr>
        <w:tblStyle w:val="Table"/>
        <w:tblW w:type="pct" w:w="5000"/>
        <w:tblLayout w:type="fixed"/>
        <w:tblLook w:firstRow="0" w:lastRow="0" w:firstColumn="0" w:lastColumn="0" w:noHBand="0" w:noVBand="0" w:val="0000"/>
      </w:tblPr>
      <w:tblGrid>
        <w:gridCol w:w="7920"/>
      </w:tblGrid>
      <w:tr>
        <w:tc>
          <w:tcPr/>
          <w:bookmarkStart w:id="34" w:name="tbl-fit"/>
          <w:p>
            <w:pPr>
              <w:jc w:val="center"/>
            </w:pPr>
            <w:pPr>
              <w:jc w:val="left"/>
              <w:spacing w:before="200"/>
              <w:pStyle w:val="ImageCaption"/>
            </w:pPr>
            <w:r>
              <w:t xml:space="preserve">Table 1: Model fit statistics for the CNS and NEP single-orientation structural equation models. Both models control for age, gender, race, education, and household income.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jc w:val="center"/>
                  </w:pPr>
                  <w:r>
                    <w:t xml:space="preserve">Model</w:t>
                  </w:r>
                </w:p>
              </w:tc>
              <w:tc>
                <w:tcPr/>
                <w:p>
                  <w:pPr>
                    <w:pStyle w:val="Compact"/>
                    <w:jc w:val="right"/>
                    <w:jc w:val="center"/>
                  </w:pPr>
                  <w:r>
                    <w:t xml:space="preserve">N</w:t>
                  </w:r>
                </w:p>
              </w:tc>
              <w:tc>
                <w:tcPr/>
                <w:p>
                  <w:pPr>
                    <w:pStyle w:val="Compact"/>
                    <w:jc w:val="right"/>
                    <w:jc w:val="center"/>
                  </w:pPr>
                  <w:r>
                    <w:t xml:space="preserve">df</w:t>
                  </w:r>
                </w:p>
              </w:tc>
              <w:tc>
                <w:tcPr/>
                <w:p>
                  <w:pPr>
                    <w:pStyle w:val="Compact"/>
                    <w:jc w:val="right"/>
                    <w:jc w:val="center"/>
                  </w:pPr>
                  <w:r>
                    <w:t xml:space="preserve">Chi-sq</w:t>
                  </w:r>
                </w:p>
              </w:tc>
              <w:tc>
                <w:tcPr/>
                <w:p>
                  <w:pPr>
                    <w:pStyle w:val="Compact"/>
                    <w:jc w:val="right"/>
                    <w:jc w:val="center"/>
                  </w:pPr>
                  <w:r>
                    <w:t xml:space="preserve">RMSEA</w:t>
                  </w:r>
                </w:p>
              </w:tc>
              <w:tc>
                <w:tcPr/>
                <w:p>
                  <w:pPr>
                    <w:pStyle w:val="Compact"/>
                    <w:jc w:val="right"/>
                    <w:jc w:val="center"/>
                  </w:pPr>
                  <w:r>
                    <w:t xml:space="preserve">RMSEA 90% CI</w:t>
                  </w:r>
                </w:p>
              </w:tc>
              <w:tc>
                <w:tcPr/>
                <w:p>
                  <w:pPr>
                    <w:pStyle w:val="Compact"/>
                    <w:jc w:val="right"/>
                    <w:jc w:val="center"/>
                  </w:pPr>
                  <w:r>
                    <w:t xml:space="preserve">CFI</w:t>
                  </w:r>
                </w:p>
              </w:tc>
              <w:tc>
                <w:tcPr/>
                <w:p>
                  <w:pPr>
                    <w:pStyle w:val="Compact"/>
                    <w:jc w:val="right"/>
                    <w:jc w:val="center"/>
                  </w:pPr>
                  <w:r>
                    <w:t xml:space="preserve">TLI</w:t>
                  </w:r>
                </w:p>
              </w:tc>
              <w:tc>
                <w:tcPr/>
                <w:p>
                  <w:pPr>
                    <w:pStyle w:val="Compact"/>
                    <w:jc w:val="right"/>
                    <w:jc w:val="center"/>
                  </w:pPr>
                  <w:r>
                    <w:t xml:space="preserve">SRMR</w:t>
                  </w:r>
                </w:p>
              </w:tc>
            </w:tr>
            <w:tr>
              <w:tc>
                <w:tcPr/>
                <w:p>
                  <w:pPr>
                    <w:pStyle w:val="Compact"/>
                    <w:jc w:val="left"/>
                    <w:jc w:val="center"/>
                  </w:pPr>
                  <w:r>
                    <w:t xml:space="preserve">CNS</w:t>
                  </w:r>
                </w:p>
              </w:tc>
              <w:tc>
                <w:tcPr/>
                <w:p>
                  <w:pPr>
                    <w:pStyle w:val="Compact"/>
                    <w:jc w:val="right"/>
                    <w:jc w:val="center"/>
                  </w:pPr>
                  <w:r>
                    <w:t xml:space="preserve">501</w:t>
                  </w:r>
                </w:p>
              </w:tc>
              <w:tc>
                <w:tcPr/>
                <w:p>
                  <w:pPr>
                    <w:pStyle w:val="Compact"/>
                    <w:jc w:val="right"/>
                    <w:jc w:val="center"/>
                  </w:pPr>
                  <w:r>
                    <w:t xml:space="preserve">170</w:t>
                  </w:r>
                </w:p>
              </w:tc>
              <w:tc>
                <w:tcPr/>
                <w:p>
                  <w:pPr>
                    <w:pStyle w:val="Compact"/>
                    <w:jc w:val="right"/>
                    <w:jc w:val="center"/>
                  </w:pPr>
                  <w:r>
                    <w:t xml:space="preserve">447.42</w:t>
                  </w:r>
                </w:p>
              </w:tc>
              <w:tc>
                <w:tcPr/>
                <w:p>
                  <w:pPr>
                    <w:pStyle w:val="Compact"/>
                    <w:jc w:val="right"/>
                    <w:jc w:val="center"/>
                  </w:pPr>
                  <w:r>
                    <w:t xml:space="preserve">0.057</w:t>
                  </w:r>
                </w:p>
              </w:tc>
              <w:tc>
                <w:tcPr/>
                <w:p>
                  <w:pPr>
                    <w:pStyle w:val="Compact"/>
                    <w:jc w:val="right"/>
                    <w:jc w:val="center"/>
                  </w:pPr>
                  <w:r>
                    <w:t xml:space="preserve">[0.051, 0.064]</w:t>
                  </w:r>
                </w:p>
              </w:tc>
              <w:tc>
                <w:tcPr/>
                <w:p>
                  <w:pPr>
                    <w:pStyle w:val="Compact"/>
                    <w:jc w:val="right"/>
                    <w:jc w:val="center"/>
                  </w:pPr>
                  <w:r>
                    <w:t xml:space="preserve">0.906</w:t>
                  </w:r>
                </w:p>
              </w:tc>
              <w:tc>
                <w:tcPr/>
                <w:p>
                  <w:pPr>
                    <w:pStyle w:val="Compact"/>
                    <w:jc w:val="right"/>
                    <w:jc w:val="center"/>
                  </w:pPr>
                  <w:r>
                    <w:t xml:space="preserve">0.877</w:t>
                  </w:r>
                </w:p>
              </w:tc>
              <w:tc>
                <w:tcPr/>
                <w:p>
                  <w:pPr>
                    <w:pStyle w:val="Compact"/>
                    <w:jc w:val="right"/>
                    <w:jc w:val="center"/>
                  </w:pPr>
                  <w:r>
                    <w:t xml:space="preserve">0.077</w:t>
                  </w:r>
                </w:p>
              </w:tc>
            </w:tr>
            <w:tr>
              <w:tc>
                <w:tcPr/>
                <w:p>
                  <w:pPr>
                    <w:pStyle w:val="Compact"/>
                    <w:jc w:val="left"/>
                    <w:jc w:val="center"/>
                  </w:pPr>
                  <w:r>
                    <w:t xml:space="preserve">NEP</w:t>
                  </w:r>
                </w:p>
              </w:tc>
              <w:tc>
                <w:tcPr/>
                <w:p>
                  <w:pPr>
                    <w:pStyle w:val="Compact"/>
                    <w:jc w:val="right"/>
                    <w:jc w:val="center"/>
                  </w:pPr>
                  <w:r>
                    <w:t xml:space="preserve">501</w:t>
                  </w:r>
                </w:p>
              </w:tc>
              <w:tc>
                <w:tcPr/>
                <w:p>
                  <w:pPr>
                    <w:pStyle w:val="Compact"/>
                    <w:jc w:val="right"/>
                    <w:jc w:val="center"/>
                  </w:pPr>
                  <w:r>
                    <w:t xml:space="preserve">170</w:t>
                  </w:r>
                </w:p>
              </w:tc>
              <w:tc>
                <w:tcPr/>
                <w:p>
                  <w:pPr>
                    <w:pStyle w:val="Compact"/>
                    <w:jc w:val="right"/>
                    <w:jc w:val="center"/>
                  </w:pPr>
                  <w:r>
                    <w:t xml:space="preserve">608.59</w:t>
                  </w:r>
                </w:p>
              </w:tc>
              <w:tc>
                <w:tcPr/>
                <w:p>
                  <w:pPr>
                    <w:pStyle w:val="Compact"/>
                    <w:jc w:val="right"/>
                    <w:jc w:val="center"/>
                  </w:pPr>
                  <w:r>
                    <w:t xml:space="preserve">0.072</w:t>
                  </w:r>
                </w:p>
              </w:tc>
              <w:tc>
                <w:tcPr/>
                <w:p>
                  <w:pPr>
                    <w:pStyle w:val="Compact"/>
                    <w:jc w:val="right"/>
                    <w:jc w:val="center"/>
                  </w:pPr>
                  <w:r>
                    <w:t xml:space="preserve">[0.066, 0.078]</w:t>
                  </w:r>
                </w:p>
              </w:tc>
              <w:tc>
                <w:tcPr/>
                <w:p>
                  <w:pPr>
                    <w:pStyle w:val="Compact"/>
                    <w:jc w:val="right"/>
                    <w:jc w:val="center"/>
                  </w:pPr>
                  <w:r>
                    <w:t xml:space="preserve">0.866</w:t>
                  </w:r>
                </w:p>
              </w:tc>
              <w:tc>
                <w:tcPr/>
                <w:p>
                  <w:pPr>
                    <w:pStyle w:val="Compact"/>
                    <w:jc w:val="right"/>
                    <w:jc w:val="center"/>
                  </w:pPr>
                  <w:r>
                    <w:t xml:space="preserve">0.826</w:t>
                  </w:r>
                </w:p>
              </w:tc>
              <w:tc>
                <w:tcPr/>
                <w:p>
                  <w:pPr>
                    <w:pStyle w:val="Compact"/>
                    <w:jc w:val="right"/>
                    <w:jc w:val="center"/>
                  </w:pPr>
                  <w:r>
                    <w:t xml:space="preserve">0.088</w:t>
                  </w:r>
                </w:p>
              </w:tc>
            </w:tr>
          </w:tbl>
          <w:bookmarkEnd w:id="34"/>
          <w:p/>
        </w:tc>
      </w:tr>
    </w:tbl>
    <w:bookmarkEnd w:id="35"/>
    <w:bookmarkStart w:id="42" w:name="X627d865e4c53eb7b73f71825712314709167a98"/>
    <w:p>
      <w:pPr>
        <w:pStyle w:val="Heading1"/>
      </w:pPr>
      <w:r>
        <w:t xml:space="preserve">Full combined model with the four separate worldview measures</w:t>
      </w:r>
    </w:p>
    <w:p>
      <w:pPr>
        <w:pStyle w:val="FirstParagraph"/>
      </w:pPr>
      <w:r>
        <w:t xml:space="preserve">This section reports the full combined model (cultural worldviews → NEP → CNS → behavior, with direct paths) estimated with the four separate worldview measures — hierarchy, egalitarianism, individualism, and communitarianism — as latent predictors. The main text reports the same model with these four measures collapsed into the two composite groups described above; this specification is the one the composite-group model replaces.</w:t>
      </w:r>
    </w:p>
    <w:tbl>
      <w:tblPr>
        <w:tblStyle w:val="Table"/>
        <w:tblW w:type="pct" w:w="5000"/>
        <w:tblLayout w:type="fixed"/>
        <w:tblLook w:firstRow="0" w:lastRow="0" w:firstColumn="0" w:lastColumn="0" w:noHBand="0" w:noVBand="0" w:val="0000"/>
      </w:tblPr>
      <w:tblGrid>
        <w:gridCol w:w="7920"/>
      </w:tblGrid>
      <w:tr>
        <w:tc>
          <w:tcPr/>
          <w:bookmarkStart w:id="39" w:name="fig-structural-4wv"/>
          <w:p>
            <w:pPr>
              <w:jc w:val="center"/>
            </w:pPr>
            <w:pPr>
              <w:jc w:val="left"/>
              <w:spacing w:before="200"/>
              <w:pStyle w:val="ImageCaption"/>
            </w:pPr>
            <w:r>
              <w:t xml:space="preserve">Figure 3: Structural model of the full combined SEM with the four separate worldview measures: cultural cognition → New Ecological Paradigm → Connectedness to Nature → public and private pro-environmental behavior, with direct paths. Controlling for age, gender, race, education, and household income (paths not shown). The measurement (indicator) portion is omitted for clarity; standardized coefficients shown; * p&lt;0.05, ** p&lt;0.01, *** p&lt;0.001.</w:t>
            </w:r>
          </w:p>
          <w:p>
            <w:pPr>
              <w:pStyle w:val="Compact"/>
              <w:jc w:val="center"/>
            </w:pPr>
            <w:r>
              <w:drawing>
                <wp:inline>
                  <wp:extent cx="6642100" cy="4797072"/>
                  <wp:effectExtent b="0" l="0" r="0" t="0"/>
                  <wp:docPr descr="" title="" id="37" name="Picture"/>
                  <a:graphic>
                    <a:graphicData uri="http://schemas.openxmlformats.org/drawingml/2006/picture">
                      <pic:pic>
                        <pic:nvPicPr>
                          <pic:cNvPr descr="cc-behave-supplemental_files/figure-docx/fig-structural-4wv-1.png" id="38" name="Picture"/>
                          <pic:cNvPicPr>
                            <a:picLocks noChangeArrowheads="1" noChangeAspect="1"/>
                          </pic:cNvPicPr>
                        </pic:nvPicPr>
                        <pic:blipFill>
                          <a:blip r:embed="rId36"/>
                          <a:stretch>
                            <a:fillRect/>
                          </a:stretch>
                        </pic:blipFill>
                        <pic:spPr bwMode="auto">
                          <a:xfrm>
                            <a:off x="0" y="0"/>
                            <a:ext cx="6642100" cy="4797072"/>
                          </a:xfrm>
                          <a:prstGeom prst="rect">
                            <a:avLst/>
                          </a:prstGeom>
                          <a:noFill/>
                          <a:ln w="9525">
                            <a:noFill/>
                            <a:headEnd/>
                            <a:tailEnd/>
                          </a:ln>
                        </pic:spPr>
                      </pic:pic>
                    </a:graphicData>
                  </a:graphic>
                </wp:inline>
              </w:drawing>
            </w:r>
          </w:p>
          <w:bookmarkEnd w:id="39"/>
        </w:tc>
      </w:tr>
    </w:tbl>
    <w:tbl>
      <w:tblPr>
        <w:tblStyle w:val="Table"/>
        <w:tblW w:type="pct" w:w="5000"/>
        <w:tblLayout w:type="fixed"/>
        <w:tblLook w:firstRow="0" w:lastRow="0" w:firstColumn="0" w:lastColumn="0" w:noHBand="0" w:noVBand="0" w:val="0000"/>
      </w:tblPr>
      <w:tblGrid>
        <w:gridCol w:w="7920"/>
      </w:tblGrid>
      <w:tr>
        <w:tc>
          <w:tcPr/>
          <w:bookmarkStart w:id="40" w:name="tbl-serial-fit-4wv"/>
          <w:p>
            <w:pPr>
              <w:jc w:val="center"/>
            </w:pPr>
            <w:pPr>
              <w:jc w:val="left"/>
              <w:spacing w:before="200"/>
              <w:pStyle w:val="ImageCaption"/>
            </w:pPr>
            <w:r>
              <w:t xml:space="preserve">Table 2: Fit comparison of the strict serial chain versus the full combined model with direct paths added, four separate worldview measures. Both models control for age, gender, race, education, and household income.</w:t>
            </w:r>
          </w:p>
          <w:tbl>
            <w:tblPr>
              <w:tblStyle w:val="Table"/>
              <w:tblW w:type="pct" w:w="5000"/>
              <w:tblLayout w:type="fixed"/>
              <w:tblLook w:firstRow="1" w:lastRow="0" w:firstColumn="0" w:lastColumn="0" w:noHBand="0" w:noVBand="0" w:val="0020"/>
            </w:tblPr>
            <w:tblGrid>
              <w:gridCol w:w="1980"/>
              <w:gridCol w:w="630"/>
              <w:gridCol w:w="360"/>
              <w:gridCol w:w="540"/>
              <w:gridCol w:w="540"/>
              <w:gridCol w:w="540"/>
              <w:gridCol w:w="1350"/>
              <w:gridCol w:w="540"/>
              <w:gridCol w:w="720"/>
              <w:gridCol w:w="720"/>
            </w:tblGrid>
            <w:tr>
              <w:trPr>
                <w:tblHeader w:val="on"/>
              </w:trPr>
              <w:tc>
                <w:tcPr/>
                <w:p>
                  <w:pPr>
                    <w:pStyle w:val="Compact"/>
                    <w:jc w:val="left"/>
                    <w:jc w:val="center"/>
                  </w:pPr>
                  <w:r>
                    <w:t xml:space="preserve">Model</w:t>
                  </w:r>
                </w:p>
              </w:tc>
              <w:tc>
                <w:tcPr/>
                <w:p>
                  <w:pPr>
                    <w:pStyle w:val="Compact"/>
                    <w:jc w:val="right"/>
                    <w:jc w:val="center"/>
                  </w:pPr>
                  <w:r>
                    <w:t xml:space="preserve">Chi-sq</w:t>
                  </w:r>
                </w:p>
              </w:tc>
              <w:tc>
                <w:tcPr/>
                <w:p>
                  <w:pPr>
                    <w:pStyle w:val="Compact"/>
                    <w:jc w:val="right"/>
                    <w:jc w:val="center"/>
                  </w:pPr>
                  <w:r>
                    <w:t xml:space="preserve">df</w:t>
                  </w:r>
                </w:p>
              </w:tc>
              <w:tc>
                <w:tcPr/>
                <w:p>
                  <w:pPr>
                    <w:pStyle w:val="Compact"/>
                    <w:jc w:val="right"/>
                    <w:jc w:val="center"/>
                  </w:pPr>
                  <w:r>
                    <w:t xml:space="preserve">CFI</w:t>
                  </w:r>
                </w:p>
              </w:tc>
              <w:tc>
                <w:tcPr/>
                <w:p>
                  <w:pPr>
                    <w:pStyle w:val="Compact"/>
                    <w:jc w:val="right"/>
                    <w:jc w:val="center"/>
                  </w:pPr>
                  <w:r>
                    <w:t xml:space="preserve">TLI</w:t>
                  </w:r>
                </w:p>
              </w:tc>
              <w:tc>
                <w:tcPr/>
                <w:p>
                  <w:pPr>
                    <w:pStyle w:val="Compact"/>
                    <w:jc w:val="right"/>
                    <w:jc w:val="center"/>
                  </w:pPr>
                  <w:r>
                    <w:t xml:space="preserve">RMSEA</w:t>
                  </w:r>
                </w:p>
              </w:tc>
              <w:tc>
                <w:tcPr/>
                <w:p>
                  <w:pPr>
                    <w:pStyle w:val="Compact"/>
                    <w:jc w:val="right"/>
                    <w:jc w:val="center"/>
                  </w:pPr>
                  <w:r>
                    <w:t xml:space="preserve">RMSEA 90% CI</w:t>
                  </w:r>
                </w:p>
              </w:tc>
              <w:tc>
                <w:tcPr/>
                <w:p>
                  <w:pPr>
                    <w:pStyle w:val="Compact"/>
                    <w:jc w:val="right"/>
                    <w:jc w:val="center"/>
                  </w:pPr>
                  <w:r>
                    <w:t xml:space="preserve">SRMR</w:t>
                  </w:r>
                </w:p>
              </w:tc>
              <w:tc>
                <w:tcPr/>
                <w:p>
                  <w:pPr>
                    <w:pStyle w:val="Compact"/>
                    <w:jc w:val="right"/>
                    <w:jc w:val="center"/>
                  </w:pPr>
                  <w:r>
                    <w:t xml:space="preserve">AIC</w:t>
                  </w:r>
                </w:p>
              </w:tc>
              <w:tc>
                <w:tcPr/>
                <w:p>
                  <w:pPr>
                    <w:pStyle w:val="Compact"/>
                    <w:jc w:val="right"/>
                    <w:jc w:val="center"/>
                  </w:pPr>
                  <w:r>
                    <w:t xml:space="preserve">BIC</w:t>
                  </w:r>
                </w:p>
              </w:tc>
            </w:tr>
            <w:tr>
              <w:tc>
                <w:tcPr/>
                <w:p>
                  <w:pPr>
                    <w:pStyle w:val="Compact"/>
                    <w:jc w:val="left"/>
                    <w:jc w:val="center"/>
                  </w:pPr>
                  <w:r>
                    <w:t xml:space="preserve">Serial chain</w:t>
                  </w:r>
                </w:p>
              </w:tc>
              <w:tc>
                <w:tcPr/>
                <w:p>
                  <w:pPr>
                    <w:pStyle w:val="Compact"/>
                    <w:jc w:val="right"/>
                    <w:jc w:val="center"/>
                  </w:pPr>
                  <w:r>
                    <w:t xml:space="preserve">748.42</w:t>
                  </w:r>
                </w:p>
              </w:tc>
              <w:tc>
                <w:tcPr/>
                <w:p>
                  <w:pPr>
                    <w:pStyle w:val="Compact"/>
                    <w:jc w:val="right"/>
                    <w:jc w:val="center"/>
                  </w:pPr>
                  <w:r>
                    <w:t xml:space="preserve">238</w:t>
                  </w:r>
                </w:p>
              </w:tc>
              <w:tc>
                <w:tcPr/>
                <w:p>
                  <w:pPr>
                    <w:pStyle w:val="Compact"/>
                    <w:jc w:val="right"/>
                    <w:jc w:val="center"/>
                  </w:pPr>
                  <w:r>
                    <w:t xml:space="preserve">0.863</w:t>
                  </w:r>
                </w:p>
              </w:tc>
              <w:tc>
                <w:tcPr/>
                <w:p>
                  <w:pPr>
                    <w:pStyle w:val="Compact"/>
                    <w:jc w:val="right"/>
                    <w:jc w:val="center"/>
                  </w:pPr>
                  <w:r>
                    <w:t xml:space="preserve">0.833</w:t>
                  </w:r>
                </w:p>
              </w:tc>
              <w:tc>
                <w:tcPr/>
                <w:p>
                  <w:pPr>
                    <w:pStyle w:val="Compact"/>
                    <w:jc w:val="right"/>
                    <w:jc w:val="center"/>
                  </w:pPr>
                  <w:r>
                    <w:t xml:space="preserve">0.065</w:t>
                  </w:r>
                </w:p>
              </w:tc>
              <w:tc>
                <w:tcPr/>
                <w:p>
                  <w:pPr>
                    <w:pStyle w:val="Compact"/>
                    <w:jc w:val="right"/>
                    <w:jc w:val="center"/>
                  </w:pPr>
                  <w:r>
                    <w:t xml:space="preserve">[0.060, 0.071]</w:t>
                  </w:r>
                </w:p>
              </w:tc>
              <w:tc>
                <w:tcPr/>
                <w:p>
                  <w:pPr>
                    <w:pStyle w:val="Compact"/>
                    <w:jc w:val="right"/>
                    <w:jc w:val="center"/>
                  </w:pPr>
                  <w:r>
                    <w:t xml:space="preserve">0.085</w:t>
                  </w:r>
                </w:p>
              </w:tc>
              <w:tc>
                <w:tcPr/>
                <w:p>
                  <w:pPr>
                    <w:pStyle w:val="Compact"/>
                    <w:jc w:val="right"/>
                    <w:jc w:val="center"/>
                  </w:pPr>
                  <w:r>
                    <w:t xml:space="preserve">25523.7</w:t>
                  </w:r>
                </w:p>
              </w:tc>
              <w:tc>
                <w:tcPr/>
                <w:p>
                  <w:pPr>
                    <w:pStyle w:val="Compact"/>
                    <w:jc w:val="right"/>
                    <w:jc w:val="center"/>
                  </w:pPr>
                  <w:r>
                    <w:t xml:space="preserve">25827.3</w:t>
                  </w:r>
                </w:p>
              </w:tc>
            </w:tr>
            <w:tr>
              <w:tc>
                <w:tcPr/>
                <w:p>
                  <w:pPr>
                    <w:pStyle w:val="Compact"/>
                    <w:jc w:val="left"/>
                    <w:jc w:val="center"/>
                  </w:pPr>
                  <w:r>
                    <w:t xml:space="preserve">Full (+ direct paths)</w:t>
                  </w:r>
                </w:p>
              </w:tc>
              <w:tc>
                <w:tcPr/>
                <w:p>
                  <w:pPr>
                    <w:pStyle w:val="Compact"/>
                    <w:jc w:val="right"/>
                    <w:jc w:val="center"/>
                  </w:pPr>
                  <w:r>
                    <w:t xml:space="preserve">680.38</w:t>
                  </w:r>
                </w:p>
              </w:tc>
              <w:tc>
                <w:tcPr/>
                <w:p>
                  <w:pPr>
                    <w:pStyle w:val="Compact"/>
                    <w:jc w:val="right"/>
                    <w:jc w:val="center"/>
                  </w:pPr>
                  <w:r>
                    <w:t xml:space="preserve">224</w:t>
                  </w:r>
                </w:p>
              </w:tc>
              <w:tc>
                <w:tcPr/>
                <w:p>
                  <w:pPr>
                    <w:pStyle w:val="Compact"/>
                    <w:jc w:val="right"/>
                    <w:jc w:val="center"/>
                  </w:pPr>
                  <w:r>
                    <w:t xml:space="preserve">0.877</w:t>
                  </w:r>
                </w:p>
              </w:tc>
              <w:tc>
                <w:tcPr/>
                <w:p>
                  <w:pPr>
                    <w:pStyle w:val="Compact"/>
                    <w:jc w:val="right"/>
                    <w:jc w:val="center"/>
                  </w:pPr>
                  <w:r>
                    <w:t xml:space="preserve">0.841</w:t>
                  </w:r>
                </w:p>
              </w:tc>
              <w:tc>
                <w:tcPr/>
                <w:p>
                  <w:pPr>
                    <w:pStyle w:val="Compact"/>
                    <w:jc w:val="right"/>
                    <w:jc w:val="center"/>
                  </w:pPr>
                  <w:r>
                    <w:t xml:space="preserve">0.064</w:t>
                  </w:r>
                </w:p>
              </w:tc>
              <w:tc>
                <w:tcPr/>
                <w:p>
                  <w:pPr>
                    <w:pStyle w:val="Compact"/>
                    <w:jc w:val="right"/>
                    <w:jc w:val="center"/>
                  </w:pPr>
                  <w:r>
                    <w:t xml:space="preserve">[0.058, 0.069]</w:t>
                  </w:r>
                </w:p>
              </w:tc>
              <w:tc>
                <w:tcPr/>
                <w:p>
                  <w:pPr>
                    <w:pStyle w:val="Compact"/>
                    <w:jc w:val="right"/>
                    <w:jc w:val="center"/>
                  </w:pPr>
                  <w:r>
                    <w:t xml:space="preserve">0.081</w:t>
                  </w:r>
                </w:p>
              </w:tc>
              <w:tc>
                <w:tcPr/>
                <w:p>
                  <w:pPr>
                    <w:pStyle w:val="Compact"/>
                    <w:jc w:val="right"/>
                    <w:jc w:val="center"/>
                  </w:pPr>
                  <w:r>
                    <w:t xml:space="preserve">25483.6</w:t>
                  </w:r>
                </w:p>
              </w:tc>
              <w:tc>
                <w:tcPr/>
                <w:p>
                  <w:pPr>
                    <w:pStyle w:val="Compact"/>
                    <w:jc w:val="right"/>
                    <w:jc w:val="center"/>
                  </w:pPr>
                  <w:r>
                    <w:t xml:space="preserve">25846.3</w:t>
                  </w:r>
                </w:p>
              </w:tc>
            </w:tr>
          </w:tbl>
          <w:bookmarkEnd w:id="40"/>
          <w:p/>
        </w:tc>
      </w:tr>
    </w:tbl>
    <w:p>
      <w:pPr>
        <w:pStyle w:val="BodyText"/>
      </w:pPr>
      <w:r>
        <w:t xml:space="preserve">Nested</w:t>
      </w:r>
      <w:r>
        <w:t xml:space="preserve"> </w:t>
      </w:r>
      <m:oMath>
        <m:sSup>
          <m:e>
            <m:r>
              <m:t>χ</m:t>
            </m:r>
          </m:e>
          <m:sup>
            <m:r>
              <m:t>2</m:t>
            </m:r>
          </m:sup>
        </m:sSup>
      </m:oMath>
      <w:r>
        <w:t xml:space="preserve"> </w:t>
      </w:r>
      <w:r>
        <w:t xml:space="preserve">difference test (serial chain nested in full model):</w:t>
      </w:r>
      <w:r>
        <w:t xml:space="preserve"> </w:t>
      </w:r>
      <m:oMath>
        <m:r>
          <m:rPr>
            <m:sty m:val="p"/>
          </m:rPr>
          <m:t>Δ</m:t>
        </m:r>
        <m:sSup>
          <m:e>
            <m:r>
              <m:t>χ</m:t>
            </m:r>
          </m:e>
          <m:sup>
            <m:r>
              <m:t>2</m:t>
            </m:r>
          </m:sup>
        </m:sSup>
        <m:r>
          <m:rPr>
            <m:sty m:val="p"/>
          </m:rPr>
          <m:t>(</m:t>
        </m:r>
        <m:r>
          <m:t>14</m:t>
        </m:r>
        <m:r>
          <m:rPr>
            <m:sty m:val="p"/>
          </m:rPr>
          <m:t>)</m:t>
        </m:r>
        <m:r>
          <m:rPr>
            <m:sty m:val="p"/>
          </m:rPr>
          <m:t>=</m:t>
        </m:r>
        <m:r>
          <m:t>68.04</m:t>
        </m:r>
      </m:oMath>
      <w:r>
        <w:t xml:space="preserve">,</w:t>
      </w:r>
      <w:r>
        <w:t xml:space="preserve"> </w:t>
      </w:r>
      <m:oMath>
        <m:r>
          <m:t>p</m:t>
        </m:r>
        <m:r>
          <m:rPr>
            <m:sty m:val="p"/>
          </m:rPr>
          <m:t>=</m:t>
        </m:r>
        <m:r>
          <m:t>0.0000</m:t>
        </m:r>
      </m:oMath>
      <w:r>
        <w:t xml:space="preserve">. The direct paths jointly improve fit.</w:t>
      </w:r>
    </w:p>
    <w:tbl>
      <w:tblPr>
        <w:tblStyle w:val="Table"/>
        <w:tblW w:type="pct" w:w="5000"/>
        <w:tblLayout w:type="fixed"/>
        <w:tblLook w:firstRow="0" w:lastRow="0" w:firstColumn="0" w:lastColumn="0" w:noHBand="0" w:noVBand="0" w:val="0000"/>
      </w:tblPr>
      <w:tblGrid>
        <w:gridCol w:w="7920"/>
      </w:tblGrid>
      <w:tr>
        <w:tc>
          <w:tcPr/>
          <w:bookmarkStart w:id="41" w:name="tbl-serial-effects-4wv"/>
          <w:p>
            <w:pPr>
              <w:jc w:val="center"/>
            </w:pPr>
            <w:pPr>
              <w:jc w:val="left"/>
              <w:spacing w:before="200"/>
              <w:pStyle w:val="ImageCaption"/>
            </w:pPr>
            <w:r>
              <w:t xml:space="preserve">Table 3: Standardized decomposition of cultural cognition effects on public and private behavior in the full combined model, four separate worldview measures, controlling for age, gender, race, education, and household income († p&lt;0.10, * p&lt;0.05, ** p&lt;0.01, *** p&lt;0.001)</w:t>
            </w:r>
          </w:p>
          <w:tbl>
            <w:tblPr>
              <w:tblStyle w:val="Table"/>
              <w:tblW w:type="pct" w:w="5000"/>
              <w:tblLayout w:type="fixed"/>
              <w:tblLook w:firstRow="1" w:lastRow="0" w:firstColumn="0" w:lastColumn="0" w:noHBand="0" w:noVBand="0" w:val="0020"/>
            </w:tblPr>
            <w:tblGrid>
              <w:gridCol w:w="1819"/>
              <w:gridCol w:w="856"/>
              <w:gridCol w:w="856"/>
              <w:gridCol w:w="1819"/>
              <w:gridCol w:w="1605"/>
              <w:gridCol w:w="963"/>
            </w:tblGrid>
            <w:tr>
              <w:trPr>
                <w:tblHeader w:val="on"/>
              </w:trPr>
              <w:tc>
                <w:tcPr/>
                <w:p>
                  <w:pPr>
                    <w:pStyle w:val="Compact"/>
                    <w:jc w:val="left"/>
                    <w:jc w:val="center"/>
                  </w:pPr>
                  <w:r>
                    <w:t xml:space="preserve">Predictor</w:t>
                  </w:r>
                </w:p>
              </w:tc>
              <w:tc>
                <w:tcPr/>
                <w:p>
                  <w:pPr>
                    <w:pStyle w:val="Compact"/>
                    <w:jc w:val="left"/>
                    <w:jc w:val="center"/>
                  </w:pPr>
                  <w:r>
                    <w:t xml:space="preserve">Outcome</w:t>
                  </w:r>
                </w:p>
              </w:tc>
              <w:tc>
                <w:tcPr/>
                <w:p>
                  <w:pPr>
                    <w:pStyle w:val="Compact"/>
                    <w:jc w:val="right"/>
                    <w:jc w:val="center"/>
                  </w:pPr>
                  <w:r>
                    <w:t xml:space="preserve">Direct</w:t>
                  </w:r>
                </w:p>
              </w:tc>
              <w:tc>
                <w:tcPr/>
                <w:p>
                  <w:pPr>
                    <w:pStyle w:val="Compact"/>
                    <w:jc w:val="right"/>
                    <w:jc w:val="center"/>
                  </w:pPr>
                  <w:r>
                    <w:t xml:space="preserve">Serial (NEP→CNS)</w:t>
                  </w:r>
                </w:p>
              </w:tc>
              <w:tc>
                <w:tcPr/>
                <w:p>
                  <w:pPr>
                    <w:pStyle w:val="Compact"/>
                    <w:jc w:val="right"/>
                    <w:jc w:val="center"/>
                  </w:pPr>
                  <w:r>
                    <w:t xml:space="preserve">Total indirect</w:t>
                  </w:r>
                </w:p>
              </w:tc>
              <w:tc>
                <w:tcPr/>
                <w:p>
                  <w:pPr>
                    <w:pStyle w:val="Compact"/>
                    <w:jc w:val="right"/>
                    <w:jc w:val="center"/>
                  </w:pPr>
                  <w:r>
                    <w:t xml:space="preserve">Total</w:t>
                  </w:r>
                </w:p>
              </w:tc>
            </w:tr>
            <w:tr>
              <w:tc>
                <w:tcPr/>
                <w:p>
                  <w:pPr>
                    <w:pStyle w:val="Compact"/>
                    <w:jc w:val="left"/>
                    <w:jc w:val="center"/>
                  </w:pPr>
                  <w:r>
                    <w:t xml:space="preserve">Egalitarianism</w:t>
                  </w:r>
                </w:p>
              </w:tc>
              <w:tc>
                <w:tcPr/>
                <w:p>
                  <w:pPr>
                    <w:pStyle w:val="Compact"/>
                    <w:jc w:val="left"/>
                    <w:jc w:val="center"/>
                  </w:pPr>
                  <w:r>
                    <w:t xml:space="preserve">Public</w:t>
                  </w:r>
                </w:p>
              </w:tc>
              <w:tc>
                <w:tcPr/>
                <w:p>
                  <w:pPr>
                    <w:pStyle w:val="Compact"/>
                    <w:jc w:val="right"/>
                    <w:jc w:val="center"/>
                  </w:pPr>
                  <w:r>
                    <w:t xml:space="preserve">0.213*</w:t>
                  </w:r>
                </w:p>
              </w:tc>
              <w:tc>
                <w:tcPr/>
                <w:p>
                  <w:pPr>
                    <w:pStyle w:val="Compact"/>
                    <w:jc w:val="right"/>
                    <w:jc w:val="center"/>
                  </w:pPr>
                  <w:r>
                    <w:t xml:space="preserve">0.057*</w:t>
                  </w:r>
                </w:p>
              </w:tc>
              <w:tc>
                <w:tcPr/>
                <w:p>
                  <w:pPr>
                    <w:pStyle w:val="Compact"/>
                    <w:jc w:val="right"/>
                    <w:jc w:val="center"/>
                  </w:pPr>
                  <w:r>
                    <w:t xml:space="preserve">0.176**</w:t>
                  </w:r>
                </w:p>
              </w:tc>
              <w:tc>
                <w:tcPr/>
                <w:p>
                  <w:pPr>
                    <w:pStyle w:val="Compact"/>
                    <w:jc w:val="right"/>
                    <w:jc w:val="center"/>
                  </w:pPr>
                  <w:r>
                    <w:t xml:space="preserve">0.389***</w:t>
                  </w:r>
                </w:p>
              </w:tc>
            </w:tr>
            <w:tr>
              <w:tc>
                <w:tcPr/>
                <w:p>
                  <w:pPr>
                    <w:pStyle w:val="Compact"/>
                    <w:jc w:val="left"/>
                    <w:jc w:val="center"/>
                  </w:pPr>
                  <w:r>
                    <w:t xml:space="preserve">Egalitarianism</w:t>
                  </w:r>
                </w:p>
              </w:tc>
              <w:tc>
                <w:tcPr/>
                <w:p>
                  <w:pPr>
                    <w:pStyle w:val="Compact"/>
                    <w:jc w:val="left"/>
                    <w:jc w:val="center"/>
                  </w:pPr>
                  <w:r>
                    <w:t xml:space="preserve">Private</w:t>
                  </w:r>
                </w:p>
              </w:tc>
              <w:tc>
                <w:tcPr/>
                <w:p>
                  <w:pPr>
                    <w:pStyle w:val="Compact"/>
                    <w:jc w:val="right"/>
                    <w:jc w:val="center"/>
                  </w:pPr>
                  <w:r>
                    <w:t xml:space="preserve">-0.023</w:t>
                  </w:r>
                </w:p>
              </w:tc>
              <w:tc>
                <w:tcPr/>
                <w:p>
                  <w:pPr>
                    <w:pStyle w:val="Compact"/>
                    <w:jc w:val="right"/>
                    <w:jc w:val="center"/>
                  </w:pPr>
                  <w:r>
                    <w:t xml:space="preserve">0.071**</w:t>
                  </w:r>
                </w:p>
              </w:tc>
              <w:tc>
                <w:tcPr/>
                <w:p>
                  <w:pPr>
                    <w:pStyle w:val="Compact"/>
                    <w:jc w:val="right"/>
                    <w:jc w:val="center"/>
                  </w:pPr>
                  <w:r>
                    <w:t xml:space="preserve">0.220***</w:t>
                  </w:r>
                </w:p>
              </w:tc>
              <w:tc>
                <w:tcPr/>
                <w:p>
                  <w:pPr>
                    <w:pStyle w:val="Compact"/>
                    <w:jc w:val="right"/>
                    <w:jc w:val="center"/>
                  </w:pPr>
                  <w:r>
                    <w:t xml:space="preserve">0.197**</w:t>
                  </w:r>
                </w:p>
              </w:tc>
            </w:tr>
            <w:tr>
              <w:tc>
                <w:tcPr/>
                <w:p>
                  <w:pPr>
                    <w:pStyle w:val="Compact"/>
                    <w:jc w:val="left"/>
                    <w:jc w:val="center"/>
                  </w:pPr>
                  <w:r>
                    <w:t xml:space="preserve">Communitarianism</w:t>
                  </w:r>
                </w:p>
              </w:tc>
              <w:tc>
                <w:tcPr/>
                <w:p>
                  <w:pPr>
                    <w:pStyle w:val="Compact"/>
                    <w:jc w:val="left"/>
                    <w:jc w:val="center"/>
                  </w:pPr>
                  <w:r>
                    <w:t xml:space="preserve">Public</w:t>
                  </w:r>
                </w:p>
              </w:tc>
              <w:tc>
                <w:tcPr/>
                <w:p>
                  <w:pPr>
                    <w:pStyle w:val="Compact"/>
                    <w:jc w:val="right"/>
                    <w:jc w:val="center"/>
                  </w:pPr>
                  <w:r>
                    <w:t xml:space="preserve">0.058</w:t>
                  </w:r>
                </w:p>
              </w:tc>
              <w:tc>
                <w:tcPr/>
                <w:p>
                  <w:pPr>
                    <w:pStyle w:val="Compact"/>
                    <w:jc w:val="right"/>
                    <w:jc w:val="center"/>
                  </w:pPr>
                  <w:r>
                    <w:t xml:space="preserve">0.008</w:t>
                  </w:r>
                </w:p>
              </w:tc>
              <w:tc>
                <w:tcPr/>
                <w:p>
                  <w:pPr>
                    <w:pStyle w:val="Compact"/>
                    <w:jc w:val="right"/>
                    <w:jc w:val="center"/>
                  </w:pPr>
                  <w:r>
                    <w:t xml:space="preserve">0.076**</w:t>
                  </w:r>
                </w:p>
              </w:tc>
              <w:tc>
                <w:tcPr/>
                <w:p>
                  <w:pPr>
                    <w:pStyle w:val="Compact"/>
                    <w:jc w:val="right"/>
                    <w:jc w:val="center"/>
                  </w:pPr>
                  <w:r>
                    <w:t xml:space="preserve">0.134*</w:t>
                  </w:r>
                </w:p>
              </w:tc>
            </w:tr>
            <w:tr>
              <w:tc>
                <w:tcPr/>
                <w:p>
                  <w:pPr>
                    <w:pStyle w:val="Compact"/>
                    <w:jc w:val="left"/>
                    <w:jc w:val="center"/>
                  </w:pPr>
                  <w:r>
                    <w:t xml:space="preserve">Communitarianism</w:t>
                  </w:r>
                </w:p>
              </w:tc>
              <w:tc>
                <w:tcPr/>
                <w:p>
                  <w:pPr>
                    <w:pStyle w:val="Compact"/>
                    <w:jc w:val="left"/>
                    <w:jc w:val="center"/>
                  </w:pPr>
                  <w:r>
                    <w:t xml:space="preserve">Private</w:t>
                  </w:r>
                </w:p>
              </w:tc>
              <w:tc>
                <w:tcPr/>
                <w:p>
                  <w:pPr>
                    <w:pStyle w:val="Compact"/>
                    <w:jc w:val="right"/>
                    <w:jc w:val="center"/>
                  </w:pPr>
                  <w:r>
                    <w:t xml:space="preserve">-0.141*</w:t>
                  </w:r>
                </w:p>
              </w:tc>
              <w:tc>
                <w:tcPr/>
                <w:p>
                  <w:pPr>
                    <w:pStyle w:val="Compact"/>
                    <w:jc w:val="right"/>
                    <w:jc w:val="center"/>
                  </w:pPr>
                  <w:r>
                    <w:t xml:space="preserve">0.010</w:t>
                  </w:r>
                </w:p>
              </w:tc>
              <w:tc>
                <w:tcPr/>
                <w:p>
                  <w:pPr>
                    <w:pStyle w:val="Compact"/>
                    <w:jc w:val="right"/>
                    <w:jc w:val="center"/>
                  </w:pPr>
                  <w:r>
                    <w:t xml:space="preserve">0.095**</w:t>
                  </w:r>
                </w:p>
              </w:tc>
              <w:tc>
                <w:tcPr/>
                <w:p>
                  <w:pPr>
                    <w:pStyle w:val="Compact"/>
                    <w:jc w:val="right"/>
                    <w:jc w:val="center"/>
                  </w:pPr>
                  <w:r>
                    <w:t xml:space="preserve">-0.046</w:t>
                  </w:r>
                </w:p>
              </w:tc>
            </w:tr>
            <w:tr>
              <w:tc>
                <w:tcPr/>
                <w:p>
                  <w:pPr>
                    <w:pStyle w:val="Compact"/>
                    <w:jc w:val="left"/>
                    <w:jc w:val="center"/>
                  </w:pPr>
                  <w:r>
                    <w:t xml:space="preserve">Hierarchy</w:t>
                  </w:r>
                </w:p>
              </w:tc>
              <w:tc>
                <w:tcPr/>
                <w:p>
                  <w:pPr>
                    <w:pStyle w:val="Compact"/>
                    <w:jc w:val="left"/>
                    <w:jc w:val="center"/>
                  </w:pPr>
                  <w:r>
                    <w:t xml:space="preserve">Public</w:t>
                  </w:r>
                </w:p>
              </w:tc>
              <w:tc>
                <w:tcPr/>
                <w:p>
                  <w:pPr>
                    <w:pStyle w:val="Compact"/>
                    <w:jc w:val="right"/>
                    <w:jc w:val="center"/>
                  </w:pPr>
                  <w:r>
                    <w:t xml:space="preserve">0.171†</w:t>
                  </w:r>
                </w:p>
              </w:tc>
              <w:tc>
                <w:tcPr/>
                <w:p>
                  <w:pPr>
                    <w:pStyle w:val="Compact"/>
                    <w:jc w:val="right"/>
                    <w:jc w:val="center"/>
                  </w:pPr>
                  <w:r>
                    <w:t xml:space="preserve">-0.016</w:t>
                  </w:r>
                </w:p>
              </w:tc>
              <w:tc>
                <w:tcPr/>
                <w:p>
                  <w:pPr>
                    <w:pStyle w:val="Compact"/>
                    <w:jc w:val="right"/>
                    <w:jc w:val="center"/>
                  </w:pPr>
                  <w:r>
                    <w:t xml:space="preserve">-0.093*</w:t>
                  </w:r>
                </w:p>
              </w:tc>
              <w:tc>
                <w:tcPr/>
                <w:p>
                  <w:pPr>
                    <w:pStyle w:val="Compact"/>
                    <w:jc w:val="right"/>
                    <w:jc w:val="center"/>
                  </w:pPr>
                  <w:r>
                    <w:t xml:space="preserve">0.078</w:t>
                  </w:r>
                </w:p>
              </w:tc>
            </w:tr>
            <w:tr>
              <w:tc>
                <w:tcPr/>
                <w:p>
                  <w:pPr>
                    <w:pStyle w:val="Compact"/>
                    <w:jc w:val="left"/>
                    <w:jc w:val="center"/>
                  </w:pPr>
                  <w:r>
                    <w:t xml:space="preserve">Hierarchy</w:t>
                  </w:r>
                </w:p>
              </w:tc>
              <w:tc>
                <w:tcPr/>
                <w:p>
                  <w:pPr>
                    <w:pStyle w:val="Compact"/>
                    <w:jc w:val="left"/>
                    <w:jc w:val="center"/>
                  </w:pPr>
                  <w:r>
                    <w:t xml:space="preserve">Private</w:t>
                  </w:r>
                </w:p>
              </w:tc>
              <w:tc>
                <w:tcPr/>
                <w:p>
                  <w:pPr>
                    <w:pStyle w:val="Compact"/>
                    <w:jc w:val="right"/>
                    <w:jc w:val="center"/>
                  </w:pPr>
                  <w:r>
                    <w:t xml:space="preserve">-0.066</w:t>
                  </w:r>
                </w:p>
              </w:tc>
              <w:tc>
                <w:tcPr/>
                <w:p>
                  <w:pPr>
                    <w:pStyle w:val="Compact"/>
                    <w:jc w:val="right"/>
                    <w:jc w:val="center"/>
                  </w:pPr>
                  <w:r>
                    <w:t xml:space="preserve">-0.020</w:t>
                  </w:r>
                </w:p>
              </w:tc>
              <w:tc>
                <w:tcPr/>
                <w:p>
                  <w:pPr>
                    <w:pStyle w:val="Compact"/>
                    <w:jc w:val="right"/>
                    <w:jc w:val="center"/>
                  </w:pPr>
                  <w:r>
                    <w:t xml:space="preserve">-0.116*</w:t>
                  </w:r>
                </w:p>
              </w:tc>
              <w:tc>
                <w:tcPr/>
                <w:p>
                  <w:pPr>
                    <w:pStyle w:val="Compact"/>
                    <w:jc w:val="right"/>
                    <w:jc w:val="center"/>
                  </w:pPr>
                  <w:r>
                    <w:t xml:space="preserve">-0.182†</w:t>
                  </w:r>
                </w:p>
              </w:tc>
            </w:tr>
            <w:tr>
              <w:tc>
                <w:tcPr/>
                <w:p>
                  <w:pPr>
                    <w:pStyle w:val="Compact"/>
                    <w:jc w:val="left"/>
                    <w:jc w:val="center"/>
                  </w:pPr>
                  <w:r>
                    <w:t xml:space="preserve">Individualism</w:t>
                  </w:r>
                </w:p>
              </w:tc>
              <w:tc>
                <w:tcPr/>
                <w:p>
                  <w:pPr>
                    <w:pStyle w:val="Compact"/>
                    <w:jc w:val="left"/>
                    <w:jc w:val="center"/>
                  </w:pPr>
                  <w:r>
                    <w:t xml:space="preserve">Public</w:t>
                  </w:r>
                </w:p>
              </w:tc>
              <w:tc>
                <w:tcPr/>
                <w:p>
                  <w:pPr>
                    <w:pStyle w:val="Compact"/>
                    <w:jc w:val="right"/>
                    <w:jc w:val="center"/>
                  </w:pPr>
                  <w:r>
                    <w:t xml:space="preserve">0.047</w:t>
                  </w:r>
                </w:p>
              </w:tc>
              <w:tc>
                <w:tcPr/>
                <w:p>
                  <w:pPr>
                    <w:pStyle w:val="Compact"/>
                    <w:jc w:val="right"/>
                    <w:jc w:val="center"/>
                  </w:pPr>
                  <w:r>
                    <w:t xml:space="preserve">-0.009</w:t>
                  </w:r>
                </w:p>
              </w:tc>
              <w:tc>
                <w:tcPr/>
                <w:p>
                  <w:pPr>
                    <w:pStyle w:val="Compact"/>
                    <w:jc w:val="right"/>
                    <w:jc w:val="center"/>
                  </w:pPr>
                  <w:r>
                    <w:t xml:space="preserve">0.038</w:t>
                  </w:r>
                </w:p>
              </w:tc>
              <w:tc>
                <w:tcPr/>
                <w:p>
                  <w:pPr>
                    <w:pStyle w:val="Compact"/>
                    <w:jc w:val="right"/>
                    <w:jc w:val="center"/>
                  </w:pPr>
                  <w:r>
                    <w:t xml:space="preserve">0.086</w:t>
                  </w:r>
                </w:p>
              </w:tc>
            </w:tr>
            <w:tr>
              <w:tc>
                <w:tcPr/>
                <w:p>
                  <w:pPr>
                    <w:pStyle w:val="Compact"/>
                    <w:jc w:val="left"/>
                    <w:jc w:val="center"/>
                  </w:pPr>
                  <w:r>
                    <w:t xml:space="preserve">Individualism</w:t>
                  </w:r>
                </w:p>
              </w:tc>
              <w:tc>
                <w:tcPr/>
                <w:p>
                  <w:pPr>
                    <w:pStyle w:val="Compact"/>
                    <w:jc w:val="left"/>
                    <w:jc w:val="center"/>
                  </w:pPr>
                  <w:r>
                    <w:t xml:space="preserve">Private</w:t>
                  </w:r>
                </w:p>
              </w:tc>
              <w:tc>
                <w:tcPr/>
                <w:p>
                  <w:pPr>
                    <w:pStyle w:val="Compact"/>
                    <w:jc w:val="right"/>
                    <w:jc w:val="center"/>
                  </w:pPr>
                  <w:r>
                    <w:t xml:space="preserve">-0.018</w:t>
                  </w:r>
                </w:p>
              </w:tc>
              <w:tc>
                <w:tcPr/>
                <w:p>
                  <w:pPr>
                    <w:pStyle w:val="Compact"/>
                    <w:jc w:val="right"/>
                    <w:jc w:val="center"/>
                  </w:pPr>
                  <w:r>
                    <w:t xml:space="preserve">-0.011</w:t>
                  </w:r>
                </w:p>
              </w:tc>
              <w:tc>
                <w:tcPr/>
                <w:p>
                  <w:pPr>
                    <w:pStyle w:val="Compact"/>
                    <w:jc w:val="right"/>
                    <w:jc w:val="center"/>
                  </w:pPr>
                  <w:r>
                    <w:t xml:space="preserve">0.048</w:t>
                  </w:r>
                </w:p>
              </w:tc>
              <w:tc>
                <w:tcPr/>
                <w:p>
                  <w:pPr>
                    <w:pStyle w:val="Compact"/>
                    <w:jc w:val="right"/>
                    <w:jc w:val="center"/>
                  </w:pPr>
                  <w:r>
                    <w:t xml:space="preserve">0.029</w:t>
                  </w:r>
                </w:p>
              </w:tc>
            </w:tr>
          </w:tbl>
          <w:bookmarkEnd w:id="41"/>
          <w:p/>
        </w:tc>
      </w:tr>
    </w:tbl>
    <w:bookmarkEnd w:id="42"/>
    <w:bookmarkStart w:id="47" w:name="X6ae8f49109075555e434b86493e1683070a13c8"/>
    <w:p>
      <w:pPr>
        <w:pStyle w:val="Heading1"/>
      </w:pPr>
      <w:r>
        <w:t xml:space="preserve">Full combined model with measurement detail</w:t>
      </w:r>
    </w:p>
    <w:p>
      <w:pPr>
        <w:pStyle w:val="FirstParagraph"/>
      </w:pPr>
      <w:r>
        <w:t xml:space="preserve">Figure S4 shows the same four-worldview-measure full combined model with the full measurement model — the latent constructs and their indicators — included.</w:t>
      </w:r>
    </w:p>
    <w:tbl>
      <w:tblPr>
        <w:tblStyle w:val="Table"/>
        <w:tblW w:type="pct" w:w="5000"/>
        <w:tblLayout w:type="fixed"/>
        <w:tblLook w:firstRow="0" w:lastRow="0" w:firstColumn="0" w:lastColumn="0" w:noHBand="0" w:noVBand="0" w:val="0000"/>
      </w:tblPr>
      <w:tblGrid>
        <w:gridCol w:w="7920"/>
      </w:tblGrid>
      <w:tr>
        <w:tc>
          <w:tcPr/>
          <w:bookmarkStart w:id="46" w:name="fig-serial"/>
          <w:p>
            <w:pPr>
              <w:jc w:val="center"/>
            </w:pPr>
            <w:pPr>
              <w:jc w:val="left"/>
              <w:spacing w:before="200"/>
              <w:pStyle w:val="ImageCaption"/>
            </w:pPr>
            <w:r>
              <w:t xml:space="preserve">Figure 4: Full combined model including the measurement model (latent constructs and their indicators) and the structural paths: cultural cognition → New Ecological Paradigm → Connectedness to Nature → public and private pro-environmental behavior, with direct paths. Controlling for age, gender, race, education, and household income (paths not shown). Standardized coefficients shown; * p&lt;0.05, ** p&lt;0.01, *** p&lt;0.001.</w:t>
            </w:r>
          </w:p>
          <w:p>
            <w:pPr>
              <w:pStyle w:val="Compact"/>
              <w:jc w:val="center"/>
            </w:pPr>
            <w:r>
              <w:drawing>
                <wp:inline>
                  <wp:extent cx="6642100" cy="4797072"/>
                  <wp:effectExtent b="0" l="0" r="0" t="0"/>
                  <wp:docPr descr="" title="" id="44" name="Picture"/>
                  <a:graphic>
                    <a:graphicData uri="http://schemas.openxmlformats.org/drawingml/2006/picture">
                      <pic:pic>
                        <pic:nvPicPr>
                          <pic:cNvPr descr="cc-behave-supplemental_files/figure-docx/fig-serial-1.png" id="45" name="Picture"/>
                          <pic:cNvPicPr>
                            <a:picLocks noChangeArrowheads="1" noChangeAspect="1"/>
                          </pic:cNvPicPr>
                        </pic:nvPicPr>
                        <pic:blipFill>
                          <a:blip r:embed="rId43"/>
                          <a:stretch>
                            <a:fillRect/>
                          </a:stretch>
                        </pic:blipFill>
                        <pic:spPr bwMode="auto">
                          <a:xfrm>
                            <a:off x="0" y="0"/>
                            <a:ext cx="6642100" cy="4797072"/>
                          </a:xfrm>
                          <a:prstGeom prst="rect">
                            <a:avLst/>
                          </a:prstGeom>
                          <a:noFill/>
                          <a:ln w="9525">
                            <a:noFill/>
                            <a:headEnd/>
                            <a:tailEnd/>
                          </a:ln>
                        </pic:spPr>
                      </pic:pic>
                    </a:graphicData>
                  </a:graphic>
                </wp:inline>
              </w:drawing>
            </w:r>
          </w:p>
          <w:bookmarkEnd w:id="46"/>
        </w:tc>
      </w:tr>
    </w:tbl>
    <w:bookmarkEnd w:id="47"/>
    <w:bookmarkStart w:id="49" w:name="mediation-analysis"/>
    <w:p>
      <w:pPr>
        <w:pStyle w:val="Heading1"/>
      </w:pPr>
      <w:r>
        <w:t xml:space="preserve">Mediation analysis</w:t>
      </w:r>
    </w:p>
    <w:tbl>
      <w:tblPr>
        <w:tblStyle w:val="Table"/>
        <w:tblW w:type="pct" w:w="5000"/>
        <w:tblLayout w:type="fixed"/>
        <w:tblLook w:firstRow="0" w:lastRow="0" w:firstColumn="0" w:lastColumn="0" w:noHBand="0" w:noVBand="0" w:val="0000"/>
      </w:tblPr>
      <w:tblGrid>
        <w:gridCol w:w="7920"/>
      </w:tblGrid>
      <w:tr>
        <w:tc>
          <w:tcPr/>
          <w:bookmarkStart w:id="48" w:name="tbl-mediation"/>
          <w:p>
            <w:pPr>
              <w:jc w:val="center"/>
            </w:pPr>
            <w:pPr>
              <w:jc w:val="left"/>
              <w:spacing w:before="200"/>
              <w:pStyle w:val="ImageCaption"/>
            </w:pPr>
            <w:r>
              <w:t xml:space="preserve">Table 4: Mediation analysis: standardized direct, indirect, and total effects of cultural cognition on public and private pro-environmental behavior, controlling for age, gender, race, education, and household income († p&lt;0.10, * p&lt;0.05, ** p&lt;0.01, *** p&lt;0.001)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Path</w:t>
                  </w:r>
                </w:p>
              </w:tc>
              <w:tc>
                <w:tcPr/>
                <w:p>
                  <w:pPr>
                    <w:pStyle w:val="Compact"/>
                    <w:jc w:val="left"/>
                    <w:jc w:val="center"/>
                  </w:pPr>
                  <w:r>
                    <w:t xml:space="preserve">Outcome</w:t>
                  </w:r>
                </w:p>
              </w:tc>
              <w:tc>
                <w:tcPr/>
                <w:p>
                  <w:pPr>
                    <w:pStyle w:val="Compact"/>
                    <w:jc w:val="right"/>
                    <w:jc w:val="center"/>
                  </w:pPr>
                  <w:r>
                    <w:t xml:space="preserve">Direct</w:t>
                  </w:r>
                </w:p>
              </w:tc>
              <w:tc>
                <w:tcPr/>
                <w:p>
                  <w:pPr>
                    <w:pStyle w:val="Compact"/>
                    <w:jc w:val="right"/>
                    <w:jc w:val="center"/>
                  </w:pPr>
                  <w:r>
                    <w:t xml:space="preserve">Indirect</w:t>
                  </w:r>
                </w:p>
              </w:tc>
              <w:tc>
                <w:tcPr/>
                <w:p>
                  <w:pPr>
                    <w:pStyle w:val="Compact"/>
                    <w:jc w:val="right"/>
                    <w:jc w:val="center"/>
                  </w:pPr>
                  <w:r>
                    <w:t xml:space="preserve">Total</w:t>
                  </w:r>
                </w:p>
              </w:tc>
            </w:tr>
            <w:tr>
              <w:tc>
                <w:tcPr/>
                <w:p>
                  <w:pPr>
                    <w:pStyle w:val="Compact"/>
                    <w:jc w:val="left"/>
                    <w:jc w:val="center"/>
                  </w:pPr>
                  <w:r>
                    <w:t xml:space="preserve">Egalitarianism → CNS</w:t>
                  </w:r>
                </w:p>
              </w:tc>
              <w:tc>
                <w:tcPr/>
                <w:p>
                  <w:pPr>
                    <w:pStyle w:val="Compact"/>
                    <w:jc w:val="left"/>
                    <w:jc w:val="center"/>
                  </w:pPr>
                  <w:r>
                    <w:t xml:space="preserve">Public</w:t>
                  </w:r>
                </w:p>
              </w:tc>
              <w:tc>
                <w:tcPr/>
                <w:p>
                  <w:pPr>
                    <w:pStyle w:val="Compact"/>
                    <w:jc w:val="right"/>
                    <w:jc w:val="center"/>
                  </w:pPr>
                  <w:r>
                    <w:t xml:space="preserve">0.286***</w:t>
                  </w:r>
                </w:p>
              </w:tc>
              <w:tc>
                <w:tcPr/>
                <w:p>
                  <w:pPr>
                    <w:pStyle w:val="Compact"/>
                    <w:jc w:val="right"/>
                    <w:jc w:val="center"/>
                  </w:pPr>
                  <w:r>
                    <w:t xml:space="preserve">0.099**</w:t>
                  </w:r>
                </w:p>
              </w:tc>
              <w:tc>
                <w:tcPr/>
                <w:p>
                  <w:pPr>
                    <w:pStyle w:val="Compact"/>
                    <w:jc w:val="right"/>
                    <w:jc w:val="center"/>
                  </w:pPr>
                  <w:r>
                    <w:t xml:space="preserve">0.385***</w:t>
                  </w:r>
                </w:p>
              </w:tc>
            </w:tr>
            <w:tr>
              <w:tc>
                <w:tcPr/>
                <w:p>
                  <w:pPr>
                    <w:pStyle w:val="Compact"/>
                    <w:jc w:val="left"/>
                    <w:jc w:val="center"/>
                  </w:pPr>
                  <w:r>
                    <w:t xml:space="preserve">Egalitarianism → CNS</w:t>
                  </w:r>
                </w:p>
              </w:tc>
              <w:tc>
                <w:tcPr/>
                <w:p>
                  <w:pPr>
                    <w:pStyle w:val="Compact"/>
                    <w:jc w:val="left"/>
                    <w:jc w:val="center"/>
                  </w:pPr>
                  <w:r>
                    <w:t xml:space="preserve">Private</w:t>
                  </w:r>
                </w:p>
              </w:tc>
              <w:tc>
                <w:tcPr/>
                <w:p>
                  <w:pPr>
                    <w:pStyle w:val="Compact"/>
                    <w:jc w:val="right"/>
                    <w:jc w:val="center"/>
                  </w:pPr>
                  <w:r>
                    <w:t xml:space="preserve">0.072</w:t>
                  </w:r>
                </w:p>
              </w:tc>
              <w:tc>
                <w:tcPr/>
                <w:p>
                  <w:pPr>
                    <w:pStyle w:val="Compact"/>
                    <w:jc w:val="right"/>
                    <w:jc w:val="center"/>
                  </w:pPr>
                  <w:r>
                    <w:t xml:space="preserve">0.124**</w:t>
                  </w:r>
                </w:p>
              </w:tc>
              <w:tc>
                <w:tcPr/>
                <w:p>
                  <w:pPr>
                    <w:pStyle w:val="Compact"/>
                    <w:jc w:val="right"/>
                    <w:jc w:val="center"/>
                  </w:pPr>
                  <w:r>
                    <w:t xml:space="preserve">0.197**</w:t>
                  </w:r>
                </w:p>
              </w:tc>
            </w:tr>
            <w:tr>
              <w:tc>
                <w:tcPr/>
                <w:p>
                  <w:pPr>
                    <w:pStyle w:val="Compact"/>
                    <w:jc w:val="left"/>
                    <w:jc w:val="center"/>
                  </w:pPr>
                  <w:r>
                    <w:t xml:space="preserve">Communitarianism → CNS</w:t>
                  </w:r>
                </w:p>
              </w:tc>
              <w:tc>
                <w:tcPr/>
                <w:p>
                  <w:pPr>
                    <w:pStyle w:val="Compact"/>
                    <w:jc w:val="left"/>
                    <w:jc w:val="center"/>
                  </w:pPr>
                  <w:r>
                    <w:t xml:space="preserve">Public</w:t>
                  </w:r>
                </w:p>
              </w:tc>
              <w:tc>
                <w:tcPr/>
                <w:p>
                  <w:pPr>
                    <w:pStyle w:val="Compact"/>
                    <w:jc w:val="right"/>
                    <w:jc w:val="center"/>
                  </w:pPr>
                  <w:r>
                    <w:t xml:space="preserve">0.065</w:t>
                  </w:r>
                </w:p>
              </w:tc>
              <w:tc>
                <w:tcPr/>
                <w:p>
                  <w:pPr>
                    <w:pStyle w:val="Compact"/>
                    <w:jc w:val="right"/>
                    <w:jc w:val="center"/>
                  </w:pPr>
                  <w:r>
                    <w:t xml:space="preserve">0.071*</w:t>
                  </w:r>
                </w:p>
              </w:tc>
              <w:tc>
                <w:tcPr/>
                <w:p>
                  <w:pPr>
                    <w:pStyle w:val="Compact"/>
                    <w:jc w:val="right"/>
                    <w:jc w:val="center"/>
                  </w:pPr>
                  <w:r>
                    <w:t xml:space="preserve">0.135*</w:t>
                  </w:r>
                </w:p>
              </w:tc>
            </w:tr>
            <w:tr>
              <w:tc>
                <w:tcPr/>
                <w:p>
                  <w:pPr>
                    <w:pStyle w:val="Compact"/>
                    <w:jc w:val="left"/>
                    <w:jc w:val="center"/>
                  </w:pPr>
                  <w:r>
                    <w:t xml:space="preserve">Communitarianism → CNS</w:t>
                  </w:r>
                </w:p>
              </w:tc>
              <w:tc>
                <w:tcPr/>
                <w:p>
                  <w:pPr>
                    <w:pStyle w:val="Compact"/>
                    <w:jc w:val="left"/>
                    <w:jc w:val="center"/>
                  </w:pPr>
                  <w:r>
                    <w:t xml:space="preserve">Private</w:t>
                  </w:r>
                </w:p>
              </w:tc>
              <w:tc>
                <w:tcPr/>
                <w:p>
                  <w:pPr>
                    <w:pStyle w:val="Compact"/>
                    <w:jc w:val="right"/>
                    <w:jc w:val="center"/>
                  </w:pPr>
                  <w:r>
                    <w:t xml:space="preserve">-0.136*</w:t>
                  </w:r>
                </w:p>
              </w:tc>
              <w:tc>
                <w:tcPr/>
                <w:p>
                  <w:pPr>
                    <w:pStyle w:val="Compact"/>
                    <w:jc w:val="right"/>
                    <w:jc w:val="center"/>
                  </w:pPr>
                  <w:r>
                    <w:t xml:space="preserve">0.089*</w:t>
                  </w:r>
                </w:p>
              </w:tc>
              <w:tc>
                <w:tcPr/>
                <w:p>
                  <w:pPr>
                    <w:pStyle w:val="Compact"/>
                    <w:jc w:val="right"/>
                    <w:jc w:val="center"/>
                  </w:pPr>
                  <w:r>
                    <w:t xml:space="preserve">-0.047</w:t>
                  </w:r>
                </w:p>
              </w:tc>
            </w:tr>
            <w:tr>
              <w:tc>
                <w:tcPr/>
                <w:p>
                  <w:pPr>
                    <w:pStyle w:val="Compact"/>
                    <w:jc w:val="left"/>
                    <w:jc w:val="center"/>
                  </w:pPr>
                  <w:r>
                    <w:t xml:space="preserve">Egalitarianism → NEP</w:t>
                  </w:r>
                </w:p>
              </w:tc>
              <w:tc>
                <w:tcPr/>
                <w:p>
                  <w:pPr>
                    <w:pStyle w:val="Compact"/>
                    <w:jc w:val="left"/>
                    <w:jc w:val="center"/>
                  </w:pPr>
                  <w:r>
                    <w:t xml:space="preserve">Public</w:t>
                  </w:r>
                </w:p>
              </w:tc>
              <w:tc>
                <w:tcPr/>
                <w:p>
                  <w:pPr>
                    <w:pStyle w:val="Compact"/>
                    <w:jc w:val="right"/>
                    <w:jc w:val="center"/>
                  </w:pPr>
                  <w:r>
                    <w:t xml:space="preserve">0.249**</w:t>
                  </w:r>
                </w:p>
              </w:tc>
              <w:tc>
                <w:tcPr/>
                <w:p>
                  <w:pPr>
                    <w:pStyle w:val="Compact"/>
                    <w:jc w:val="right"/>
                    <w:jc w:val="center"/>
                  </w:pPr>
                  <w:r>
                    <w:t xml:space="preserve">0.140**</w:t>
                  </w:r>
                </w:p>
              </w:tc>
              <w:tc>
                <w:tcPr/>
                <w:p>
                  <w:pPr>
                    <w:pStyle w:val="Compact"/>
                    <w:jc w:val="right"/>
                    <w:jc w:val="center"/>
                  </w:pPr>
                  <w:r>
                    <w:t xml:space="preserve">0.389***</w:t>
                  </w:r>
                </w:p>
              </w:tc>
            </w:tr>
            <w:tr>
              <w:tc>
                <w:tcPr/>
                <w:p>
                  <w:pPr>
                    <w:pStyle w:val="Compact"/>
                    <w:jc w:val="left"/>
                    <w:jc w:val="center"/>
                  </w:pPr>
                  <w:r>
                    <w:t xml:space="preserve">Egalitarianism → NEP</w:t>
                  </w:r>
                </w:p>
              </w:tc>
              <w:tc>
                <w:tcPr/>
                <w:p>
                  <w:pPr>
                    <w:pStyle w:val="Compact"/>
                    <w:jc w:val="left"/>
                    <w:jc w:val="center"/>
                  </w:pPr>
                  <w:r>
                    <w:t xml:space="preserve">Private</w:t>
                  </w:r>
                </w:p>
              </w:tc>
              <w:tc>
                <w:tcPr/>
                <w:p>
                  <w:pPr>
                    <w:pStyle w:val="Compact"/>
                    <w:jc w:val="right"/>
                    <w:jc w:val="center"/>
                  </w:pPr>
                  <w:r>
                    <w:t xml:space="preserve">0.022</w:t>
                  </w:r>
                </w:p>
              </w:tc>
              <w:tc>
                <w:tcPr/>
                <w:p>
                  <w:pPr>
                    <w:pStyle w:val="Compact"/>
                    <w:jc w:val="right"/>
                    <w:jc w:val="center"/>
                  </w:pPr>
                  <w:r>
                    <w:t xml:space="preserve">0.177**</w:t>
                  </w:r>
                </w:p>
              </w:tc>
              <w:tc>
                <w:tcPr/>
                <w:p>
                  <w:pPr>
                    <w:pStyle w:val="Compact"/>
                    <w:jc w:val="right"/>
                    <w:jc w:val="center"/>
                  </w:pPr>
                  <w:r>
                    <w:t xml:space="preserve">0.199**</w:t>
                  </w:r>
                </w:p>
              </w:tc>
            </w:tr>
            <w:tr>
              <w:tc>
                <w:tcPr/>
                <w:p>
                  <w:pPr>
                    <w:pStyle w:val="Compact"/>
                    <w:jc w:val="left"/>
                    <w:jc w:val="center"/>
                  </w:pPr>
                  <w:r>
                    <w:t xml:space="preserve">Communitarianism → NEP</w:t>
                  </w:r>
                </w:p>
              </w:tc>
              <w:tc>
                <w:tcPr/>
                <w:p>
                  <w:pPr>
                    <w:pStyle w:val="Compact"/>
                    <w:jc w:val="left"/>
                    <w:jc w:val="center"/>
                  </w:pPr>
                  <w:r>
                    <w:t xml:space="preserve">Public</w:t>
                  </w:r>
                </w:p>
              </w:tc>
              <w:tc>
                <w:tcPr/>
                <w:p>
                  <w:pPr>
                    <w:pStyle w:val="Compact"/>
                    <w:jc w:val="right"/>
                    <w:jc w:val="center"/>
                  </w:pPr>
                  <w:r>
                    <w:t xml:space="preserve">0.116†</w:t>
                  </w:r>
                </w:p>
              </w:tc>
              <w:tc>
                <w:tcPr/>
                <w:p>
                  <w:pPr>
                    <w:pStyle w:val="Compact"/>
                    <w:jc w:val="right"/>
                    <w:jc w:val="center"/>
                  </w:pPr>
                  <w:r>
                    <w:t xml:space="preserve">0.019</w:t>
                  </w:r>
                </w:p>
              </w:tc>
              <w:tc>
                <w:tcPr/>
                <w:p>
                  <w:pPr>
                    <w:pStyle w:val="Compact"/>
                    <w:jc w:val="right"/>
                    <w:jc w:val="center"/>
                  </w:pPr>
                  <w:r>
                    <w:t xml:space="preserve">0.135*</w:t>
                  </w:r>
                </w:p>
              </w:tc>
            </w:tr>
            <w:tr>
              <w:tc>
                <w:tcPr/>
                <w:p>
                  <w:pPr>
                    <w:pStyle w:val="Compact"/>
                    <w:jc w:val="left"/>
                    <w:jc w:val="center"/>
                  </w:pPr>
                  <w:r>
                    <w:t xml:space="preserve">Communitarianism → NEP</w:t>
                  </w:r>
                </w:p>
              </w:tc>
              <w:tc>
                <w:tcPr/>
                <w:p>
                  <w:pPr>
                    <w:pStyle w:val="Compact"/>
                    <w:jc w:val="left"/>
                    <w:jc w:val="center"/>
                  </w:pPr>
                  <w:r>
                    <w:t xml:space="preserve">Private</w:t>
                  </w:r>
                </w:p>
              </w:tc>
              <w:tc>
                <w:tcPr/>
                <w:p>
                  <w:pPr>
                    <w:pStyle w:val="Compact"/>
                    <w:jc w:val="right"/>
                    <w:jc w:val="center"/>
                  </w:pPr>
                  <w:r>
                    <w:t xml:space="preserve">-0.073</w:t>
                  </w:r>
                </w:p>
              </w:tc>
              <w:tc>
                <w:tcPr/>
                <w:p>
                  <w:pPr>
                    <w:pStyle w:val="Compact"/>
                    <w:jc w:val="right"/>
                    <w:jc w:val="center"/>
                  </w:pPr>
                  <w:r>
                    <w:t xml:space="preserve">0.024</w:t>
                  </w:r>
                </w:p>
              </w:tc>
              <w:tc>
                <w:tcPr/>
                <w:p>
                  <w:pPr>
                    <w:pStyle w:val="Compact"/>
                    <w:jc w:val="right"/>
                    <w:jc w:val="center"/>
                  </w:pPr>
                  <w:r>
                    <w:t xml:space="preserve">-0.049</w:t>
                  </w:r>
                </w:p>
              </w:tc>
            </w:tr>
          </w:tbl>
          <w:bookmarkEnd w:id="48"/>
          <w:p/>
        </w:tc>
      </w:tr>
    </w:tbl>
    <w:bookmarkEnd w:id="49"/>
    <w:bookmarkStart w:id="51" w:name="demographic-control-coefficients"/>
    <w:p>
      <w:pPr>
        <w:pStyle w:val="Heading1"/>
      </w:pPr>
      <w:r>
        <w:t xml:space="preserve">Demographic control coefficients</w:t>
      </w:r>
    </w:p>
    <w:p>
      <w:pPr>
        <w:pStyle w:val="FirstParagraph"/>
      </w:pPr>
      <w:r>
        <w:t xml:space="preserve">Every model above and in the main text controls for age, gender (male), race (white), education, and household income, but these coefficients are omitted from the path diagrams and decomposition tables for readability. Table S6 reports the standardized control coefficients from the full combined model reported in the main text (HIER-INDIV and EGAL-COMM in place of the four separate worldview measures; main-text Table 6).</w:t>
      </w:r>
    </w:p>
    <w:tbl>
      <w:tblPr>
        <w:tblStyle w:val="Table"/>
        <w:tblW w:type="pct" w:w="5000"/>
        <w:tblLayout w:type="fixed"/>
        <w:tblLook w:firstRow="0" w:lastRow="0" w:firstColumn="0" w:lastColumn="0" w:noHBand="0" w:noVBand="0" w:val="0000"/>
      </w:tblPr>
      <w:tblGrid>
        <w:gridCol w:w="7920"/>
      </w:tblGrid>
      <w:tr>
        <w:tc>
          <w:tcPr/>
          <w:bookmarkStart w:id="50" w:name="tbl-hiec-controls"/>
          <w:p>
            <w:pPr>
              <w:jc w:val="center"/>
            </w:pPr>
            <w:pPr>
              <w:jc w:val="left"/>
              <w:spacing w:before="200"/>
              <w:pStyle w:val="ImageCaption"/>
            </w:pPr>
            <w:r>
              <w:t xml:space="preserve">Table 5: Standardized demographic control coefficients from the full combined model reported in the main text (HIER-INDIV/EGAL-COMM), by outcome († p&lt;0.10, * p&lt;0.05, ** p&lt;0.01, *** p&lt;0.001)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Control</w:t>
                  </w:r>
                </w:p>
              </w:tc>
              <w:tc>
                <w:tcPr/>
                <w:p>
                  <w:pPr>
                    <w:pStyle w:val="Compact"/>
                    <w:jc w:val="right"/>
                    <w:jc w:val="center"/>
                  </w:pPr>
                  <w:r>
                    <w:t xml:space="preserve">NEP</w:t>
                  </w:r>
                </w:p>
              </w:tc>
              <w:tc>
                <w:tcPr/>
                <w:p>
                  <w:pPr>
                    <w:pStyle w:val="Compact"/>
                    <w:jc w:val="right"/>
                    <w:jc w:val="center"/>
                  </w:pPr>
                  <w:r>
                    <w:t xml:space="preserve">CNS</w:t>
                  </w:r>
                </w:p>
              </w:tc>
              <w:tc>
                <w:tcPr/>
                <w:p>
                  <w:pPr>
                    <w:pStyle w:val="Compact"/>
                    <w:jc w:val="right"/>
                    <w:jc w:val="center"/>
                  </w:pPr>
                  <w:r>
                    <w:t xml:space="preserve">Public</w:t>
                  </w:r>
                </w:p>
              </w:tc>
              <w:tc>
                <w:tcPr/>
                <w:p>
                  <w:pPr>
                    <w:pStyle w:val="Compact"/>
                    <w:jc w:val="right"/>
                    <w:jc w:val="center"/>
                  </w:pPr>
                  <w:r>
                    <w:t xml:space="preserve">Private</w:t>
                  </w:r>
                </w:p>
              </w:tc>
            </w:tr>
            <w:tr>
              <w:tc>
                <w:tcPr/>
                <w:p>
                  <w:pPr>
                    <w:pStyle w:val="Compact"/>
                    <w:jc w:val="left"/>
                    <w:jc w:val="center"/>
                  </w:pPr>
                  <w:r>
                    <w:t xml:space="preserve">Age</w:t>
                  </w:r>
                </w:p>
              </w:tc>
              <w:tc>
                <w:tcPr/>
                <w:p>
                  <w:pPr>
                    <w:pStyle w:val="Compact"/>
                    <w:jc w:val="right"/>
                    <w:jc w:val="center"/>
                  </w:pPr>
                  <w:r>
                    <w:t xml:space="preserve">-0.040</w:t>
                  </w:r>
                </w:p>
              </w:tc>
              <w:tc>
                <w:tcPr/>
                <w:p>
                  <w:pPr>
                    <w:pStyle w:val="Compact"/>
                    <w:jc w:val="right"/>
                    <w:jc w:val="center"/>
                  </w:pPr>
                  <w:r>
                    <w:t xml:space="preserve">0.090†</w:t>
                  </w:r>
                </w:p>
              </w:tc>
              <w:tc>
                <w:tcPr/>
                <w:p>
                  <w:pPr>
                    <w:pStyle w:val="Compact"/>
                    <w:jc w:val="right"/>
                    <w:jc w:val="center"/>
                  </w:pPr>
                  <w:r>
                    <w:t xml:space="preserve">-0.205***</w:t>
                  </w:r>
                </w:p>
              </w:tc>
              <w:tc>
                <w:tcPr/>
                <w:p>
                  <w:pPr>
                    <w:pStyle w:val="Compact"/>
                    <w:jc w:val="right"/>
                    <w:jc w:val="center"/>
                  </w:pPr>
                  <w:r>
                    <w:t xml:space="preserve">0.147**</w:t>
                  </w:r>
                </w:p>
              </w:tc>
            </w:tr>
            <w:tr>
              <w:tc>
                <w:tcPr/>
                <w:p>
                  <w:pPr>
                    <w:pStyle w:val="Compact"/>
                    <w:jc w:val="left"/>
                    <w:jc w:val="center"/>
                  </w:pPr>
                  <w:r>
                    <w:t xml:space="preserve">Male</w:t>
                  </w:r>
                </w:p>
              </w:tc>
              <w:tc>
                <w:tcPr/>
                <w:p>
                  <w:pPr>
                    <w:pStyle w:val="Compact"/>
                    <w:jc w:val="right"/>
                    <w:jc w:val="center"/>
                  </w:pPr>
                  <w:r>
                    <w:t xml:space="preserve">-0.072</w:t>
                  </w:r>
                </w:p>
              </w:tc>
              <w:tc>
                <w:tcPr/>
                <w:p>
                  <w:pPr>
                    <w:pStyle w:val="Compact"/>
                    <w:jc w:val="right"/>
                    <w:jc w:val="center"/>
                  </w:pPr>
                  <w:r>
                    <w:t xml:space="preserve">0.010</w:t>
                  </w:r>
                </w:p>
              </w:tc>
              <w:tc>
                <w:tcPr/>
                <w:p>
                  <w:pPr>
                    <w:pStyle w:val="Compact"/>
                    <w:jc w:val="right"/>
                    <w:jc w:val="center"/>
                  </w:pPr>
                  <w:r>
                    <w:t xml:space="preserve">0.068</w:t>
                  </w:r>
                </w:p>
              </w:tc>
              <w:tc>
                <w:tcPr/>
                <w:p>
                  <w:pPr>
                    <w:pStyle w:val="Compact"/>
                    <w:jc w:val="right"/>
                    <w:jc w:val="center"/>
                  </w:pPr>
                  <w:r>
                    <w:t xml:space="preserve">-0.132**</w:t>
                  </w:r>
                </w:p>
              </w:tc>
            </w:tr>
            <w:tr>
              <w:tc>
                <w:tcPr/>
                <w:p>
                  <w:pPr>
                    <w:pStyle w:val="Compact"/>
                    <w:jc w:val="left"/>
                    <w:jc w:val="center"/>
                  </w:pPr>
                  <w:r>
                    <w:t xml:space="preserve">White</w:t>
                  </w:r>
                </w:p>
              </w:tc>
              <w:tc>
                <w:tcPr/>
                <w:p>
                  <w:pPr>
                    <w:pStyle w:val="Compact"/>
                    <w:jc w:val="right"/>
                    <w:jc w:val="center"/>
                  </w:pPr>
                  <w:r>
                    <w:t xml:space="preserve">-0.030</w:t>
                  </w:r>
                </w:p>
              </w:tc>
              <w:tc>
                <w:tcPr/>
                <w:p>
                  <w:pPr>
                    <w:pStyle w:val="Compact"/>
                    <w:jc w:val="right"/>
                    <w:jc w:val="center"/>
                  </w:pPr>
                  <w:r>
                    <w:t xml:space="preserve">0.026</w:t>
                  </w:r>
                </w:p>
              </w:tc>
              <w:tc>
                <w:tcPr/>
                <w:p>
                  <w:pPr>
                    <w:pStyle w:val="Compact"/>
                    <w:jc w:val="right"/>
                    <w:jc w:val="center"/>
                  </w:pPr>
                  <w:r>
                    <w:t xml:space="preserve">-0.012</w:t>
                  </w:r>
                </w:p>
              </w:tc>
              <w:tc>
                <w:tcPr/>
                <w:p>
                  <w:pPr>
                    <w:pStyle w:val="Compact"/>
                    <w:jc w:val="right"/>
                    <w:jc w:val="center"/>
                  </w:pPr>
                  <w:r>
                    <w:t xml:space="preserve">0.068</w:t>
                  </w:r>
                </w:p>
              </w:tc>
            </w:tr>
            <w:tr>
              <w:tc>
                <w:tcPr/>
                <w:p>
                  <w:pPr>
                    <w:pStyle w:val="Compact"/>
                    <w:jc w:val="left"/>
                    <w:jc w:val="center"/>
                  </w:pPr>
                  <w:r>
                    <w:t xml:space="preserve">Education</w:t>
                  </w:r>
                </w:p>
              </w:tc>
              <w:tc>
                <w:tcPr/>
                <w:p>
                  <w:pPr>
                    <w:pStyle w:val="Compact"/>
                    <w:jc w:val="right"/>
                    <w:jc w:val="center"/>
                  </w:pPr>
                  <w:r>
                    <w:t xml:space="preserve">-0.078</w:t>
                  </w:r>
                </w:p>
              </w:tc>
              <w:tc>
                <w:tcPr/>
                <w:p>
                  <w:pPr>
                    <w:pStyle w:val="Compact"/>
                    <w:jc w:val="right"/>
                    <w:jc w:val="center"/>
                  </w:pPr>
                  <w:r>
                    <w:t xml:space="preserve">0.019</w:t>
                  </w:r>
                </w:p>
              </w:tc>
              <w:tc>
                <w:tcPr/>
                <w:p>
                  <w:pPr>
                    <w:pStyle w:val="Compact"/>
                    <w:jc w:val="right"/>
                    <w:jc w:val="center"/>
                  </w:pPr>
                  <w:r>
                    <w:t xml:space="preserve">0.064</w:t>
                  </w:r>
                </w:p>
              </w:tc>
              <w:tc>
                <w:tcPr/>
                <w:p>
                  <w:pPr>
                    <w:pStyle w:val="Compact"/>
                    <w:jc w:val="right"/>
                    <w:jc w:val="center"/>
                  </w:pPr>
                  <w:r>
                    <w:t xml:space="preserve">0.050</w:t>
                  </w:r>
                </w:p>
              </w:tc>
            </w:tr>
            <w:tr>
              <w:tc>
                <w:tcPr/>
                <w:p>
                  <w:pPr>
                    <w:pStyle w:val="Compact"/>
                    <w:jc w:val="left"/>
                    <w:jc w:val="center"/>
                  </w:pPr>
                  <w:r>
                    <w:t xml:space="preserve">Household income</w:t>
                  </w:r>
                </w:p>
              </w:tc>
              <w:tc>
                <w:tcPr/>
                <w:p>
                  <w:pPr>
                    <w:pStyle w:val="Compact"/>
                    <w:jc w:val="right"/>
                    <w:jc w:val="center"/>
                  </w:pPr>
                  <w:r>
                    <w:t xml:space="preserve">-0.066</w:t>
                  </w:r>
                </w:p>
              </w:tc>
              <w:tc>
                <w:tcPr/>
                <w:p>
                  <w:pPr>
                    <w:pStyle w:val="Compact"/>
                    <w:jc w:val="right"/>
                    <w:jc w:val="center"/>
                  </w:pPr>
                  <w:r>
                    <w:t xml:space="preserve">-0.045</w:t>
                  </w:r>
                </w:p>
              </w:tc>
              <w:tc>
                <w:tcPr/>
                <w:p>
                  <w:pPr>
                    <w:pStyle w:val="Compact"/>
                    <w:jc w:val="right"/>
                    <w:jc w:val="center"/>
                  </w:pPr>
                  <w:r>
                    <w:t xml:space="preserve">0.095*</w:t>
                  </w:r>
                </w:p>
              </w:tc>
              <w:tc>
                <w:tcPr/>
                <w:p>
                  <w:pPr>
                    <w:pStyle w:val="Compact"/>
                    <w:jc w:val="right"/>
                    <w:jc w:val="center"/>
                  </w:pPr>
                  <w:r>
                    <w:t xml:space="preserve">0.128**</w:t>
                  </w:r>
                </w:p>
              </w:tc>
            </w:tr>
          </w:tbl>
          <w:bookmarkEnd w:id="50"/>
          <w:p/>
        </w:tc>
      </w:tr>
    </w:tbl>
    <w:p>
      <w:r>
        <w:br w:type="page"/>
      </w:r>
    </w:p>
    <w:bookmarkEnd w:id="51"/>
    <w:bookmarkStart w:id="52" w:name="references"/>
    <w:p>
      <w:pPr>
        <w:pStyle w:val="Heading1"/>
      </w:pPr>
      <w:r>
        <w:t xml:space="preserve">References</w:t>
      </w:r>
    </w:p>
    <w:p>
      <w:pPr>
        <w:pStyle w:val="FirstParagraph"/>
      </w:pPr>
    </w:p>
    <w:bookmarkEnd w:id="52"/>
    <w:sectPr w:rsidR="00A86E9F" w:rsidRPr="00DF3FBD" w:rsidSect="002C73CC">
      <w:headerReference r:id="rId12" w:type="even"/>
      <w:headerReference r:id="rId13" w:type="default"/>
      <w:footerReference r:id="rId14" w:type="even"/>
      <w:footerReference r:id="rId15" w:type="default"/>
      <w:headerReference r:id="rId16" w:type="first"/>
      <w:footerReference r:id="rId17"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F611" w14:textId="77777777" w:rsidR="0028623A" w:rsidRDefault="002862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50E4" w14:textId="702E9C1E" w:rsidR="00A24DD7" w:rsidRPr="00A24DD7" w:rsidRDefault="00A24DD7" w:rsidP="00A24DD7">
    <w:pPr>
      <w:pStyle w:val="Footer"/>
      <w:spacing w:line="240" w:lineRule="auto"/>
      <w:jc w:val="right"/>
    </w:pPr>
    <w:r w:rsidRPr="0028623A">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757C" w14:textId="77777777" w:rsidR="00281E5B" w:rsidRPr="00AE7596" w:rsidRDefault="00281E5B" w:rsidP="004F0E02">
    <w:pPr>
      <w:pBdr>
        <w:top w:val="single" w:sz="4" w:space="0" w:color="000000"/>
      </w:pBdr>
      <w:adjustRightInd w:val="0"/>
      <w:snapToGrid w:val="0"/>
      <w:spacing w:before="480" w:line="100" w:lineRule="exact"/>
      <w:rPr>
        <w:i/>
        <w:iCs/>
        <w:sz w:val="16"/>
        <w:szCs w:val="16"/>
      </w:rPr>
    </w:pPr>
  </w:p>
  <w:p w14:paraId="15F40FBC" w14:textId="43D94221" w:rsidR="00C45F1E" w:rsidRPr="00AE7596" w:rsidRDefault="00C45F1E" w:rsidP="00BA570C">
    <w:pPr>
      <w:tabs>
        <w:tab w:val="right" w:pos="10466"/>
      </w:tabs>
      <w:spacing w:line="240" w:lineRule="auto"/>
      <w:rPr>
        <w:sz w:val="16"/>
        <w:szCs w:val="16"/>
      </w:rPr>
    </w:pPr>
    <w:r w:rsidRPr="00AE7596">
      <w:rPr>
        <w:i/>
        <w:iCs/>
        <w:sz w:val="16"/>
        <w:szCs w:val="16"/>
      </w:rPr>
      <w:t>Sustainability</w:t>
    </w:r>
    <w:r w:rsidRPr="00AE7596">
      <w:rPr>
        <w:sz w:val="16"/>
        <w:szCs w:val="16"/>
      </w:rPr>
      <w:t xml:space="preserve"> </w:t>
    </w:r>
    <w:r w:rsidR="00A24DD7">
      <w:rPr>
        <w:b/>
        <w:bCs/>
        <w:iCs/>
        <w:sz w:val="16"/>
        <w:szCs w:val="16"/>
      </w:rPr>
      <w:t>2026</w:t>
    </w:r>
    <w:r w:rsidR="00632077" w:rsidRPr="00AE7596">
      <w:rPr>
        <w:bCs/>
        <w:iCs/>
        <w:sz w:val="16"/>
        <w:szCs w:val="16"/>
      </w:rPr>
      <w:t>,</w:t>
    </w:r>
    <w:r w:rsidR="002C73CC" w:rsidRPr="00AE7596">
      <w:rPr>
        <w:bCs/>
        <w:i/>
        <w:iCs/>
        <w:sz w:val="16"/>
        <w:szCs w:val="16"/>
      </w:rPr>
      <w:t xml:space="preserve"> </w:t>
    </w:r>
    <w:r w:rsidR="00A24DD7">
      <w:rPr>
        <w:bCs/>
        <w:i/>
        <w:iCs/>
        <w:sz w:val="16"/>
        <w:szCs w:val="16"/>
      </w:rPr>
      <w:t>18</w:t>
    </w:r>
    <w:r w:rsidR="00632077" w:rsidRPr="00AE7596">
      <w:rPr>
        <w:bCs/>
        <w:iCs/>
        <w:sz w:val="16"/>
        <w:szCs w:val="16"/>
      </w:rPr>
      <w:t xml:space="preserve">, </w:t>
    </w:r>
    <w:r w:rsidR="00A36565" w:rsidRPr="00AE7596">
      <w:rPr>
        <w:bCs/>
        <w:iCs/>
        <w:sz w:val="16"/>
        <w:szCs w:val="16"/>
      </w:rPr>
      <w:t>x</w:t>
    </w:r>
    <w:r w:rsidR="00BA570C" w:rsidRPr="00AE7596">
      <w:rPr>
        <w:sz w:val="16"/>
        <w:szCs w:val="16"/>
      </w:rPr>
      <w:tab/>
    </w:r>
    <w:r w:rsidR="00A24DD7" w:rsidRPr="0028623A">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97D7" w14:textId="77777777" w:rsidR="00C45F1E" w:rsidRPr="00AE7596" w:rsidRDefault="00C45F1E" w:rsidP="00C45F1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DF25" w14:textId="7BBCABF8" w:rsidR="00281E5B" w:rsidRPr="00AE7596" w:rsidRDefault="00C45F1E" w:rsidP="00BA570C">
    <w:pPr>
      <w:tabs>
        <w:tab w:val="right" w:pos="10466"/>
      </w:tabs>
      <w:adjustRightInd w:val="0"/>
      <w:snapToGrid w:val="0"/>
      <w:spacing w:line="240" w:lineRule="auto"/>
      <w:rPr>
        <w:sz w:val="16"/>
      </w:rPr>
    </w:pPr>
    <w:r w:rsidRPr="00AE7596">
      <w:rPr>
        <w:i/>
        <w:sz w:val="16"/>
      </w:rPr>
      <w:t xml:space="preserve">Sustainability </w:t>
    </w:r>
    <w:r w:rsidR="00A24DD7">
      <w:rPr>
        <w:b/>
        <w:sz w:val="16"/>
      </w:rPr>
      <w:t>2026</w:t>
    </w:r>
    <w:r w:rsidR="00632077" w:rsidRPr="00AE7596">
      <w:rPr>
        <w:sz w:val="16"/>
      </w:rPr>
      <w:t>,</w:t>
    </w:r>
    <w:r w:rsidR="002C73CC" w:rsidRPr="00AE7596">
      <w:rPr>
        <w:i/>
        <w:sz w:val="16"/>
      </w:rPr>
      <w:t xml:space="preserve"> </w:t>
    </w:r>
    <w:r w:rsidR="00A24DD7">
      <w:rPr>
        <w:i/>
        <w:sz w:val="16"/>
      </w:rPr>
      <w:t>18</w:t>
    </w:r>
    <w:r w:rsidR="00A36565" w:rsidRPr="00AE7596">
      <w:rPr>
        <w:sz w:val="16"/>
      </w:rPr>
      <w:t xml:space="preserve">, x </w:t>
    </w:r>
    <w:r w:rsidR="002C73CC" w:rsidRPr="00AE7596">
      <w:rPr>
        <w:sz w:val="16"/>
      </w:rPr>
      <w:t>FOR PEER REVIEW</w:t>
    </w:r>
    <w:r w:rsidR="002C73CC" w:rsidRPr="00AE7596">
      <w:rPr>
        <w:sz w:val="16"/>
      </w:rPr>
      <w:ptab w:relativeTo="margin" w:alignment="right" w:leader="none"/>
    </w:r>
    <w:r w:rsidR="002C73CC" w:rsidRPr="00AE7596">
      <w:rPr>
        <w:sz w:val="16"/>
      </w:rPr>
      <w:fldChar w:fldCharType="begin"/>
    </w:r>
    <w:r w:rsidR="002C73CC" w:rsidRPr="00AE7596">
      <w:rPr>
        <w:sz w:val="16"/>
      </w:rPr>
      <w:instrText xml:space="preserve"> PAGE   \* MERGEFORMAT </w:instrText>
    </w:r>
    <w:r w:rsidR="002C73CC" w:rsidRPr="00AE7596">
      <w:rPr>
        <w:sz w:val="16"/>
      </w:rPr>
      <w:fldChar w:fldCharType="separate"/>
    </w:r>
    <w:r w:rsidR="002C73CC" w:rsidRPr="00AE7596">
      <w:rPr>
        <w:sz w:val="16"/>
      </w:rPr>
      <w:t>2</w:t>
    </w:r>
    <w:r w:rsidR="002C73CC" w:rsidRPr="00AE7596">
      <w:rPr>
        <w:sz w:val="16"/>
      </w:rPr>
      <w:fldChar w:fldCharType="end"/>
    </w:r>
    <w:r w:rsidR="002C73CC" w:rsidRPr="00AE7596">
      <w:rPr>
        <w:sz w:val="16"/>
      </w:rPr>
      <w:t xml:space="preserve"> of </w:t>
    </w:r>
    <w:r w:rsidR="002C73CC" w:rsidRPr="00AE7596">
      <w:rPr>
        <w:sz w:val="16"/>
      </w:rPr>
      <w:fldChar w:fldCharType="begin"/>
    </w:r>
    <w:r w:rsidR="002C73CC" w:rsidRPr="00AE7596">
      <w:rPr>
        <w:sz w:val="16"/>
      </w:rPr>
      <w:instrText xml:space="preserve"> NUMPAGES   \* MERGEFORMAT </w:instrText>
    </w:r>
    <w:r w:rsidR="002C73CC" w:rsidRPr="00AE7596">
      <w:rPr>
        <w:sz w:val="16"/>
      </w:rPr>
      <w:fldChar w:fldCharType="separate"/>
    </w:r>
    <w:r w:rsidR="002C73CC" w:rsidRPr="00AE7596">
      <w:rPr>
        <w:sz w:val="16"/>
      </w:rPr>
      <w:t>7</w:t>
    </w:r>
    <w:r w:rsidR="002C73CC" w:rsidRPr="00AE7596">
      <w:rPr>
        <w:sz w:val="16"/>
      </w:rPr>
      <w:fldChar w:fldCharType="end"/>
    </w:r>
  </w:p>
  <w:p w14:paraId="3105923E" w14:textId="77777777" w:rsidR="00C45F1E" w:rsidRPr="00AE7596" w:rsidRDefault="00C45F1E" w:rsidP="004F0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81E5B" w:rsidRPr="00AE7596" w14:paraId="473592A3" w14:textId="77777777" w:rsidTr="008D01B0">
      <w:trPr>
        <w:trHeight w:val="686"/>
      </w:trPr>
      <w:tc>
        <w:tcPr>
          <w:tcW w:w="3679" w:type="dxa"/>
          <w:vAlign w:val="center"/>
        </w:tcPr>
        <w:p w14:paraId="40D3180C" w14:textId="50E1B31F" w:rsidR="00281E5B" w:rsidRPr="00AE7596" w:rsidRDefault="0053661C" w:rsidP="00BA570C">
          <w:pPr>
            <w:pStyle w:val="Header"/>
            <w:pBdr>
              <w:bottom w:val="none" w:sz="0" w:space="0" w:color="auto"/>
            </w:pBdr>
            <w:jc w:val="left"/>
            <w:rPr>
              <w:rFonts w:eastAsia="等线"/>
              <w:b/>
              <w:bCs/>
            </w:rPr>
          </w:pPr>
          <w:r w:rsidRPr="00AE7596">
            <w:rPr>
              <w:rFonts w:eastAsia="等线"/>
              <w:b/>
              <w:bCs/>
              <w:noProof/>
            </w:rPr>
            <w:drawing>
              <wp:inline distT="0" distB="0" distL="0" distR="0" wp14:anchorId="7DA181D4" wp14:editId="28C4532A">
                <wp:extent cx="1758423" cy="432000"/>
                <wp:effectExtent l="0" t="0" r="0" b="6350"/>
                <wp:docPr id="3969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2817" name=""/>
                        <pic:cNvPicPr/>
                      </pic:nvPicPr>
                      <pic:blipFill>
                        <a:blip r:embed="rId1"/>
                        <a:stretch>
                          <a:fillRect/>
                        </a:stretch>
                      </pic:blipFill>
                      <pic:spPr>
                        <a:xfrm>
                          <a:off x="0" y="0"/>
                          <a:ext cx="1758423" cy="432000"/>
                        </a:xfrm>
                        <a:prstGeom prst="rect">
                          <a:avLst/>
                        </a:prstGeom>
                      </pic:spPr>
                    </pic:pic>
                  </a:graphicData>
                </a:graphic>
              </wp:inline>
            </w:drawing>
          </w:r>
        </w:p>
      </w:tc>
      <w:tc>
        <w:tcPr>
          <w:tcW w:w="4535" w:type="dxa"/>
          <w:vAlign w:val="center"/>
        </w:tcPr>
        <w:p w14:paraId="7D4E6071" w14:textId="77777777" w:rsidR="00281E5B" w:rsidRPr="00AE7596" w:rsidRDefault="00281E5B" w:rsidP="00BA570C">
          <w:pPr>
            <w:pStyle w:val="Header"/>
            <w:pBdr>
              <w:bottom w:val="none" w:sz="0" w:space="0" w:color="auto"/>
            </w:pBdr>
            <w:rPr>
              <w:rFonts w:eastAsia="等线"/>
              <w:b/>
              <w:bCs/>
            </w:rPr>
          </w:pPr>
        </w:p>
      </w:tc>
      <w:tc>
        <w:tcPr>
          <w:tcW w:w="2273" w:type="dxa"/>
          <w:vAlign w:val="center"/>
        </w:tcPr>
        <w:p w14:paraId="42D6D852" w14:textId="240FCF71" w:rsidR="00281E5B" w:rsidRPr="00AE7596" w:rsidRDefault="008D01B0" w:rsidP="008D01B0">
          <w:pPr>
            <w:pStyle w:val="Header"/>
            <w:pBdr>
              <w:bottom w:val="none" w:sz="0" w:space="0" w:color="auto"/>
            </w:pBdr>
            <w:jc w:val="right"/>
            <w:rPr>
              <w:rFonts w:eastAsia="等线"/>
              <w:b/>
              <w:bCs/>
            </w:rPr>
          </w:pPr>
          <w:r w:rsidRPr="00AE7596">
            <w:rPr>
              <w:rFonts w:eastAsia="等线"/>
              <w:b/>
              <w:bCs/>
              <w:noProof/>
            </w:rPr>
            <w:drawing>
              <wp:inline distT="0" distB="0" distL="0" distR="0" wp14:anchorId="0D95D5AE" wp14:editId="75250C9B">
                <wp:extent cx="540000" cy="360000"/>
                <wp:effectExtent l="0" t="0" r="0" b="2540"/>
                <wp:docPr id="1622818010" name="Picture 1"/>
                <wp:cNvGraphicFramePr/>
                <a:graphic xmlns:a="http://schemas.openxmlformats.org/drawingml/2006/main">
                  <a:graphicData uri="http://schemas.openxmlformats.org/drawingml/2006/picture">
                    <pic:pic xmlns:pic="http://schemas.openxmlformats.org/drawingml/2006/picture">
                      <pic:nvPicPr>
                        <pic:cNvPr id="1622818010" name=""/>
                        <pic:cNvPicPr/>
                      </pic:nvPicPr>
                      <pic:blipFill>
                        <a:blip r:embed="rId2"/>
                        <a:stretch>
                          <a:fillRect/>
                        </a:stretch>
                      </pic:blipFill>
                      <pic:spPr>
                        <a:xfrm>
                          <a:off x="0" y="0"/>
                          <a:ext cx="540000" cy="360000"/>
                        </a:xfrm>
                        <a:prstGeom prst="rect">
                          <a:avLst/>
                        </a:prstGeom>
                      </pic:spPr>
                    </pic:pic>
                  </a:graphicData>
                </a:graphic>
              </wp:inline>
            </w:drawing>
          </w:r>
        </w:p>
      </w:tc>
    </w:tr>
  </w:tbl>
  <w:p w14:paraId="6D4750AD" w14:textId="77777777" w:rsidR="00C45F1E" w:rsidRPr="00AE7596" w:rsidRDefault="00C45F1E" w:rsidP="002C73CC">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8B68D0"/>
    <w:multiLevelType w:val="hybridMultilevel"/>
    <w:tmpl w:val="054A593C"/>
    <w:lvl w:ilvl="0" w:tplc="5216A9FE">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7F0D062"/>
    <w:lvl w:ilvl="0" w:tplc="0B74C6CE">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8BFE0D56"/>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2A71D87"/>
    <w:multiLevelType w:val="hybridMultilevel"/>
    <w:tmpl w:val="9FBC5E02"/>
    <w:lvl w:ilvl="0" w:tplc="985A5EF6">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5">
    <w:nsid w:val="27F9426D"/>
    <w:multiLevelType w:val="hybridMultilevel"/>
    <w:tmpl w:val="2D407F76"/>
    <w:lvl w:ilvl="0" w:tplc="ED42950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6">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7">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9">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54075B53"/>
    <w:multiLevelType w:val="hybridMultilevel"/>
    <w:tmpl w:val="A0DCA02E"/>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1">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27993666" w:numId="1">
    <w:abstractNumId w:val="6"/>
  </w:num>
  <w:num w16cid:durableId="1509054446" w:numId="2">
    <w:abstractNumId w:val="8"/>
  </w:num>
  <w:num w16cid:durableId="1113590912" w:numId="3">
    <w:abstractNumId w:val="4"/>
  </w:num>
  <w:num w16cid:durableId="731780361"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29608438" w:numId="5">
    <w:abstractNumId w:val="7"/>
  </w:num>
  <w:num w16cid:durableId="473181297" w:numId="6">
    <w:abstractNumId w:val="10"/>
  </w:num>
  <w:num w16cid:durableId="195194816" w:numId="7">
    <w:abstractNumId w:val="2"/>
  </w:num>
  <w:num w16cid:durableId="244807432" w:numId="8">
    <w:abstractNumId w:val="10"/>
  </w:num>
  <w:num w16cid:durableId="1036198040" w:numId="9">
    <w:abstractNumId w:val="2"/>
  </w:num>
  <w:num w16cid:durableId="993417376" w:numId="10">
    <w:abstractNumId w:val="10"/>
  </w:num>
  <w:num w16cid:durableId="124591053" w:numId="11">
    <w:abstractNumId w:val="2"/>
  </w:num>
  <w:num w16cid:durableId="1437142715" w:numId="12">
    <w:abstractNumId w:val="11"/>
  </w:num>
  <w:num w16cid:durableId="1884321205" w:numId="13">
    <w:abstractNumId w:val="10"/>
  </w:num>
  <w:num w16cid:durableId="146168580" w:numId="14">
    <w:abstractNumId w:val="2"/>
  </w:num>
  <w:num w16cid:durableId="2073844841" w:numId="15">
    <w:abstractNumId w:val="1"/>
  </w:num>
  <w:num w16cid:durableId="859780803" w:numId="16">
    <w:abstractNumId w:val="9"/>
  </w:num>
  <w:num w16cid:durableId="1042906778" w:numId="17">
    <w:abstractNumId w:val="0"/>
  </w:num>
  <w:num w16cid:durableId="1299140370" w:numId="18">
    <w:abstractNumId w:val="10"/>
  </w:num>
  <w:num w16cid:durableId="1616598920" w:numId="19">
    <w:abstractNumId w:val="2"/>
  </w:num>
  <w:num w16cid:durableId="1242713542" w:numId="20">
    <w:abstractNumId w:val="1"/>
  </w:num>
  <w:num w16cid:durableId="1702782998" w:numId="21">
    <w:abstractNumId w:val="0"/>
  </w:num>
  <w:num w16cid:durableId="1290279064" w:numId="22">
    <w:abstractNumId w:val="5"/>
  </w:num>
  <w:num w16cid:durableId="201018322" w:numId="23">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03"/>
    <w:rsid w:val="000142CA"/>
    <w:rsid w:val="00020CE2"/>
    <w:rsid w:val="00037AE6"/>
    <w:rsid w:val="00051876"/>
    <w:rsid w:val="00061068"/>
    <w:rsid w:val="00064772"/>
    <w:rsid w:val="00070D92"/>
    <w:rsid w:val="00071218"/>
    <w:rsid w:val="00080EFC"/>
    <w:rsid w:val="000855EA"/>
    <w:rsid w:val="000925CA"/>
    <w:rsid w:val="00093E7F"/>
    <w:rsid w:val="000B0B13"/>
    <w:rsid w:val="000B265B"/>
    <w:rsid w:val="000E0227"/>
    <w:rsid w:val="000F0754"/>
    <w:rsid w:val="00104D24"/>
    <w:rsid w:val="00113E2F"/>
    <w:rsid w:val="0014459E"/>
    <w:rsid w:val="001548C1"/>
    <w:rsid w:val="001611BC"/>
    <w:rsid w:val="001762DD"/>
    <w:rsid w:val="00185980"/>
    <w:rsid w:val="001A1BB3"/>
    <w:rsid w:val="001A27B2"/>
    <w:rsid w:val="001A413C"/>
    <w:rsid w:val="001A57BF"/>
    <w:rsid w:val="001B38D4"/>
    <w:rsid w:val="001D057B"/>
    <w:rsid w:val="001E2AEB"/>
    <w:rsid w:val="00204327"/>
    <w:rsid w:val="0022638C"/>
    <w:rsid w:val="002266AA"/>
    <w:rsid w:val="002316BB"/>
    <w:rsid w:val="00253CA3"/>
    <w:rsid w:val="00256E65"/>
    <w:rsid w:val="00281E5B"/>
    <w:rsid w:val="0028623A"/>
    <w:rsid w:val="0029420B"/>
    <w:rsid w:val="00295161"/>
    <w:rsid w:val="00297A33"/>
    <w:rsid w:val="002B76DC"/>
    <w:rsid w:val="002C338C"/>
    <w:rsid w:val="002C73CC"/>
    <w:rsid w:val="002D650D"/>
    <w:rsid w:val="002E57DB"/>
    <w:rsid w:val="002E5B86"/>
    <w:rsid w:val="002F1BFE"/>
    <w:rsid w:val="00316C89"/>
    <w:rsid w:val="00326141"/>
    <w:rsid w:val="00330A75"/>
    <w:rsid w:val="003337EA"/>
    <w:rsid w:val="00337833"/>
    <w:rsid w:val="00354A5A"/>
    <w:rsid w:val="003746CD"/>
    <w:rsid w:val="003B6ABF"/>
    <w:rsid w:val="003D1D40"/>
    <w:rsid w:val="003D60EE"/>
    <w:rsid w:val="003E6954"/>
    <w:rsid w:val="003E7640"/>
    <w:rsid w:val="003F4EFE"/>
    <w:rsid w:val="003F6C3A"/>
    <w:rsid w:val="00401235"/>
    <w:rsid w:val="00401D30"/>
    <w:rsid w:val="004050FF"/>
    <w:rsid w:val="004102B9"/>
    <w:rsid w:val="00425371"/>
    <w:rsid w:val="00431D81"/>
    <w:rsid w:val="004345D3"/>
    <w:rsid w:val="0044546E"/>
    <w:rsid w:val="00454A4A"/>
    <w:rsid w:val="0047260B"/>
    <w:rsid w:val="00476157"/>
    <w:rsid w:val="0048108F"/>
    <w:rsid w:val="004A4BBA"/>
    <w:rsid w:val="004B0B17"/>
    <w:rsid w:val="004B4287"/>
    <w:rsid w:val="004C3F57"/>
    <w:rsid w:val="004C46B1"/>
    <w:rsid w:val="004E0F98"/>
    <w:rsid w:val="004E21A1"/>
    <w:rsid w:val="004E5DF9"/>
    <w:rsid w:val="004F0E02"/>
    <w:rsid w:val="005022B4"/>
    <w:rsid w:val="005028E5"/>
    <w:rsid w:val="00502EEE"/>
    <w:rsid w:val="00507625"/>
    <w:rsid w:val="00507EFC"/>
    <w:rsid w:val="00511E44"/>
    <w:rsid w:val="005327C9"/>
    <w:rsid w:val="0053661C"/>
    <w:rsid w:val="00545B32"/>
    <w:rsid w:val="005660F6"/>
    <w:rsid w:val="005C61D3"/>
    <w:rsid w:val="005D13A9"/>
    <w:rsid w:val="005E0240"/>
    <w:rsid w:val="005E14E8"/>
    <w:rsid w:val="005E42AE"/>
    <w:rsid w:val="00604EDE"/>
    <w:rsid w:val="00607F24"/>
    <w:rsid w:val="006204BC"/>
    <w:rsid w:val="00632077"/>
    <w:rsid w:val="00636DCE"/>
    <w:rsid w:val="006429BB"/>
    <w:rsid w:val="00681548"/>
    <w:rsid w:val="00692393"/>
    <w:rsid w:val="006A7FF4"/>
    <w:rsid w:val="006C42C8"/>
    <w:rsid w:val="006C619C"/>
    <w:rsid w:val="006E142A"/>
    <w:rsid w:val="006E6288"/>
    <w:rsid w:val="00740B6F"/>
    <w:rsid w:val="0075794E"/>
    <w:rsid w:val="007628E6"/>
    <w:rsid w:val="0076686D"/>
    <w:rsid w:val="007674BF"/>
    <w:rsid w:val="00770948"/>
    <w:rsid w:val="0077402B"/>
    <w:rsid w:val="00794A62"/>
    <w:rsid w:val="007A108C"/>
    <w:rsid w:val="007A283C"/>
    <w:rsid w:val="007B4C9E"/>
    <w:rsid w:val="007D2775"/>
    <w:rsid w:val="007E1AD0"/>
    <w:rsid w:val="007E5740"/>
    <w:rsid w:val="00822B3D"/>
    <w:rsid w:val="00832857"/>
    <w:rsid w:val="00840934"/>
    <w:rsid w:val="00841933"/>
    <w:rsid w:val="008523BB"/>
    <w:rsid w:val="008624B5"/>
    <w:rsid w:val="00865AC6"/>
    <w:rsid w:val="008838CF"/>
    <w:rsid w:val="008859F4"/>
    <w:rsid w:val="008B2B29"/>
    <w:rsid w:val="008B5125"/>
    <w:rsid w:val="008C2A37"/>
    <w:rsid w:val="008D01B0"/>
    <w:rsid w:val="008F446B"/>
    <w:rsid w:val="009021A7"/>
    <w:rsid w:val="00933E2C"/>
    <w:rsid w:val="00956613"/>
    <w:rsid w:val="009566E3"/>
    <w:rsid w:val="0095741D"/>
    <w:rsid w:val="00964A28"/>
    <w:rsid w:val="00993A21"/>
    <w:rsid w:val="009C6085"/>
    <w:rsid w:val="009D0DA8"/>
    <w:rsid w:val="009D5560"/>
    <w:rsid w:val="009E7E90"/>
    <w:rsid w:val="009F0B0F"/>
    <w:rsid w:val="009F70E6"/>
    <w:rsid w:val="00A04FD6"/>
    <w:rsid w:val="00A0751C"/>
    <w:rsid w:val="00A24DD7"/>
    <w:rsid w:val="00A36565"/>
    <w:rsid w:val="00A65307"/>
    <w:rsid w:val="00A6605F"/>
    <w:rsid w:val="00A70B08"/>
    <w:rsid w:val="00A86E9F"/>
    <w:rsid w:val="00AA684A"/>
    <w:rsid w:val="00AC11F9"/>
    <w:rsid w:val="00AC7F68"/>
    <w:rsid w:val="00AE7596"/>
    <w:rsid w:val="00AF0644"/>
    <w:rsid w:val="00AF5A91"/>
    <w:rsid w:val="00B00AFB"/>
    <w:rsid w:val="00B21347"/>
    <w:rsid w:val="00B4734C"/>
    <w:rsid w:val="00B5405E"/>
    <w:rsid w:val="00B80275"/>
    <w:rsid w:val="00B84F5A"/>
    <w:rsid w:val="00BA570C"/>
    <w:rsid w:val="00BB5981"/>
    <w:rsid w:val="00BD2405"/>
    <w:rsid w:val="00BD5735"/>
    <w:rsid w:val="00BE0791"/>
    <w:rsid w:val="00BF4597"/>
    <w:rsid w:val="00BF54CA"/>
    <w:rsid w:val="00BF745B"/>
    <w:rsid w:val="00C02A07"/>
    <w:rsid w:val="00C036E8"/>
    <w:rsid w:val="00C069CD"/>
    <w:rsid w:val="00C43255"/>
    <w:rsid w:val="00C45F1E"/>
    <w:rsid w:val="00C8316E"/>
    <w:rsid w:val="00C90EAB"/>
    <w:rsid w:val="00C90F92"/>
    <w:rsid w:val="00C9601A"/>
    <w:rsid w:val="00CA6896"/>
    <w:rsid w:val="00CA6E6E"/>
    <w:rsid w:val="00CC5F55"/>
    <w:rsid w:val="00CD3203"/>
    <w:rsid w:val="00CE7302"/>
    <w:rsid w:val="00D07230"/>
    <w:rsid w:val="00D14CE0"/>
    <w:rsid w:val="00D223A8"/>
    <w:rsid w:val="00D2684C"/>
    <w:rsid w:val="00D32E9B"/>
    <w:rsid w:val="00D474EE"/>
    <w:rsid w:val="00D501D8"/>
    <w:rsid w:val="00D80381"/>
    <w:rsid w:val="00D92691"/>
    <w:rsid w:val="00D94F8A"/>
    <w:rsid w:val="00DB04E8"/>
    <w:rsid w:val="00DC426C"/>
    <w:rsid w:val="00DC5535"/>
    <w:rsid w:val="00DD4C63"/>
    <w:rsid w:val="00DE02F0"/>
    <w:rsid w:val="00DF3FBD"/>
    <w:rsid w:val="00E034CE"/>
    <w:rsid w:val="00E11356"/>
    <w:rsid w:val="00E22508"/>
    <w:rsid w:val="00E30E54"/>
    <w:rsid w:val="00E35766"/>
    <w:rsid w:val="00E40745"/>
    <w:rsid w:val="00E4708F"/>
    <w:rsid w:val="00E52F1E"/>
    <w:rsid w:val="00E70428"/>
    <w:rsid w:val="00E943BD"/>
    <w:rsid w:val="00E94AAD"/>
    <w:rsid w:val="00EA77BB"/>
    <w:rsid w:val="00EB33F9"/>
    <w:rsid w:val="00EE5C3B"/>
    <w:rsid w:val="00EF7C2A"/>
    <w:rsid w:val="00F00695"/>
    <w:rsid w:val="00F179E4"/>
    <w:rsid w:val="00F25D88"/>
    <w:rsid w:val="00F34FEE"/>
    <w:rsid w:val="00F45639"/>
    <w:rsid w:val="00F46BA1"/>
    <w:rsid w:val="00F528DD"/>
    <w:rsid w:val="00F57906"/>
    <w:rsid w:val="00F658F9"/>
    <w:rsid w:val="00F7099C"/>
    <w:rsid w:val="00FA22F0"/>
    <w:rsid w:val="00FB2C15"/>
    <w:rsid w:val="00FE6213"/>
    <w:rsid w:val="00FF00B3"/>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86E9F"/>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A86E9F"/>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A86E9F"/>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A86E9F"/>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A86E9F"/>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A86E9F"/>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A86E9F"/>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A86E9F"/>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3203"/>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A86E9F"/>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rsid w:val="00A86E9F"/>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A86E9F"/>
    <w:rPr>
      <w:rFonts w:ascii="Palatino Linotype" w:hAnsi="Palatino Linotype"/>
      <w:noProof/>
      <w:color w:val="000000"/>
      <w:szCs w:val="18"/>
    </w:rPr>
  </w:style>
  <w:style w:customStyle="1" w:styleId="MDPI32textnoindent" w:type="paragraph">
    <w:name w:val="MDPI_3.2_text_no_indent"/>
    <w:basedOn w:val="MDPI31text"/>
    <w:qFormat/>
    <w:rsid w:val="00A86E9F"/>
    <w:pPr>
      <w:ind w:firstLine="0"/>
    </w:pPr>
  </w:style>
  <w:style w:customStyle="1" w:styleId="MDPI31text" w:type="paragraph">
    <w:name w:val="MDPI_3.1_text"/>
    <w:qFormat/>
    <w:rsid w:val="003D1D40"/>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A86E9F"/>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A86E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A86E9F"/>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EB33F9"/>
    <w:pPr>
      <w:numPr>
        <w:numId w:val="22"/>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EB33F9"/>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A86E9F"/>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A86E9F"/>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A86E9F"/>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5E14E8"/>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A86E9F"/>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A86E9F"/>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A86E9F"/>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23heading3" w:type="paragraph">
    <w:name w:val="MDPI_2.3_heading3"/>
    <w:qFormat/>
    <w:rsid w:val="00A86E9F"/>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A86E9F"/>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A86E9F"/>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5E42AE"/>
    <w:pPr>
      <w:numPr>
        <w:numId w:val="23"/>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A86E9F"/>
    <w:rPr>
      <w:rFonts w:cs="Tahoma"/>
      <w:szCs w:val="18"/>
    </w:rPr>
  </w:style>
  <w:style w:customStyle="1" w:styleId="BalloonTextChar" w:type="character">
    <w:name w:val="Balloon Text Char"/>
    <w:link w:val="BalloonText"/>
    <w:uiPriority w:val="99"/>
    <w:rsid w:val="00A86E9F"/>
    <w:rPr>
      <w:rFonts w:ascii="Palatino Linotype" w:cs="Tahoma" w:hAnsi="Palatino Linotype"/>
      <w:noProof/>
      <w:color w:val="000000"/>
      <w:szCs w:val="18"/>
    </w:rPr>
  </w:style>
  <w:style w:styleId="LineNumber" w:type="character">
    <w:name w:val="line number"/>
    <w:uiPriority w:val="99"/>
    <w:rsid w:val="00AF0644"/>
    <w:rPr>
      <w:rFonts w:ascii="Palatino Linotype" w:hAnsi="Palatino Linotype"/>
      <w:sz w:val="16"/>
    </w:rPr>
  </w:style>
  <w:style w:customStyle="1" w:styleId="MDPI41threelinetable" w:type="table">
    <w:name w:val="MDPI_4.1_three_line_table"/>
    <w:basedOn w:val="TableNormal"/>
    <w:uiPriority w:val="99"/>
    <w:rsid w:val="00A86E9F"/>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A86E9F"/>
    <w:rPr>
      <w:color w:val="0000FF"/>
      <w:u w:val="single"/>
    </w:rPr>
  </w:style>
  <w:style w:styleId="UnresolvedMention" w:type="character">
    <w:name w:val="Unresolved Mention"/>
    <w:uiPriority w:val="99"/>
    <w:semiHidden/>
    <w:unhideWhenUsed/>
    <w:rsid w:val="004C46B1"/>
    <w:rPr>
      <w:color w:val="605E5C"/>
      <w:shd w:color="auto" w:fill="E1DFDD" w:val="clear"/>
    </w:rPr>
  </w:style>
  <w:style w:styleId="Footer" w:type="paragraph">
    <w:name w:val="footer"/>
    <w:basedOn w:val="Normal"/>
    <w:link w:val="FooterChar"/>
    <w:uiPriority w:val="99"/>
    <w:rsid w:val="00A86E9F"/>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A86E9F"/>
    <w:rPr>
      <w:rFonts w:ascii="Palatino Linotype" w:hAnsi="Palatino Linotype"/>
      <w:noProof/>
      <w:color w:val="000000"/>
      <w:szCs w:val="18"/>
    </w:rPr>
  </w:style>
  <w:style w:styleId="PlainTable4" w:type="table">
    <w:name w:val="Plain Table 4"/>
    <w:basedOn w:val="TableNormal"/>
    <w:uiPriority w:val="44"/>
    <w:rsid w:val="006320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34textspacebefore" w:type="paragraph">
    <w:name w:val="MDPI_3.4_text_space_before"/>
    <w:qFormat/>
    <w:rsid w:val="00A86E9F"/>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82theorem" w:type="paragraph">
    <w:name w:val="MDPI_8.2_theorem"/>
    <w:qFormat/>
    <w:rsid w:val="00A86E9F"/>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A86E9F"/>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61citation" w:type="paragraph">
    <w:name w:val="MDPI_6.1_citation"/>
    <w:qFormat/>
    <w:rsid w:val="00A86E9F"/>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A86E9F"/>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A86E9F"/>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4102B9"/>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A86E9F"/>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A86E9F"/>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1762DD"/>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A86E9F"/>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A86E9F"/>
  </w:style>
  <w:style w:styleId="Bibliography" w:type="paragraph">
    <w:name w:val="Bibliography"/>
    <w:basedOn w:val="Normal"/>
    <w:next w:val="Normal"/>
    <w:uiPriority w:val="37"/>
    <w:semiHidden/>
    <w:unhideWhenUsed/>
    <w:rsid w:val="00A86E9F"/>
  </w:style>
  <w:style w:styleId="BodyText" w:type="paragraph">
    <w:name w:val="Body Text"/>
    <w:link w:val="BodyTextChar"/>
    <w:rsid w:val="00A86E9F"/>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A86E9F"/>
    <w:rPr>
      <w:rFonts w:ascii="Palatino Linotype" w:hAnsi="Palatino Linotype"/>
      <w:color w:val="000000"/>
      <w:sz w:val="24"/>
      <w:lang w:eastAsia="de-DE"/>
    </w:rPr>
  </w:style>
  <w:style w:styleId="CommentReference" w:type="character">
    <w:name w:val="annotation reference"/>
    <w:rsid w:val="00A86E9F"/>
    <w:rPr>
      <w:sz w:val="21"/>
      <w:szCs w:val="21"/>
    </w:rPr>
  </w:style>
  <w:style w:styleId="CommentText" w:type="paragraph">
    <w:name w:val="annotation text"/>
    <w:basedOn w:val="Normal"/>
    <w:link w:val="CommentTextChar"/>
    <w:rsid w:val="00A86E9F"/>
  </w:style>
  <w:style w:customStyle="1" w:styleId="CommentTextChar" w:type="character">
    <w:name w:val="Comment Text Char"/>
    <w:link w:val="CommentText"/>
    <w:rsid w:val="00A86E9F"/>
    <w:rPr>
      <w:rFonts w:ascii="Palatino Linotype" w:hAnsi="Palatino Linotype"/>
      <w:noProof/>
      <w:color w:val="000000"/>
    </w:rPr>
  </w:style>
  <w:style w:styleId="CommentSubject" w:type="paragraph">
    <w:name w:val="annotation subject"/>
    <w:basedOn w:val="CommentText"/>
    <w:next w:val="CommentText"/>
    <w:link w:val="CommentSubjectChar"/>
    <w:rsid w:val="00A86E9F"/>
    <w:rPr>
      <w:b/>
      <w:bCs/>
    </w:rPr>
  </w:style>
  <w:style w:customStyle="1" w:styleId="CommentSubjectChar" w:type="character">
    <w:name w:val="Comment Subject Char"/>
    <w:link w:val="CommentSubject"/>
    <w:rsid w:val="00A86E9F"/>
    <w:rPr>
      <w:rFonts w:ascii="Palatino Linotype" w:hAnsi="Palatino Linotype"/>
      <w:b/>
      <w:bCs/>
      <w:noProof/>
      <w:color w:val="000000"/>
    </w:rPr>
  </w:style>
  <w:style w:styleId="EndnoteReference" w:type="character">
    <w:name w:val="endnote reference"/>
    <w:rsid w:val="00A86E9F"/>
    <w:rPr>
      <w:vertAlign w:val="superscript"/>
    </w:rPr>
  </w:style>
  <w:style w:styleId="EndnoteText" w:type="paragraph">
    <w:name w:val="endnote text"/>
    <w:basedOn w:val="Normal"/>
    <w:link w:val="EndnoteTextChar"/>
    <w:semiHidden/>
    <w:unhideWhenUsed/>
    <w:rsid w:val="00A86E9F"/>
    <w:pPr>
      <w:spacing w:line="240" w:lineRule="auto"/>
    </w:pPr>
  </w:style>
  <w:style w:customStyle="1" w:styleId="EndnoteTextChar" w:type="character">
    <w:name w:val="Endnote Text Char"/>
    <w:link w:val="EndnoteText"/>
    <w:semiHidden/>
    <w:rsid w:val="00A86E9F"/>
    <w:rPr>
      <w:rFonts w:ascii="Palatino Linotype" w:hAnsi="Palatino Linotype"/>
      <w:noProof/>
      <w:color w:val="000000"/>
    </w:rPr>
  </w:style>
  <w:style w:styleId="FollowedHyperlink" w:type="character">
    <w:name w:val="FollowedHyperlink"/>
    <w:rsid w:val="00A86E9F"/>
    <w:rPr>
      <w:color w:val="954F72"/>
      <w:u w:val="single"/>
    </w:rPr>
  </w:style>
  <w:style w:styleId="FootnoteText" w:type="paragraph">
    <w:name w:val="footnote text"/>
    <w:basedOn w:val="Normal"/>
    <w:link w:val="FootnoteTextChar"/>
    <w:semiHidden/>
    <w:unhideWhenUsed/>
    <w:rsid w:val="00A86E9F"/>
    <w:pPr>
      <w:spacing w:line="240" w:lineRule="auto"/>
    </w:pPr>
  </w:style>
  <w:style w:customStyle="1" w:styleId="FootnoteTextChar" w:type="character">
    <w:name w:val="Footnote Text Char"/>
    <w:link w:val="FootnoteText"/>
    <w:semiHidden/>
    <w:rsid w:val="00A86E9F"/>
    <w:rPr>
      <w:rFonts w:ascii="Palatino Linotype" w:hAnsi="Palatino Linotype"/>
      <w:noProof/>
      <w:color w:val="000000"/>
    </w:rPr>
  </w:style>
  <w:style w:styleId="NormalWeb" w:type="paragraph">
    <w:name w:val="Normal (Web)"/>
    <w:basedOn w:val="Normal"/>
    <w:uiPriority w:val="99"/>
    <w:rsid w:val="00A86E9F"/>
    <w:rPr>
      <w:szCs w:val="24"/>
    </w:rPr>
  </w:style>
  <w:style w:customStyle="1" w:styleId="MsoFootnoteText0" w:type="paragraph">
    <w:name w:val="MsoFootnoteText"/>
    <w:basedOn w:val="NormalWeb"/>
    <w:qFormat/>
    <w:rsid w:val="00A86E9F"/>
    <w:rPr>
      <w:rFonts w:ascii="Times New Roman" w:hAnsi="Times New Roman"/>
    </w:rPr>
  </w:style>
  <w:style w:styleId="PageNumber" w:type="character">
    <w:name w:val="page number"/>
    <w:rsid w:val="00A86E9F"/>
  </w:style>
  <w:style w:styleId="PlaceholderText" w:type="character">
    <w:name w:val="Placeholder Text"/>
    <w:uiPriority w:val="99"/>
    <w:semiHidden/>
    <w:rsid w:val="00A86E9F"/>
    <w:rPr>
      <w:color w:val="808080"/>
    </w:rPr>
  </w:style>
  <w:style w:customStyle="1" w:styleId="MDPI71footnotes" w:type="paragraph">
    <w:name w:val="MDPI_7.1_footnotes"/>
    <w:qFormat/>
    <w:rsid w:val="00D14CE0"/>
    <w:pPr>
      <w:numPr>
        <w:numId w:val="21"/>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C069CD"/>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61529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header2.xml" Type="http://schemas.openxmlformats.org/officeDocument/2006/relationships/header" /><Relationship Id="rId12" Target="header1.xml" Type="http://schemas.openxmlformats.org/officeDocument/2006/relationships/header" /><Relationship Id="rId17" Target="footer3.xml" Type="http://schemas.openxmlformats.org/officeDocument/2006/relationships/footer" /><Relationship Id="rId16" Target="header3.xml" Type="http://schemas.openxmlformats.org/officeDocument/2006/relationships/header" /><Relationship Id="rId15" Target="footer2.xml" Type="http://schemas.openxmlformats.org/officeDocument/2006/relationships/footer" /><Relationship Id="rId10" Target="media/image2.png" Type="http://schemas.openxmlformats.org/officeDocument/2006/relationships/image" /><Relationship Id="rId9" Target="media/image1.png" Type="http://schemas.openxmlformats.org/officeDocument/2006/relationships/image" /><Relationship Id="rId14"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sustainability-template.dot</Template>
  <TotalTime>0</TotalTime>
  <Pages>2</Pages>
  <Words>2380</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Cultural Cognition, Environmental Orientation, and Pro-Environmental Behavior</dc:title>
  <dc:creator/>
  <cp:keywords/>
  <dcterms:created xsi:type="dcterms:W3CDTF">2026-07-07T22:28:07Z</dcterms:created>
  <dcterms:modified xsi:type="dcterms:W3CDTF">2026-07-07T22:28:07Z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american-political-science-association.csl</vt:lpwstr>
  </property>
  <property fmtid="{D5CDD505-2E9C-101B-9397-08002B2CF9AE}" pid="5" name="engines">
    <vt:lpwstr/>
  </property>
  <property fmtid="{D5CDD505-2E9C-101B-9397-08002B2CF9AE}" pid="6" name="fig-cap-location">
    <vt:lpwstr>top</vt:lpwstr>
  </property>
  <property fmtid="{D5CDD505-2E9C-101B-9397-08002B2CF9AE}" pid="7" name="fontfamily">
    <vt:lpwstr>ebgaramond</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bibliography">
    <vt:lpwstr>False</vt:lpwstr>
  </property>
  <property fmtid="{D5CDD505-2E9C-101B-9397-08002B2CF9AE}" pid="13" name="toc-title">
    <vt:lpwstr>Table of contents</vt:lpwstr>
  </property>
</Properties>
</file>