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F60D0" w14:textId="6296C4D3" w:rsidR="00E60947" w:rsidRPr="00E60947" w:rsidRDefault="00E60947" w:rsidP="00E60947">
      <w:bookmarkStart w:id="0" w:name="OLE_LINK1"/>
      <w:r w:rsidRPr="00E60947">
        <w:t>Cultural Cognition, Environmental Orientation, and Pro-Environmental Behavior</w:t>
      </w:r>
      <w:bookmarkEnd w:id="0"/>
    </w:p>
    <w:p w14:paraId="1231F238" w14:textId="77777777" w:rsidR="00E60947" w:rsidRPr="00E60947" w:rsidRDefault="00E60947" w:rsidP="00E60947"/>
    <w:p w14:paraId="767579B7" w14:textId="77777777" w:rsidR="00E60947" w:rsidRPr="00E60947" w:rsidRDefault="00E60947" w:rsidP="00E60947"/>
    <w:p w14:paraId="13CB49B5" w14:textId="77777777" w:rsidR="00E60947" w:rsidRPr="00E60947" w:rsidRDefault="00E60947" w:rsidP="00E60947"/>
    <w:p w14:paraId="78D771B4" w14:textId="77777777" w:rsidR="00E60947" w:rsidRPr="00E60947" w:rsidRDefault="00E60947" w:rsidP="00E60947">
      <w:pPr>
        <w:rPr>
          <w:b/>
          <w:bCs/>
        </w:rPr>
      </w:pPr>
      <w:r w:rsidRPr="00E60947">
        <w:rPr>
          <w:b/>
          <w:bCs/>
        </w:rPr>
        <w:t>Abstract:</w:t>
      </w:r>
    </w:p>
    <w:p w14:paraId="7C31F522" w14:textId="1E63A467" w:rsidR="00E60947" w:rsidRPr="00E60947" w:rsidRDefault="005A1E94" w:rsidP="00E60947">
      <w:bookmarkStart w:id="1" w:name="OLE_LINK2"/>
      <w:r>
        <w:t>M</w:t>
      </w:r>
      <w:r w:rsidR="00E60947" w:rsidRPr="00E60947">
        <w:t>easure</w:t>
      </w:r>
      <w:r>
        <w:t>s</w:t>
      </w:r>
      <w:r w:rsidR="00E60947" w:rsidRPr="00E60947">
        <w:t xml:space="preserve"> of pro-environmental orientation</w:t>
      </w:r>
      <w:r>
        <w:t xml:space="preserve"> are often used</w:t>
      </w:r>
      <w:r w:rsidR="00E60947" w:rsidRPr="00E60947">
        <w:t xml:space="preserve"> as a predictor of pro-environmental behavior. However, these models often do not adequately explain the variance in behaviors. </w:t>
      </w:r>
      <w:r>
        <w:t>W</w:t>
      </w:r>
      <w:r w:rsidR="00E60947" w:rsidRPr="00E60947">
        <w:t>e examine the link between cultural cognition and two validated measures of pro-environmental orientation: the New Ecological Paradigm and the Connectedness to Nature Scale. We posit that the connection between cultural cognition and behavior is mediated by environmental orientation. Drawing on original data from a nationally representative sample of US adults, we test the relationships between cultural cognition, the New Ecological Paradigm Scale, the Connectedness to Nature Scale, and public and private pro-environmental</w:t>
      </w:r>
      <w:r>
        <w:t xml:space="preserve"> behaviors</w:t>
      </w:r>
      <w:r w:rsidR="00E60947" w:rsidRPr="00E60947">
        <w:t>. Using structural equation modeling, we find that environmental orientation mediates the relationship between cultural cognition and behavior and that the Connectedness to Nature Scale is more influential on behavior than the New Ecological Paradigm Scale.</w:t>
      </w:r>
    </w:p>
    <w:bookmarkEnd w:id="1"/>
    <w:p w14:paraId="2396052D" w14:textId="77777777" w:rsidR="00E60947" w:rsidRPr="00E60947" w:rsidRDefault="00E60947" w:rsidP="00E60947"/>
    <w:p w14:paraId="321502BA" w14:textId="7A64C8D7" w:rsidR="00926525" w:rsidRDefault="00926525"/>
    <w:p w14:paraId="75589EFD" w14:textId="77777777" w:rsidR="005441CB" w:rsidRDefault="005441CB"/>
    <w:p w14:paraId="79DA190F" w14:textId="77777777" w:rsidR="005441CB" w:rsidRDefault="005441CB"/>
    <w:p w14:paraId="09384DCD" w14:textId="77777777" w:rsidR="005441CB" w:rsidRDefault="005441CB"/>
    <w:p w14:paraId="2FB80F7D" w14:textId="77777777" w:rsidR="005441CB" w:rsidRDefault="005441CB"/>
    <w:p w14:paraId="3169AF3E" w14:textId="77777777" w:rsidR="005441CB" w:rsidRDefault="005441CB"/>
    <w:p w14:paraId="1C52777D" w14:textId="77777777" w:rsidR="005441CB" w:rsidRDefault="005441CB"/>
    <w:p w14:paraId="0A0EFE0B" w14:textId="77777777" w:rsidR="005441CB" w:rsidRDefault="005441CB"/>
    <w:p w14:paraId="08CB62A9" w14:textId="77777777" w:rsidR="005441CB" w:rsidRDefault="005441CB"/>
    <w:p w14:paraId="49CF9DFA" w14:textId="77777777" w:rsidR="005441CB" w:rsidRDefault="005441CB"/>
    <w:p w14:paraId="529475ED" w14:textId="77777777" w:rsidR="005441CB" w:rsidRDefault="005441CB"/>
    <w:p w14:paraId="0779E8DA" w14:textId="7062FB1F" w:rsidR="00E60947" w:rsidRDefault="00E60947">
      <w:r>
        <w:br w:type="page"/>
      </w:r>
    </w:p>
    <w:p w14:paraId="66E55AD8" w14:textId="77777777" w:rsidR="005441CB" w:rsidRDefault="005441CB"/>
    <w:p w14:paraId="306F054F" w14:textId="7F0A71FE" w:rsidR="00E60947" w:rsidRDefault="00E60947">
      <w:r>
        <w:rPr>
          <w:b/>
          <w:bCs/>
        </w:rPr>
        <w:t>1 Introduction</w:t>
      </w:r>
    </w:p>
    <w:p w14:paraId="4EC4147C" w14:textId="03E0E3AF" w:rsidR="00E60947" w:rsidRDefault="00E60947"/>
    <w:p w14:paraId="658B5669" w14:textId="6F8B07DB" w:rsidR="0046336C" w:rsidRDefault="0046336C">
      <w:r>
        <w:t xml:space="preserve">Scholars of environmental psychology often lament the </w:t>
      </w:r>
      <w:r w:rsidR="00923915">
        <w:t>so-called</w:t>
      </w:r>
      <w:r>
        <w:t xml:space="preserve"> ‘attitude-behavior’ gap wherein environmental attitude</w:t>
      </w:r>
      <w:r w:rsidR="00866D31">
        <w:t>s</w:t>
      </w:r>
      <w:r>
        <w:t xml:space="preserve"> do not explain very much of the variance in environmental behavior</w:t>
      </w:r>
      <w:r w:rsidR="002F530E">
        <w:t xml:space="preserve"> </w:t>
      </w:r>
      <w:r w:rsidR="002F530E" w:rsidRPr="003553D9">
        <w:t>(</w:t>
      </w:r>
      <w:r w:rsidR="003553D9" w:rsidRPr="003553D9">
        <w:t xml:space="preserve">Stern, 2000; </w:t>
      </w:r>
      <w:proofErr w:type="spellStart"/>
      <w:r w:rsidR="003553D9" w:rsidRPr="003553D9">
        <w:t>Kollmus</w:t>
      </w:r>
      <w:proofErr w:type="spellEnd"/>
      <w:r w:rsidR="003553D9" w:rsidRPr="003553D9">
        <w:t xml:space="preserve"> &amp; Agyeman, 2002; Gifford, 2014)</w:t>
      </w:r>
      <w:r w:rsidRPr="003553D9">
        <w:t>.</w:t>
      </w:r>
      <w:r>
        <w:t xml:space="preserve"> If people care strongly about the environment, why don’t they act in a more sustainable way? </w:t>
      </w:r>
      <w:r w:rsidR="00836FE0" w:rsidRPr="00836FE0">
        <w:t xml:space="preserve">For example, Sparks et al (2021) found the </w:t>
      </w:r>
      <w:r w:rsidR="00836FE0">
        <w:t xml:space="preserve">New Ecological Paradigm </w:t>
      </w:r>
      <w:r w:rsidR="00866D31">
        <w:t xml:space="preserve">(NEP) </w:t>
      </w:r>
      <w:r w:rsidR="00836FE0">
        <w:t>scale</w:t>
      </w:r>
      <w:r w:rsidR="00836FE0" w:rsidRPr="00836FE0">
        <w:t xml:space="preserve"> plus controls accounted for 12% of variation </w:t>
      </w:r>
      <w:r w:rsidR="00836FE0">
        <w:t xml:space="preserve">in self-reported behavior </w:t>
      </w:r>
      <w:r w:rsidR="00836FE0" w:rsidRPr="00836FE0">
        <w:t xml:space="preserve">and the </w:t>
      </w:r>
      <w:r w:rsidR="00836FE0">
        <w:t>Connectedness to Nature Scale</w:t>
      </w:r>
      <w:r w:rsidR="00836FE0" w:rsidRPr="00836FE0">
        <w:t xml:space="preserve"> </w:t>
      </w:r>
      <w:r w:rsidR="00866D31">
        <w:t xml:space="preserve">(CNS) </w:t>
      </w:r>
      <w:r w:rsidR="00836FE0" w:rsidRPr="00836FE0">
        <w:t xml:space="preserve">plus controls accounted for 35%. Moreover, Kaiser et al (2021) suggest that the gap is not because people are hypocrites, but because researchers do not yet have a complete attitude-behavior model. </w:t>
      </w:r>
      <w:r w:rsidR="00836FE0">
        <w:t>To further elaborate the attitude-behavior model</w:t>
      </w:r>
      <w:r>
        <w:t xml:space="preserve"> we examine the relationship between cultural cognition, environmental orientation (attitude and emotional connection), and behavior. </w:t>
      </w:r>
      <w:r w:rsidR="00EF795E">
        <w:t xml:space="preserve">The cultural </w:t>
      </w:r>
      <w:r w:rsidR="00866D31">
        <w:t>worldviews</w:t>
      </w:r>
      <w:r w:rsidR="00EF795E">
        <w:t xml:space="preserve"> measured by cultural cognition have been shown to shape views about climate change (Kahan et al 2012) as well as environmental orientation, as measured by the New Ecological Paradigm (Nowlin 2019); however, cultural cognition does not have a strong association with pro-environmental behaviors (Sparks et al, 202</w:t>
      </w:r>
      <w:r w:rsidR="000F2CBA">
        <w:t>1</w:t>
      </w:r>
      <w:r w:rsidR="00EF795E">
        <w:t xml:space="preserve">). In this paper, we examine whether environmental orientations mediate the relationship between cultural cognition and behavior such that cultural cognition shapes environmental orientations, which in turn influences pro-environmental behavior. </w:t>
      </w:r>
      <w:r w:rsidR="000007E2">
        <w:t xml:space="preserve">In doing so, we argue that when cultural cognition aligns with environmental orientation, there is a stronger relationship </w:t>
      </w:r>
      <w:r w:rsidR="00866D31">
        <w:t xml:space="preserve">with pro-environmental behaviors </w:t>
      </w:r>
      <w:r w:rsidR="000007E2">
        <w:t xml:space="preserve">than when considering attitude or affect alone, thus reducing the </w:t>
      </w:r>
      <w:r w:rsidR="007629AB">
        <w:t>attitude</w:t>
      </w:r>
      <w:r w:rsidR="000007E2">
        <w:t>-behavior gap.</w:t>
      </w:r>
    </w:p>
    <w:p w14:paraId="68E02F5F" w14:textId="7200B81F" w:rsidR="0046336C" w:rsidRDefault="0046336C"/>
    <w:p w14:paraId="4BBBF58A" w14:textId="74497066" w:rsidR="00785210" w:rsidRDefault="00785210" w:rsidP="00785210">
      <w:pPr>
        <w:rPr>
          <w:iCs/>
        </w:rPr>
      </w:pPr>
      <w:r w:rsidRPr="00785210">
        <w:rPr>
          <w:iCs/>
        </w:rPr>
        <w:t xml:space="preserve">Cultural </w:t>
      </w:r>
      <w:r w:rsidR="00BA7189">
        <w:rPr>
          <w:iCs/>
        </w:rPr>
        <w:t>c</w:t>
      </w:r>
      <w:r w:rsidRPr="00785210">
        <w:rPr>
          <w:iCs/>
        </w:rPr>
        <w:t xml:space="preserve">ognition was developed </w:t>
      </w:r>
      <w:r w:rsidR="00BA7189">
        <w:rPr>
          <w:iCs/>
        </w:rPr>
        <w:t xml:space="preserve">by </w:t>
      </w:r>
      <w:r w:rsidRPr="00785210">
        <w:rPr>
          <w:iCs/>
        </w:rPr>
        <w:t xml:space="preserve">Kahan and others (Kahan et al 2007) as a tool to measure how cultural values shape beliefs about risk. It is based on </w:t>
      </w:r>
      <w:r w:rsidR="00BA7189">
        <w:rPr>
          <w:iCs/>
        </w:rPr>
        <w:t xml:space="preserve">cultural </w:t>
      </w:r>
      <w:r w:rsidRPr="00785210">
        <w:rPr>
          <w:iCs/>
        </w:rPr>
        <w:t xml:space="preserve">theory </w:t>
      </w:r>
      <w:r w:rsidR="00BA7189">
        <w:rPr>
          <w:iCs/>
        </w:rPr>
        <w:t>and its conceptualization of</w:t>
      </w:r>
      <w:r w:rsidRPr="00785210">
        <w:rPr>
          <w:iCs/>
        </w:rPr>
        <w:t xml:space="preserve"> worldviews. </w:t>
      </w:r>
      <w:r w:rsidR="00BA7189">
        <w:rPr>
          <w:iCs/>
        </w:rPr>
        <w:t>Cultural theory</w:t>
      </w:r>
      <w:r w:rsidRPr="00785210">
        <w:rPr>
          <w:iCs/>
        </w:rPr>
        <w:t xml:space="preserve"> </w:t>
      </w:r>
      <w:r w:rsidR="00866D31">
        <w:rPr>
          <w:iCs/>
        </w:rPr>
        <w:t xml:space="preserve">addresses </w:t>
      </w:r>
      <w:r w:rsidRPr="00785210">
        <w:rPr>
          <w:iCs/>
        </w:rPr>
        <w:t xml:space="preserve">how cultural values influence how people perceive and respond to risk. By measuring the cultural values of an individual, </w:t>
      </w:r>
      <w:r w:rsidR="00BA7189">
        <w:rPr>
          <w:iCs/>
        </w:rPr>
        <w:t xml:space="preserve">we may be able </w:t>
      </w:r>
      <w:r w:rsidRPr="00785210">
        <w:rPr>
          <w:iCs/>
        </w:rPr>
        <w:t xml:space="preserve">to predict how they will perceive and respond to risks associated with certain activities or products. </w:t>
      </w:r>
      <w:r w:rsidR="007629AB">
        <w:rPr>
          <w:iCs/>
        </w:rPr>
        <w:t>We</w:t>
      </w:r>
      <w:r>
        <w:rPr>
          <w:iCs/>
        </w:rPr>
        <w:t xml:space="preserve"> are interested in how cultural cognition shapes views toward environmental </w:t>
      </w:r>
      <w:r w:rsidR="006F6225">
        <w:rPr>
          <w:iCs/>
        </w:rPr>
        <w:t>issues and how those views shape behavior</w:t>
      </w:r>
      <w:r>
        <w:rPr>
          <w:iCs/>
        </w:rPr>
        <w:t>.</w:t>
      </w:r>
    </w:p>
    <w:p w14:paraId="03D912A4" w14:textId="776E34D4" w:rsidR="00785210" w:rsidRDefault="00785210" w:rsidP="00785210">
      <w:pPr>
        <w:rPr>
          <w:iCs/>
        </w:rPr>
      </w:pPr>
    </w:p>
    <w:p w14:paraId="621AFB6B" w14:textId="51016516" w:rsidR="00293C13" w:rsidRDefault="00BA7189" w:rsidP="00293C13">
      <w:r>
        <w:rPr>
          <w:iCs/>
        </w:rPr>
        <w:t>The cultural worldviews associated with c</w:t>
      </w:r>
      <w:r w:rsidR="004A7963">
        <w:rPr>
          <w:iCs/>
        </w:rPr>
        <w:t xml:space="preserve">ultural cognition </w:t>
      </w:r>
      <w:r>
        <w:rPr>
          <w:iCs/>
        </w:rPr>
        <w:t xml:space="preserve">are </w:t>
      </w:r>
      <w:r w:rsidR="004A7963">
        <w:rPr>
          <w:iCs/>
        </w:rPr>
        <w:t xml:space="preserve">measured in two dimensions, </w:t>
      </w:r>
      <w:r w:rsidR="00DA55F0">
        <w:rPr>
          <w:iCs/>
        </w:rPr>
        <w:t>a grid dimension (</w:t>
      </w:r>
      <w:r w:rsidR="004A7963">
        <w:rPr>
          <w:iCs/>
        </w:rPr>
        <w:t>egalitarianism-hierarch</w:t>
      </w:r>
      <w:r>
        <w:rPr>
          <w:iCs/>
        </w:rPr>
        <w:t>y</w:t>
      </w:r>
      <w:r w:rsidR="00DA55F0">
        <w:rPr>
          <w:iCs/>
        </w:rPr>
        <w:t xml:space="preserve">) </w:t>
      </w:r>
      <w:r w:rsidR="004A7963">
        <w:rPr>
          <w:iCs/>
        </w:rPr>
        <w:t xml:space="preserve">and </w:t>
      </w:r>
      <w:r w:rsidR="00DA55F0">
        <w:rPr>
          <w:iCs/>
        </w:rPr>
        <w:t>a group dimension (</w:t>
      </w:r>
      <w:r w:rsidR="004A7963">
        <w:rPr>
          <w:iCs/>
        </w:rPr>
        <w:t>communitarianism-individualism</w:t>
      </w:r>
      <w:r w:rsidR="00DA55F0">
        <w:rPr>
          <w:iCs/>
        </w:rPr>
        <w:t>)</w:t>
      </w:r>
      <w:r w:rsidR="004A7963">
        <w:rPr>
          <w:iCs/>
        </w:rPr>
        <w:t xml:space="preserve">. </w:t>
      </w:r>
      <w:r w:rsidR="00EF795E">
        <w:rPr>
          <w:iCs/>
        </w:rPr>
        <w:t xml:space="preserve">In general, those that are more egalitarian and communitarian are more concerned about environmental </w:t>
      </w:r>
      <w:r w:rsidR="006F6225">
        <w:rPr>
          <w:iCs/>
        </w:rPr>
        <w:t>risks</w:t>
      </w:r>
      <w:r w:rsidR="00EF795E">
        <w:rPr>
          <w:iCs/>
        </w:rPr>
        <w:t xml:space="preserve"> than those that are more hierarchical and individualist.</w:t>
      </w:r>
      <w:r w:rsidR="00293C13">
        <w:rPr>
          <w:iCs/>
        </w:rPr>
        <w:t xml:space="preserve"> </w:t>
      </w:r>
      <w:r w:rsidR="00BE36BC">
        <w:rPr>
          <w:iCs/>
        </w:rPr>
        <w:t xml:space="preserve">Therefore, </w:t>
      </w:r>
      <w:r w:rsidR="00BE36BC">
        <w:t>i</w:t>
      </w:r>
      <w:r w:rsidR="00293C13">
        <w:t xml:space="preserve">ndividuals high in egalitarianism and communitarianism should engage in </w:t>
      </w:r>
      <w:r w:rsidR="00BE36BC">
        <w:t xml:space="preserve">pro-environmental </w:t>
      </w:r>
      <w:r w:rsidR="00293C13">
        <w:t>behaviors t</w:t>
      </w:r>
      <w:r w:rsidR="00BE36BC">
        <w:t>o</w:t>
      </w:r>
      <w:r w:rsidR="00293C13">
        <w:t xml:space="preserve"> mitigate risk</w:t>
      </w:r>
      <w:r w:rsidR="00BE36BC">
        <w:t>s to the natural environment</w:t>
      </w:r>
      <w:r w:rsidR="00293C13">
        <w:t xml:space="preserve">. However, previous research shows only a weak correlation </w:t>
      </w:r>
      <w:r w:rsidR="00BE36BC">
        <w:t xml:space="preserve">between egalitarianism and communitarianism and pro-environmental behavior </w:t>
      </w:r>
      <w:r w:rsidR="00293C13">
        <w:t>(Sparks et al, 202</w:t>
      </w:r>
      <w:r w:rsidR="000F2CBA">
        <w:t>1</w:t>
      </w:r>
      <w:r w:rsidR="00293C13">
        <w:t xml:space="preserve">). </w:t>
      </w:r>
    </w:p>
    <w:p w14:paraId="4C134DCB" w14:textId="402C2232" w:rsidR="00EF795E" w:rsidRDefault="00EF795E" w:rsidP="00785210">
      <w:pPr>
        <w:rPr>
          <w:iCs/>
        </w:rPr>
      </w:pPr>
    </w:p>
    <w:p w14:paraId="37B391F5" w14:textId="2E47C55E" w:rsidR="00351725" w:rsidRPr="00293C13" w:rsidRDefault="00785210" w:rsidP="003D75D9">
      <w:pPr>
        <w:rPr>
          <w:iCs/>
        </w:rPr>
      </w:pPr>
      <w:r>
        <w:rPr>
          <w:iCs/>
        </w:rPr>
        <w:t xml:space="preserve">Taking the step from </w:t>
      </w:r>
      <w:r w:rsidR="00293C13">
        <w:rPr>
          <w:iCs/>
        </w:rPr>
        <w:t>cultural worldviews</w:t>
      </w:r>
      <w:r>
        <w:rPr>
          <w:iCs/>
        </w:rPr>
        <w:t xml:space="preserve"> to environmental orientation</w:t>
      </w:r>
      <w:r w:rsidR="00836FE0">
        <w:rPr>
          <w:rStyle w:val="FootnoteReference"/>
          <w:iCs/>
        </w:rPr>
        <w:footnoteReference w:id="2"/>
      </w:r>
      <w:r>
        <w:rPr>
          <w:iCs/>
        </w:rPr>
        <w:t>, we test the relationship between cultural cognition and environmental attitude – as measured by the New Ecological Paradigm (NEP; Dunlap et al, 2000)</w:t>
      </w:r>
      <w:r w:rsidR="004A7963">
        <w:rPr>
          <w:iCs/>
        </w:rPr>
        <w:t xml:space="preserve"> – and emotional connection to nature – as measured by the </w:t>
      </w:r>
      <w:r w:rsidR="00640656">
        <w:rPr>
          <w:iCs/>
        </w:rPr>
        <w:t>C</w:t>
      </w:r>
      <w:r w:rsidR="004A7963">
        <w:rPr>
          <w:iCs/>
        </w:rPr>
        <w:t xml:space="preserve">onnectedness to </w:t>
      </w:r>
      <w:r w:rsidR="00640656">
        <w:rPr>
          <w:iCs/>
        </w:rPr>
        <w:t>N</w:t>
      </w:r>
      <w:r w:rsidR="004A7963">
        <w:rPr>
          <w:iCs/>
        </w:rPr>
        <w:t xml:space="preserve">ature </w:t>
      </w:r>
      <w:r w:rsidR="00640656">
        <w:rPr>
          <w:iCs/>
        </w:rPr>
        <w:t>S</w:t>
      </w:r>
      <w:r w:rsidR="004A7963">
        <w:rPr>
          <w:iCs/>
        </w:rPr>
        <w:t>cale (CNS; Mayer &amp; Frantz, 2004).</w:t>
      </w:r>
      <w:r w:rsidR="00293C13">
        <w:rPr>
          <w:iCs/>
        </w:rPr>
        <w:t xml:space="preserve"> </w:t>
      </w:r>
      <w:r w:rsidR="003D75D9">
        <w:t xml:space="preserve">Altogether, </w:t>
      </w:r>
      <w:r w:rsidR="00351725">
        <w:t xml:space="preserve">combining cultural </w:t>
      </w:r>
      <w:r w:rsidR="00351725">
        <w:lastRenderedPageBreak/>
        <w:t xml:space="preserve">cognition and environmental orientation should improve our understanding of the drivers of environmentally protective behaviors. Specifically, in this paper, we suggest that environmental orientation mediates the relationship between cultural cognition and environmental behavior. Essentially, environmental orientation helps </w:t>
      </w:r>
      <w:r w:rsidR="002F530E">
        <w:t>connect</w:t>
      </w:r>
      <w:r w:rsidR="00351725">
        <w:t xml:space="preserve"> </w:t>
      </w:r>
      <w:r w:rsidR="00293C13">
        <w:t xml:space="preserve">cultural </w:t>
      </w:r>
      <w:r w:rsidR="00351725">
        <w:t>worldview</w:t>
      </w:r>
      <w:r w:rsidR="00293C13">
        <w:t>s</w:t>
      </w:r>
      <w:r w:rsidR="00351725">
        <w:t xml:space="preserve"> and r</w:t>
      </w:r>
      <w:r w:rsidR="00293C13">
        <w:t xml:space="preserve">isk perceptions </w:t>
      </w:r>
      <w:r w:rsidR="00351725">
        <w:t xml:space="preserve">to action to reduce that risk. Moreover, cultural cognition helps to bridge the </w:t>
      </w:r>
      <w:r w:rsidR="00293C13">
        <w:t>attitude-behavior</w:t>
      </w:r>
      <w:r w:rsidR="00351725">
        <w:t xml:space="preserve"> gap</w:t>
      </w:r>
      <w:r w:rsidR="00866D31">
        <w:t xml:space="preserve"> by providing a basis through environmental orientations derive and subsequently influence behavior</w:t>
      </w:r>
      <w:r w:rsidR="00351725">
        <w:t>.</w:t>
      </w:r>
    </w:p>
    <w:p w14:paraId="76824597" w14:textId="77777777" w:rsidR="008A7A7B" w:rsidRDefault="008A7A7B" w:rsidP="008A7A7B"/>
    <w:p w14:paraId="0B8CE18E" w14:textId="77777777" w:rsidR="00E60947" w:rsidRDefault="00E60947" w:rsidP="00E60947"/>
    <w:p w14:paraId="269A00A8" w14:textId="369FB016" w:rsidR="00E60947" w:rsidRDefault="00E60947">
      <w:r>
        <w:rPr>
          <w:b/>
          <w:bCs/>
        </w:rPr>
        <w:t xml:space="preserve">2 </w:t>
      </w:r>
      <w:r w:rsidR="005376A8">
        <w:rPr>
          <w:b/>
          <w:bCs/>
        </w:rPr>
        <w:t>Explaining pro-environmental behavior</w:t>
      </w:r>
    </w:p>
    <w:p w14:paraId="4E16C2D4" w14:textId="22C47EA9" w:rsidR="00E60947" w:rsidRPr="00F608AC" w:rsidRDefault="0036106E">
      <w:pPr>
        <w:rPr>
          <w:i/>
        </w:rPr>
      </w:pPr>
      <w:r w:rsidRPr="0036106E">
        <w:rPr>
          <w:i/>
          <w:iCs/>
        </w:rPr>
        <w:t>2.1</w:t>
      </w:r>
      <w:r>
        <w:rPr>
          <w:i/>
          <w:iCs/>
        </w:rPr>
        <w:t xml:space="preserve"> Cultural Cognition</w:t>
      </w:r>
    </w:p>
    <w:p w14:paraId="7DF4A269" w14:textId="77777777" w:rsidR="00BA7189" w:rsidRDefault="00BA7189" w:rsidP="00AD0B45"/>
    <w:p w14:paraId="3CD28021" w14:textId="6180863F" w:rsidR="00362BE3" w:rsidRDefault="00AD0B45" w:rsidP="00AD0B45">
      <w:r w:rsidRPr="00AD0B45">
        <w:t xml:space="preserve">Cultural cognition is derived from the cultural theory of risk developed by Mary Douglas and Aaron Wildavsky (Douglas and </w:t>
      </w:r>
      <w:proofErr w:type="spellStart"/>
      <w:r w:rsidRPr="00AD0B45">
        <w:t>Wildavsky</w:t>
      </w:r>
      <w:proofErr w:type="spellEnd"/>
      <w:r w:rsidRPr="00AD0B45">
        <w:t xml:space="preserve"> 1982; Thompson, Ellis, and </w:t>
      </w:r>
      <w:proofErr w:type="spellStart"/>
      <w:r w:rsidRPr="00AD0B45">
        <w:t>Wildavsky</w:t>
      </w:r>
      <w:proofErr w:type="spellEnd"/>
      <w:r w:rsidRPr="00AD0B45">
        <w:t xml:space="preserve"> 1990). In brief, cultural </w:t>
      </w:r>
      <w:r w:rsidR="005A01C8">
        <w:t>cognition</w:t>
      </w:r>
      <w:r w:rsidRPr="00AD0B45">
        <w:t xml:space="preserve"> posits that worldviews are based on views about ideal social structures and relationships</w:t>
      </w:r>
      <w:r w:rsidR="00DA55F0">
        <w:t>, and perception</w:t>
      </w:r>
      <w:r w:rsidR="00362BE3">
        <w:t>s</w:t>
      </w:r>
      <w:r w:rsidR="00DA55F0">
        <w:t xml:space="preserve"> of risk are based </w:t>
      </w:r>
      <w:r w:rsidR="00866D31">
        <w:t>on</w:t>
      </w:r>
      <w:r w:rsidR="00DA55F0">
        <w:t xml:space="preserve"> the degree to which they undermine or threaten the </w:t>
      </w:r>
      <w:r w:rsidR="00DA55F0" w:rsidRPr="00DA55F0">
        <w:t>preferred</w:t>
      </w:r>
      <w:r w:rsidR="00DA55F0">
        <w:t xml:space="preserve"> social order </w:t>
      </w:r>
      <w:r w:rsidR="00866D31">
        <w:t xml:space="preserve">within each </w:t>
      </w:r>
      <w:r w:rsidR="00DA55F0">
        <w:t>worldview</w:t>
      </w:r>
      <w:r w:rsidR="00CB6681">
        <w:t xml:space="preserve">. The social structures and relationships </w:t>
      </w:r>
      <w:r w:rsidRPr="00AD0B45">
        <w:t>are represented by two dimensions including a grid dimension and a group dimension</w:t>
      </w:r>
      <w:r w:rsidR="00866D31">
        <w:t>. F</w:t>
      </w:r>
      <w:r w:rsidR="00CB6681">
        <w:t>our competing cultural worldviews</w:t>
      </w:r>
      <w:r w:rsidR="00866D31">
        <w:t xml:space="preserve"> arise based on their position on the grid and group dimensions</w:t>
      </w:r>
      <w:r w:rsidR="00CB6681">
        <w:t xml:space="preserve">. </w:t>
      </w:r>
      <w:r w:rsidRPr="00AD0B45">
        <w:t xml:space="preserve">The grid dimension represents preferred social structures regarding the roles that one plays in society and the rules by which </w:t>
      </w:r>
      <w:r w:rsidR="00532B01">
        <w:t>one</w:t>
      </w:r>
      <w:r w:rsidRPr="00AD0B45">
        <w:t xml:space="preserve"> </w:t>
      </w:r>
      <w:r w:rsidR="00532B01">
        <w:t xml:space="preserve">must </w:t>
      </w:r>
      <w:r w:rsidRPr="00AD0B45">
        <w:t xml:space="preserve">abide. </w:t>
      </w:r>
      <w:r w:rsidR="00CB6681">
        <w:t xml:space="preserve">The </w:t>
      </w:r>
      <w:r w:rsidR="005A01C8">
        <w:t xml:space="preserve">worldview </w:t>
      </w:r>
      <w:r w:rsidRPr="00AD0B45">
        <w:t xml:space="preserve">high </w:t>
      </w:r>
      <w:r w:rsidR="005A01C8">
        <w:t xml:space="preserve">on the </w:t>
      </w:r>
      <w:r w:rsidRPr="00AD0B45">
        <w:t>grid dimension prefer</w:t>
      </w:r>
      <w:r w:rsidR="005A01C8">
        <w:t>s</w:t>
      </w:r>
      <w:r w:rsidR="00DA55F0">
        <w:t xml:space="preserve"> a</w:t>
      </w:r>
      <w:r w:rsidRPr="007629AB">
        <w:rPr>
          <w:i/>
          <w:iCs/>
        </w:rPr>
        <w:t xml:space="preserve"> </w:t>
      </w:r>
      <w:r w:rsidR="005A01C8" w:rsidRPr="007629AB">
        <w:rPr>
          <w:i/>
          <w:iCs/>
        </w:rPr>
        <w:t>hierarchy</w:t>
      </w:r>
      <w:r w:rsidR="005A01C8">
        <w:t xml:space="preserve"> in </w:t>
      </w:r>
      <w:r w:rsidRPr="00AD0B45">
        <w:t>society with well-defined roles and clear lines of authority</w:t>
      </w:r>
      <w:r w:rsidR="005A01C8">
        <w:t xml:space="preserve">. </w:t>
      </w:r>
      <w:r w:rsidR="005A01C8">
        <w:rPr>
          <w:i/>
          <w:iCs/>
        </w:rPr>
        <w:t xml:space="preserve">Egalitarianism </w:t>
      </w:r>
      <w:r w:rsidR="005A01C8">
        <w:t xml:space="preserve">is the worldview </w:t>
      </w:r>
      <w:r w:rsidRPr="00AD0B45">
        <w:t>low on the grid dimension</w:t>
      </w:r>
      <w:r w:rsidR="005A01C8">
        <w:t xml:space="preserve"> and </w:t>
      </w:r>
      <w:r w:rsidR="00CB6681">
        <w:t>valu</w:t>
      </w:r>
      <w:r w:rsidR="003A0724">
        <w:t>es</w:t>
      </w:r>
      <w:r w:rsidR="005A01C8">
        <w:t xml:space="preserve"> a</w:t>
      </w:r>
      <w:r w:rsidR="00DA55F0">
        <w:t xml:space="preserve"> </w:t>
      </w:r>
      <w:r w:rsidR="005A01C8">
        <w:t>social order</w:t>
      </w:r>
      <w:r w:rsidRPr="00AD0B45">
        <w:t xml:space="preserve"> </w:t>
      </w:r>
      <w:r w:rsidR="00DA55F0">
        <w:t xml:space="preserve">based on an equal sharing </w:t>
      </w:r>
      <w:r w:rsidR="00CB6681">
        <w:t xml:space="preserve">of power and resources. </w:t>
      </w:r>
      <w:r w:rsidRPr="00AD0B45">
        <w:t>The group dimension represents the importance of cohesive social units</w:t>
      </w:r>
      <w:r w:rsidR="00DA7088">
        <w:t xml:space="preserve"> and the well-being of the broader community</w:t>
      </w:r>
      <w:r w:rsidR="00DA7088">
        <w:rPr>
          <w:i/>
          <w:iCs/>
        </w:rPr>
        <w:t>. C</w:t>
      </w:r>
      <w:r w:rsidR="00CB6681" w:rsidRPr="007629AB">
        <w:rPr>
          <w:i/>
          <w:iCs/>
        </w:rPr>
        <w:t>ommunitarianism</w:t>
      </w:r>
      <w:r w:rsidRPr="00AD0B45">
        <w:t xml:space="preserve"> </w:t>
      </w:r>
      <w:r w:rsidR="00DA7088">
        <w:t xml:space="preserve">is the worldview that is </w:t>
      </w:r>
      <w:r w:rsidRPr="00AD0B45">
        <w:t xml:space="preserve">high on the group </w:t>
      </w:r>
      <w:r w:rsidR="00DA7088" w:rsidRPr="00AD0B45">
        <w:t>dimension,</w:t>
      </w:r>
      <w:r w:rsidR="00DA7088">
        <w:t xml:space="preserve"> and it</w:t>
      </w:r>
      <w:r w:rsidRPr="00AD0B45">
        <w:t xml:space="preserve"> </w:t>
      </w:r>
      <w:r w:rsidR="00CB6681">
        <w:t>represent</w:t>
      </w:r>
      <w:r w:rsidR="00DA7088">
        <w:t>s</w:t>
      </w:r>
      <w:r w:rsidR="00CB6681">
        <w:t xml:space="preserve"> a </w:t>
      </w:r>
      <w:r w:rsidRPr="00AD0B45">
        <w:t>prefe</w:t>
      </w:r>
      <w:r w:rsidR="00CB6681">
        <w:t>rence</w:t>
      </w:r>
      <w:r w:rsidRPr="00AD0B45">
        <w:t xml:space="preserve"> </w:t>
      </w:r>
      <w:r w:rsidR="00CB6681">
        <w:t xml:space="preserve">for </w:t>
      </w:r>
      <w:r w:rsidRPr="00AD0B45">
        <w:t>a</w:t>
      </w:r>
      <w:r w:rsidR="00CB6681">
        <w:t xml:space="preserve"> </w:t>
      </w:r>
      <w:r w:rsidRPr="00AD0B45">
        <w:t>collectivist society</w:t>
      </w:r>
      <w:r w:rsidR="00CB6681">
        <w:t xml:space="preserve">. Finally, </w:t>
      </w:r>
      <w:r w:rsidR="00775C7E">
        <w:rPr>
          <w:i/>
          <w:iCs/>
        </w:rPr>
        <w:t xml:space="preserve">individualism </w:t>
      </w:r>
      <w:r w:rsidR="00775C7E">
        <w:t>is</w:t>
      </w:r>
      <w:r w:rsidRPr="00AD0B45">
        <w:t xml:space="preserve"> low on the group dimension preferring </w:t>
      </w:r>
      <w:r w:rsidR="00775C7E">
        <w:t>increased individual autonomy and responsibility</w:t>
      </w:r>
      <w:r w:rsidR="00362BE3">
        <w:t xml:space="preserve"> (</w:t>
      </w:r>
      <w:r w:rsidR="00362BE3" w:rsidRPr="00AD0B45">
        <w:t>Kahan 2012; Kahan and Braman 2006</w:t>
      </w:r>
      <w:r w:rsidR="00362BE3">
        <w:t>)</w:t>
      </w:r>
      <w:r w:rsidRPr="00AD0B45">
        <w:t xml:space="preserve">. </w:t>
      </w:r>
    </w:p>
    <w:p w14:paraId="4B7A89CF" w14:textId="77777777" w:rsidR="00362BE3" w:rsidRPr="00AD0B45" w:rsidRDefault="00362BE3" w:rsidP="007629AB"/>
    <w:p w14:paraId="67CDE336" w14:textId="53B6DE8D" w:rsidR="00F97A09" w:rsidRDefault="00DF71AF" w:rsidP="00E659D3">
      <w:r>
        <w:t>Cultural worldviews provide a foundational, or core belief that inform beliefs about specific policy issues, societal controversies, and risks, among other beliefs (</w:t>
      </w:r>
      <w:r w:rsidR="00910E0E">
        <w:t xml:space="preserve">Nowlin 2019; </w:t>
      </w:r>
      <w:r>
        <w:t xml:space="preserve">Ripberger et al 2014). </w:t>
      </w:r>
      <w:r w:rsidR="007D6033">
        <w:rPr>
          <w:iCs/>
        </w:rPr>
        <w:t xml:space="preserve">Several studies have shown a connection between cultural worldviews and risk perceptions </w:t>
      </w:r>
      <w:r w:rsidR="00D754EC" w:rsidRPr="00AD0B45">
        <w:t xml:space="preserve">associated with </w:t>
      </w:r>
      <w:r w:rsidR="007D6033">
        <w:t xml:space="preserve">a host of </w:t>
      </w:r>
      <w:r w:rsidR="00D754EC" w:rsidRPr="00AD0B45">
        <w:t xml:space="preserve">environmental issues (see Xue et al. 2014) including fracking (Boudet et al. 2014), nuclear waste (Jenkins-Smith and Smith 1994), renewable energy (Tumlison et al. 2018), geoengineering (Kahan et al. 2015), high-voltage power lines (Moyer and Song 2016, 2019), and climate change (Jones 2011; Kahan et al. 2012; Nowlin and Rabovsky 2020; Price, Walker, and Boschetti 2014), among others. </w:t>
      </w:r>
    </w:p>
    <w:p w14:paraId="4F7C3CB9" w14:textId="77777777" w:rsidR="00910E0E" w:rsidRDefault="00910E0E" w:rsidP="00E659D3"/>
    <w:p w14:paraId="2F669840" w14:textId="43B940F6" w:rsidR="00EE6D52" w:rsidRPr="007629AB" w:rsidRDefault="007D6033" w:rsidP="00E659D3">
      <w:r>
        <w:t>In general, communitarianism, with its concern about collective well-being and egalitarianism</w:t>
      </w:r>
      <w:r w:rsidR="00F97A09">
        <w:t>,</w:t>
      </w:r>
      <w:r>
        <w:t xml:space="preserve"> with its </w:t>
      </w:r>
      <w:r w:rsidR="00F97A09">
        <w:t xml:space="preserve">concern about the negative impacts of concentrated power tend to see threats to the natural world as </w:t>
      </w:r>
      <w:r w:rsidR="00383351">
        <w:t xml:space="preserve">a large risk. Hierarchs believe that natural resources can be well managed by experts and individualism supports the use of natural resources in private enterprise, and therefore </w:t>
      </w:r>
      <w:r w:rsidR="00655916">
        <w:t xml:space="preserve">hierarchy </w:t>
      </w:r>
      <w:r w:rsidR="000F727C">
        <w:t>and individualism tend</w:t>
      </w:r>
      <w:r w:rsidR="00383351">
        <w:t xml:space="preserve"> not </w:t>
      </w:r>
      <w:r w:rsidR="000F727C">
        <w:t xml:space="preserve">to be </w:t>
      </w:r>
      <w:r w:rsidR="00383351">
        <w:t xml:space="preserve">concerned about environment harm. </w:t>
      </w:r>
      <w:r w:rsidR="00F6038F">
        <w:t xml:space="preserve">As noted, cultural worldviews have been found to be associated with attitudes about environmental issues, yet not associated with pro-environmental behaviors (Sparks et al, 2021). However, </w:t>
      </w:r>
      <w:r w:rsidR="00F6038F">
        <w:lastRenderedPageBreak/>
        <w:t xml:space="preserve">cultural cognition is associated with pro-environmental orientation, specifically the New Ecological Paradigm (NEP) (Nowlin 2019).  </w:t>
      </w:r>
      <w:r w:rsidR="00383351">
        <w:t xml:space="preserve"> </w:t>
      </w:r>
    </w:p>
    <w:p w14:paraId="7042CF86" w14:textId="77777777" w:rsidR="0036106E" w:rsidRDefault="0036106E"/>
    <w:p w14:paraId="09A1B71B" w14:textId="72C996DE" w:rsidR="0036106E" w:rsidRDefault="0036106E">
      <w:r>
        <w:rPr>
          <w:i/>
          <w:iCs/>
        </w:rPr>
        <w:t>2.2 New Ecological Paradigm</w:t>
      </w:r>
    </w:p>
    <w:p w14:paraId="683DDAB1" w14:textId="77777777" w:rsidR="00E659D3" w:rsidRDefault="00E659D3" w:rsidP="002034D4"/>
    <w:p w14:paraId="36767031" w14:textId="44C6000E" w:rsidR="00640656" w:rsidRDefault="002F530E" w:rsidP="002034D4">
      <w:r>
        <w:t>To understand environmental behavior, scholars often turn to mental attributes related to environmental orientation</w:t>
      </w:r>
      <w:r w:rsidR="00641857">
        <w:t xml:space="preserve">. </w:t>
      </w:r>
      <w:r w:rsidR="00640656">
        <w:t>A very common measure</w:t>
      </w:r>
      <w:r>
        <w:t xml:space="preserve"> of </w:t>
      </w:r>
      <w:r w:rsidR="00BA7189">
        <w:t>environmental</w:t>
      </w:r>
      <w:r>
        <w:t xml:space="preserve"> orientation is the New Ecological Paradigm </w:t>
      </w:r>
      <w:r w:rsidR="00641857">
        <w:t xml:space="preserve">(NEP) </w:t>
      </w:r>
      <w:r>
        <w:t xml:space="preserve">(Dunlap et al, 2000). </w:t>
      </w:r>
      <w:r w:rsidR="00677B16">
        <w:t xml:space="preserve">This instrument was </w:t>
      </w:r>
      <w:r w:rsidR="00FE4766">
        <w:t xml:space="preserve">initially </w:t>
      </w:r>
      <w:r w:rsidR="00677B16">
        <w:t>developed by Dunlap and Van Liere in 1978 and has been widely adopted</w:t>
      </w:r>
      <w:r w:rsidR="002034D4">
        <w:t xml:space="preserve"> to explain</w:t>
      </w:r>
      <w:r w:rsidR="000A171C">
        <w:t xml:space="preserve"> </w:t>
      </w:r>
      <w:r w:rsidR="002034D4">
        <w:t>environmental behavior</w:t>
      </w:r>
      <w:r w:rsidR="00677B16">
        <w:t xml:space="preserve"> (</w:t>
      </w:r>
      <w:proofErr w:type="spellStart"/>
      <w:r w:rsidR="00677B16">
        <w:t>eg</w:t>
      </w:r>
      <w:proofErr w:type="spellEnd"/>
      <w:r w:rsidR="00677B16">
        <w:t xml:space="preserve">: Stern et al, 2000). In 2000, Dunlap et al revised the NEP. </w:t>
      </w:r>
    </w:p>
    <w:p w14:paraId="353E18F1" w14:textId="77777777" w:rsidR="00640656" w:rsidRDefault="00640656" w:rsidP="002034D4"/>
    <w:p w14:paraId="59573885" w14:textId="34FE067E" w:rsidR="00640656" w:rsidRDefault="00FE4766" w:rsidP="002034D4">
      <w:r>
        <w:t>The 1978 conceptualization focused on what they considered an emergent environmental paradigm that challenged the dominant social paradigm (Dunlap and Van Liere, 1978). Dunlap and co-authors (2000) re-imagined the NEP in 2000, shifting focus to an ecological worldview and toward more modern language to describe the ecological crises. The new measure comprises five aspects of this ecological paradigm which are “the reality of the limits to growth, anti</w:t>
      </w:r>
      <w:r w:rsidR="007629AB">
        <w:t>-</w:t>
      </w:r>
      <w:r>
        <w:t xml:space="preserve">anthropocentrism, the fragility of earth’s balance, rejection of </w:t>
      </w:r>
      <w:proofErr w:type="spellStart"/>
      <w:r>
        <w:t>exemptionalism</w:t>
      </w:r>
      <w:proofErr w:type="spellEnd"/>
      <w:r>
        <w:t xml:space="preserve">, and the possibility of an </w:t>
      </w:r>
      <w:proofErr w:type="spellStart"/>
      <w:r>
        <w:t>ecocrisis</w:t>
      </w:r>
      <w:proofErr w:type="spellEnd"/>
      <w:r>
        <w:t>” (p. 432). To assess this construct, they designed 15 Likert items that contain a mix of attitude and belief measures which are balanced between a pro-environmental orientation and a negative environmental orientation (Dunlap et al, 2000).</w:t>
      </w:r>
    </w:p>
    <w:p w14:paraId="14A51614" w14:textId="411A7D89" w:rsidR="00677B16" w:rsidRDefault="00677B16" w:rsidP="00677B16"/>
    <w:p w14:paraId="203F3404" w14:textId="1C8828BF" w:rsidR="00677B16" w:rsidRDefault="00677B16" w:rsidP="00677B16">
      <w:r>
        <w:t>The NEP is not without skeptics. One study applying scale analysis of the NEP</w:t>
      </w:r>
      <w:r w:rsidR="00435B3F">
        <w:t xml:space="preserve"> </w:t>
      </w:r>
      <w:r>
        <w:t xml:space="preserve">based on a random sample </w:t>
      </w:r>
      <w:r w:rsidR="00067A3C">
        <w:t xml:space="preserve">of </w:t>
      </w:r>
      <w:r>
        <w:t>Norwegians found that the scale is not unidimensional as</w:t>
      </w:r>
      <w:r w:rsidR="00435B3F">
        <w:t xml:space="preserve"> </w:t>
      </w:r>
      <w:r>
        <w:t>is often claimed</w:t>
      </w:r>
      <w:r w:rsidR="002034D4">
        <w:t xml:space="preserve"> (</w:t>
      </w:r>
      <w:proofErr w:type="spellStart"/>
      <w:r w:rsidR="002034D4">
        <w:t>Grendstad</w:t>
      </w:r>
      <w:proofErr w:type="spellEnd"/>
      <w:r w:rsidR="002034D4">
        <w:t>, 1999)</w:t>
      </w:r>
      <w:r>
        <w:t xml:space="preserve">. </w:t>
      </w:r>
      <w:r w:rsidR="002034D4">
        <w:t>A recent study found the NEP to be the weakest predictor of environmental</w:t>
      </w:r>
      <w:r w:rsidR="00435B3F">
        <w:t xml:space="preserve"> </w:t>
      </w:r>
      <w:r w:rsidR="002034D4">
        <w:t>behavior when compared in the same sample to the Connectedness to Nature scale and</w:t>
      </w:r>
      <w:r w:rsidR="00435B3F">
        <w:t xml:space="preserve"> </w:t>
      </w:r>
      <w:r w:rsidR="002034D4">
        <w:t>environmentalist identity (Sparks et al, 202</w:t>
      </w:r>
      <w:r w:rsidR="000F2CBA">
        <w:t>1</w:t>
      </w:r>
      <w:r w:rsidR="002034D4">
        <w:t>).</w:t>
      </w:r>
      <w:r w:rsidR="00632583">
        <w:t xml:space="preserve"> This may </w:t>
      </w:r>
      <w:r w:rsidR="00067A3C">
        <w:t xml:space="preserve">be </w:t>
      </w:r>
      <w:r w:rsidR="00632583">
        <w:t>because endorsement of the NEP has</w:t>
      </w:r>
      <w:r w:rsidR="00435B3F">
        <w:t xml:space="preserve"> </w:t>
      </w:r>
      <w:r w:rsidR="00632583">
        <w:t>decreased over time (Lou et al, 2022).</w:t>
      </w:r>
      <w:r w:rsidR="002034D4">
        <w:t xml:space="preserve"> In a</w:t>
      </w:r>
      <w:r w:rsidR="00765FEF">
        <w:t xml:space="preserve">nother </w:t>
      </w:r>
      <w:r w:rsidR="002034D4">
        <w:t>study, Sparks and his colleagues (2022)</w:t>
      </w:r>
      <w:r w:rsidR="00435B3F">
        <w:t xml:space="preserve"> </w:t>
      </w:r>
      <w:r w:rsidR="002034D4">
        <w:t xml:space="preserve">criticize the NEP (and the CNS) for failing to adequately identify political conservatives who also hold a pro-environment orientation. </w:t>
      </w:r>
    </w:p>
    <w:p w14:paraId="0323A9C0" w14:textId="77777777" w:rsidR="00677B16" w:rsidRDefault="00677B16" w:rsidP="00677B16"/>
    <w:p w14:paraId="3A521870" w14:textId="17C1EDFC" w:rsidR="0036106E" w:rsidRDefault="0036106E">
      <w:r>
        <w:rPr>
          <w:i/>
          <w:iCs/>
        </w:rPr>
        <w:t>2.3 Connectedness to Nature</w:t>
      </w:r>
    </w:p>
    <w:p w14:paraId="29AA11BA" w14:textId="77777777" w:rsidR="00027D35" w:rsidRDefault="00027D35" w:rsidP="00677B16"/>
    <w:p w14:paraId="52A0116F" w14:textId="2807CCFC" w:rsidR="00677B16" w:rsidRPr="00677B16" w:rsidRDefault="00E17C51" w:rsidP="00677B16">
      <w:r>
        <w:t xml:space="preserve">A </w:t>
      </w:r>
      <w:r w:rsidR="00677B16" w:rsidRPr="00677B16">
        <w:t xml:space="preserve">second common instrument measuring environmental </w:t>
      </w:r>
      <w:r>
        <w:t>orientation</w:t>
      </w:r>
      <w:r w:rsidRPr="00677B16">
        <w:t xml:space="preserve"> </w:t>
      </w:r>
      <w:r w:rsidR="00677B16" w:rsidRPr="00677B16">
        <w:t>is the Connectedness to Nature Scale (CNS) (</w:t>
      </w:r>
      <w:r w:rsidR="00027D35">
        <w:t>Mayer &amp; Franz, 2004</w:t>
      </w:r>
      <w:r w:rsidR="00677B16" w:rsidRPr="00677B16">
        <w:t>). As implied by its name, the CNS seeks to measure</w:t>
      </w:r>
    </w:p>
    <w:p w14:paraId="06FBD8F2" w14:textId="217ED6A6" w:rsidR="00E17C51" w:rsidRDefault="00677B16" w:rsidP="00677B16">
      <w:r w:rsidRPr="00677B16">
        <w:t>an individual’s emotional connection to nature</w:t>
      </w:r>
      <w:r w:rsidR="000A171C">
        <w:t>, rather than environmental attitude</w:t>
      </w:r>
      <w:r w:rsidRPr="00677B16">
        <w:t xml:space="preserve">. </w:t>
      </w:r>
      <w:r w:rsidR="00FE4766">
        <w:t>Mayer and Franz draw inspiration from Leopold’s insistence that to address environmental problems, people must feel emotionally connected to the non-human community on which we are dependent upon. The idea is that current ecological crises are a direct result of humanity losing touch with the broader community in which we live. The hypothesis can be tested by measuring an individual’s affective connection to nature and determining if someone with more emotional connection correlates to more environmentally protective behaviors. They demonstrate this in their study and show that the CNS better predicts behavior (Mayer and Franz, 2004). The</w:t>
      </w:r>
      <w:r w:rsidR="008D603B">
        <w:t xml:space="preserve"> full</w:t>
      </w:r>
      <w:r w:rsidR="00FE4766">
        <w:t xml:space="preserve"> instrument is composed of 14 Likert items designed to directly assess an individual’s affective connection to nature.</w:t>
      </w:r>
    </w:p>
    <w:p w14:paraId="289E6B6E" w14:textId="77777777" w:rsidR="00E17C51" w:rsidRDefault="00E17C51" w:rsidP="00677B16"/>
    <w:p w14:paraId="767680A5" w14:textId="09E0D3DE" w:rsidR="00677B16" w:rsidRDefault="007629AB" w:rsidP="00677B16">
      <w:r>
        <w:lastRenderedPageBreak/>
        <w:t xml:space="preserve">Going </w:t>
      </w:r>
      <w:proofErr w:type="gramStart"/>
      <w:r>
        <w:t>from scale development,</w:t>
      </w:r>
      <w:proofErr w:type="gramEnd"/>
      <w:r>
        <w:t xml:space="preserve"> to specific applications, o</w:t>
      </w:r>
      <w:r w:rsidR="00677B16" w:rsidRPr="00677B16">
        <w:t>ne study assessed the role of personality traits on environmental behavior (</w:t>
      </w:r>
      <w:r w:rsidR="00027D35">
        <w:t>Brick &amp; Lewis, 2014</w:t>
      </w:r>
      <w:r w:rsidR="00677B16" w:rsidRPr="00677B16">
        <w:t>).</w:t>
      </w:r>
      <w:r w:rsidR="00027D35">
        <w:t xml:space="preserve"> </w:t>
      </w:r>
      <w:r w:rsidR="00677B16" w:rsidRPr="00677B16">
        <w:t>The study also provided a comparison of the mediation effect of both the NEP and the</w:t>
      </w:r>
      <w:r w:rsidR="00027D35">
        <w:t xml:space="preserve"> </w:t>
      </w:r>
      <w:r w:rsidR="00677B16" w:rsidRPr="00677B16">
        <w:t>CNS on environmental behaviors. The personality traits Openness and Conscientiousness</w:t>
      </w:r>
      <w:r w:rsidR="00027D35">
        <w:t xml:space="preserve"> </w:t>
      </w:r>
      <w:r w:rsidR="00677B16" w:rsidRPr="00677B16">
        <w:t>were both shown to be positive predictors of environmental behavior. In both cases,</w:t>
      </w:r>
      <w:r w:rsidR="00027D35">
        <w:t xml:space="preserve"> </w:t>
      </w:r>
      <w:r w:rsidR="00677B16" w:rsidRPr="00677B16">
        <w:t>the CNS had a stronger mediation effect than NEP. In other words, the CNS better</w:t>
      </w:r>
      <w:r w:rsidR="003C1993">
        <w:t xml:space="preserve"> </w:t>
      </w:r>
      <w:r w:rsidR="00677B16" w:rsidRPr="00677B16">
        <w:t>predicts pro-environmental outcomes. However, these authors also note that the CNS</w:t>
      </w:r>
      <w:r w:rsidR="003C1993">
        <w:t xml:space="preserve"> </w:t>
      </w:r>
      <w:r w:rsidR="00677B16" w:rsidRPr="00677B16">
        <w:t>contains language that is more consistent with liberal environmentalism, and so may</w:t>
      </w:r>
      <w:r w:rsidR="00677B16">
        <w:t xml:space="preserve"> </w:t>
      </w:r>
      <w:r w:rsidR="00677B16" w:rsidRPr="00677B16">
        <w:t>fail to adequately capture the full dimensionality of environmental support across the</w:t>
      </w:r>
      <w:r w:rsidR="003C1993">
        <w:t xml:space="preserve"> </w:t>
      </w:r>
      <w:r w:rsidR="00677B16" w:rsidRPr="00677B16">
        <w:t>political spectrum (</w:t>
      </w:r>
      <w:r w:rsidR="00027D35">
        <w:t>Brick &amp; Lewis, 2014</w:t>
      </w:r>
      <w:r w:rsidR="00677B16" w:rsidRPr="00677B16">
        <w:t>).</w:t>
      </w:r>
    </w:p>
    <w:p w14:paraId="426FD064" w14:textId="569A6544" w:rsidR="002034D4" w:rsidRDefault="002034D4" w:rsidP="00677B16"/>
    <w:p w14:paraId="7C2BD2D7" w14:textId="60BD9718" w:rsidR="002034D4" w:rsidRDefault="002034D4" w:rsidP="00677B16">
      <w:r>
        <w:t xml:space="preserve">Like the NEP, the CNS is composed mostly of items that tap into politically progressive environmentalism and thus may miss conservative pro-environmental orientation (Sparks et al, 2022). However, the CNS </w:t>
      </w:r>
      <w:r w:rsidR="00AC2832">
        <w:t xml:space="preserve">is </w:t>
      </w:r>
      <w:r w:rsidR="00AE6815">
        <w:t xml:space="preserve">a much stronger predictor </w:t>
      </w:r>
      <w:r w:rsidR="00AC2832">
        <w:t xml:space="preserve">of environmental behavior </w:t>
      </w:r>
      <w:r w:rsidR="00AE6815">
        <w:t xml:space="preserve">– </w:t>
      </w:r>
      <w:r w:rsidR="00435B3F">
        <w:t xml:space="preserve">a </w:t>
      </w:r>
      <w:r w:rsidR="00AE6815">
        <w:t>smaller attitude-behavior gap – than the NEP (Sparks et al, 202</w:t>
      </w:r>
      <w:r w:rsidR="000F2CBA">
        <w:t>1</w:t>
      </w:r>
      <w:r w:rsidR="00AE6815">
        <w:t xml:space="preserve">). </w:t>
      </w:r>
    </w:p>
    <w:p w14:paraId="05D39B0A" w14:textId="21EF94D8" w:rsidR="0036106E" w:rsidRDefault="0036106E"/>
    <w:p w14:paraId="3B117538" w14:textId="104BE38C" w:rsidR="00435B3F" w:rsidRDefault="0036106E" w:rsidP="00435B3F">
      <w:pPr>
        <w:rPr>
          <w:i/>
          <w:iCs/>
        </w:rPr>
      </w:pPr>
      <w:r>
        <w:rPr>
          <w:i/>
          <w:iCs/>
        </w:rPr>
        <w:t xml:space="preserve">2.4 How does environmental orientation mediate </w:t>
      </w:r>
      <w:r w:rsidR="00435B3F">
        <w:rPr>
          <w:i/>
          <w:iCs/>
        </w:rPr>
        <w:t xml:space="preserve">the </w:t>
      </w:r>
      <w:r>
        <w:rPr>
          <w:i/>
          <w:iCs/>
        </w:rPr>
        <w:t>relationship between cultural cognition and environmental behavior?</w:t>
      </w:r>
    </w:p>
    <w:p w14:paraId="21E387EE" w14:textId="30E2748D" w:rsidR="00AE376D" w:rsidRDefault="00AE376D"/>
    <w:p w14:paraId="7A9E1CD0" w14:textId="457E3D88" w:rsidR="00AE376D" w:rsidRDefault="00AE376D">
      <w:r>
        <w:t>Cultural cognition can be thought of as a determinant or antecedent of environmental orientation. Cultural views of risk and social-psychological tendencies likely precede the development of environment-specific attitudes and orientations. And given the weak correlation between cultural cognition and environmental behavior it is reasonable to view this as an indirect relationship.</w:t>
      </w:r>
    </w:p>
    <w:p w14:paraId="170B7508" w14:textId="2D957997" w:rsidR="00AE376D" w:rsidRDefault="00AE376D"/>
    <w:p w14:paraId="5A666CD9" w14:textId="768E64A4" w:rsidR="00AE376D" w:rsidRDefault="00AE376D">
      <w:r>
        <w:t xml:space="preserve">Worldview and risk perception are likely strong drivers of environmental orientation because of the nature of environmental problems typically </w:t>
      </w:r>
      <w:r w:rsidR="00B74694">
        <w:t xml:space="preserve">involves </w:t>
      </w:r>
      <w:r>
        <w:t xml:space="preserve">environmental risk. </w:t>
      </w:r>
      <w:r w:rsidR="0000561A">
        <w:t>In addition, environmental orientation is likely associated with the myths of nature connected to the various cultural worldviews. As a result, e</w:t>
      </w:r>
      <w:r>
        <w:t>nvironmental orientation, as measured by NEP and/or CNS,</w:t>
      </w:r>
      <w:r w:rsidR="0000561A">
        <w:t xml:space="preserve"> likely </w:t>
      </w:r>
      <w:r>
        <w:t>mediate</w:t>
      </w:r>
      <w:r w:rsidR="0000561A">
        <w:t>s</w:t>
      </w:r>
      <w:r>
        <w:t xml:space="preserve"> the relationship between cultural cognition and environmental behavior. </w:t>
      </w:r>
      <w:r w:rsidR="008D603B">
        <w:t xml:space="preserve">Figure 1 illustrates the conceptual model connecting cultural cognition, environmental orientation, and pro-environmental behavior. </w:t>
      </w:r>
    </w:p>
    <w:p w14:paraId="62670072" w14:textId="77777777" w:rsidR="00DA1692" w:rsidRDefault="00DA1692"/>
    <w:p w14:paraId="133CCA97" w14:textId="4DB6709E" w:rsidR="00DA1692" w:rsidRDefault="00FA1CF8">
      <w:r>
        <w:t xml:space="preserve">Figure 1 about here: </w:t>
      </w:r>
      <w:r w:rsidRPr="00B3220C">
        <w:rPr>
          <w:color w:val="000000" w:themeColor="text1"/>
        </w:rPr>
        <w:t>Figure 1: Conceptual Model of Cultural Cognition, Environmental Orientation, and Pro-Environmental Behavior</w:t>
      </w:r>
    </w:p>
    <w:p w14:paraId="5957F5E5" w14:textId="77777777" w:rsidR="00AC3C19" w:rsidRDefault="00AC3C19" w:rsidP="00AC3C19">
      <w:pPr>
        <w:rPr>
          <w:i/>
          <w:iCs/>
        </w:rPr>
      </w:pPr>
    </w:p>
    <w:p w14:paraId="145859A8" w14:textId="7612361D" w:rsidR="00AC3C19" w:rsidRDefault="00AC3C19" w:rsidP="00AC3C19">
      <w:r>
        <w:rPr>
          <w:i/>
          <w:iCs/>
        </w:rPr>
        <w:t>2.5 Hypotheses</w:t>
      </w:r>
    </w:p>
    <w:p w14:paraId="1C74355C" w14:textId="77777777" w:rsidR="00AC3C19" w:rsidRDefault="00AC3C19" w:rsidP="00AC3C19"/>
    <w:p w14:paraId="312FCE29" w14:textId="2DB2F436" w:rsidR="00AC3C19" w:rsidRDefault="00AC3C19" w:rsidP="00AC3C19">
      <w:r>
        <w:t xml:space="preserve">Based on </w:t>
      </w:r>
      <w:r w:rsidR="008D603B">
        <w:t>the model shown in Figure 1</w:t>
      </w:r>
      <w:r>
        <w:t xml:space="preserve">, we posit several hypotheses regarding the relationships between cultural cognition, the NEP, the CNS, and environmental behavior. </w:t>
      </w:r>
    </w:p>
    <w:p w14:paraId="1204B62A" w14:textId="77777777" w:rsidR="00AC3C19" w:rsidRDefault="00AC3C19" w:rsidP="00AC3C19"/>
    <w:p w14:paraId="59CD36BB" w14:textId="7616AA0F" w:rsidR="00AC3C19" w:rsidRDefault="00AC3C19" w:rsidP="00AC3C19">
      <w:r>
        <w:t xml:space="preserve">As noted, egalitarianism and communitarianism </w:t>
      </w:r>
      <w:r w:rsidR="008D603B">
        <w:t xml:space="preserve">has been shown to be </w:t>
      </w:r>
      <w:r>
        <w:t xml:space="preserve">predictive of concern regarding several environmental issues and environmental orientations. Therefore, we expect that: </w:t>
      </w:r>
    </w:p>
    <w:p w14:paraId="30B99D18" w14:textId="77777777" w:rsidR="00AC3C19" w:rsidRDefault="00AC3C19" w:rsidP="00AC3C19">
      <w:r>
        <w:t xml:space="preserve"> </w:t>
      </w:r>
    </w:p>
    <w:p w14:paraId="5BCC708B" w14:textId="77777777" w:rsidR="00AC3C19" w:rsidRDefault="00AC3C19" w:rsidP="00AC3C19">
      <w:r>
        <w:t>H1a: Egalitarianism positively correlates with environmental behavior</w:t>
      </w:r>
    </w:p>
    <w:p w14:paraId="4D0661A2" w14:textId="77777777" w:rsidR="00AC3C19" w:rsidRDefault="00AC3C19" w:rsidP="00AC3C19">
      <w:r>
        <w:t>H1b: Egalitarianism positively correlates with environmental orientation (NEP and CNS)</w:t>
      </w:r>
    </w:p>
    <w:p w14:paraId="08DC553A" w14:textId="77777777" w:rsidR="00AC3C19" w:rsidRDefault="00AC3C19" w:rsidP="00AC3C19"/>
    <w:p w14:paraId="07BE4F97" w14:textId="77777777" w:rsidR="00AC3C19" w:rsidRPr="00E60947" w:rsidRDefault="00AC3C19" w:rsidP="00AC3C19">
      <w:r w:rsidRPr="00E60947">
        <w:lastRenderedPageBreak/>
        <w:t>H</w:t>
      </w:r>
      <w:r>
        <w:t>2</w:t>
      </w:r>
      <w:r w:rsidRPr="00E60947">
        <w:t xml:space="preserve">a: </w:t>
      </w:r>
      <w:r>
        <w:t>Communitarianism</w:t>
      </w:r>
      <w:r w:rsidRPr="00E60947">
        <w:t xml:space="preserve"> positively correlates with environmental behavior</w:t>
      </w:r>
    </w:p>
    <w:p w14:paraId="2B000C34" w14:textId="77777777" w:rsidR="00AC3C19" w:rsidRPr="00E60947" w:rsidRDefault="00AC3C19" w:rsidP="00AC3C19">
      <w:r w:rsidRPr="00E60947">
        <w:t>H</w:t>
      </w:r>
      <w:r>
        <w:t>2</w:t>
      </w:r>
      <w:r w:rsidRPr="00E60947">
        <w:t xml:space="preserve">b: </w:t>
      </w:r>
      <w:r>
        <w:t>Communitarianism</w:t>
      </w:r>
      <w:r w:rsidRPr="00E60947">
        <w:t xml:space="preserve"> positively correlates with environmental orientation (NEP and CNS)</w:t>
      </w:r>
    </w:p>
    <w:p w14:paraId="3BE0F125" w14:textId="77777777" w:rsidR="00AC3C19" w:rsidRDefault="00AC3C19" w:rsidP="00AC3C19"/>
    <w:p w14:paraId="3F8FF281" w14:textId="77777777" w:rsidR="00AC3C19" w:rsidRDefault="00AC3C19" w:rsidP="00AC3C19">
      <w:r>
        <w:t xml:space="preserve">Previous research indicates that cultural cognition predicates environmental orientation and environmental orientation predicts pro-environmental behavior. Therefore, we posit that: </w:t>
      </w:r>
    </w:p>
    <w:p w14:paraId="10572571" w14:textId="77777777" w:rsidR="00AC3C19" w:rsidRDefault="00AC3C19" w:rsidP="00AC3C19">
      <w:r>
        <w:t xml:space="preserve"> </w:t>
      </w:r>
    </w:p>
    <w:p w14:paraId="7A442D13" w14:textId="77777777" w:rsidR="00AC3C19" w:rsidRDefault="00AC3C19" w:rsidP="00AC3C19">
      <w:r>
        <w:t>H3: Environmental orientation positively mediates the relationship between egalitarianism and environmental behavior</w:t>
      </w:r>
    </w:p>
    <w:p w14:paraId="2482279E" w14:textId="77777777" w:rsidR="00AC3C19" w:rsidRDefault="00AC3C19" w:rsidP="00AC3C19"/>
    <w:p w14:paraId="303699AA" w14:textId="77777777" w:rsidR="00AC3C19" w:rsidRDefault="00AC3C19" w:rsidP="00AC3C19">
      <w:r>
        <w:t>H4: Environmental orientation positively mediates the relationship between communitarianism and environmental behavior</w:t>
      </w:r>
    </w:p>
    <w:p w14:paraId="39B1CA40" w14:textId="77777777" w:rsidR="00AC3C19" w:rsidRDefault="00AC3C19" w:rsidP="00AC3C19"/>
    <w:p w14:paraId="74A8DBA1" w14:textId="6D72A058" w:rsidR="00AC3C19" w:rsidRDefault="00AC3C19" w:rsidP="00AC3C19">
      <w:r>
        <w:t>Additionally, through meditation analysis, we can examine</w:t>
      </w:r>
      <w:r w:rsidR="008D603B">
        <w:t xml:space="preserve"> the direct, indirect, and total effects of cultural cognition and the mediating effects of environmental orientation on environmental behavior</w:t>
      </w:r>
      <w:r>
        <w:t xml:space="preserve">. </w:t>
      </w:r>
    </w:p>
    <w:p w14:paraId="67F5C187" w14:textId="77777777" w:rsidR="00AC3C19" w:rsidRDefault="00AC3C19"/>
    <w:p w14:paraId="131AB648" w14:textId="77777777" w:rsidR="00AD0B45" w:rsidRDefault="00AD0B45"/>
    <w:p w14:paraId="75B5AD1C" w14:textId="6B7D2314" w:rsidR="00E60947" w:rsidRDefault="00E60947">
      <w:r>
        <w:rPr>
          <w:b/>
          <w:bCs/>
        </w:rPr>
        <w:t>3 Materials and Methods</w:t>
      </w:r>
    </w:p>
    <w:p w14:paraId="3AB7AC81" w14:textId="33619C9E" w:rsidR="00E60947" w:rsidRDefault="00E60947"/>
    <w:p w14:paraId="066548C7" w14:textId="4170E22A" w:rsidR="00E60947" w:rsidRDefault="00E60947">
      <w:r w:rsidRPr="00E60947">
        <w:rPr>
          <w:i/>
          <w:iCs/>
        </w:rPr>
        <w:t>3.1</w:t>
      </w:r>
      <w:r>
        <w:rPr>
          <w:i/>
          <w:iCs/>
        </w:rPr>
        <w:t xml:space="preserve"> Sample</w:t>
      </w:r>
    </w:p>
    <w:p w14:paraId="4B870191" w14:textId="77777777" w:rsidR="00E60947" w:rsidRDefault="00E60947"/>
    <w:p w14:paraId="60B4E2FA" w14:textId="33B2F730" w:rsidR="00E60947" w:rsidRDefault="00E60947" w:rsidP="00083B80">
      <w:r w:rsidRPr="00E60947">
        <w:t xml:space="preserve">To examine the relationship between cultural cognition, environmental orientations, and behavior we draw on a sample of </w:t>
      </w:r>
      <w:r w:rsidR="00E654F2">
        <w:t>5</w:t>
      </w:r>
      <w:r w:rsidRPr="00E60947">
        <w:t>0</w:t>
      </w:r>
      <w:r w:rsidR="002420CF">
        <w:t>1</w:t>
      </w:r>
      <w:r w:rsidRPr="00E60947">
        <w:t xml:space="preserve"> adults living in the US purchased through Survey Sampling Inc. The survey was administered online in July 2017.</w:t>
      </w:r>
      <w:r w:rsidR="00083B80">
        <w:t xml:space="preserve"> The sample size was determined by cost considerations. IRB approval for the survey was approved by </w:t>
      </w:r>
      <w:r w:rsidR="000F2CBA">
        <w:t>[redacted for blind review]</w:t>
      </w:r>
      <w:r w:rsidR="00083B80">
        <w:t xml:space="preserve"> Human Subjects Committee on April 3, 2017, protocol number 37-17-0256. Our analysis was not pre-registered.</w:t>
      </w:r>
    </w:p>
    <w:p w14:paraId="28D9BCA9" w14:textId="77777777" w:rsidR="00E60947" w:rsidRPr="00E60947" w:rsidRDefault="00E60947" w:rsidP="00E60947"/>
    <w:p w14:paraId="4D8C8167" w14:textId="4281066B" w:rsidR="00BA2CE9" w:rsidRDefault="00E60947" w:rsidP="00E60947">
      <w:r>
        <w:rPr>
          <w:i/>
          <w:iCs/>
        </w:rPr>
        <w:t>3.2 Measures</w:t>
      </w:r>
    </w:p>
    <w:p w14:paraId="53DF69F1" w14:textId="458A3BCC" w:rsidR="00BA2CE9" w:rsidRPr="00B3220C" w:rsidRDefault="00BA2CE9" w:rsidP="00BA2CE9">
      <w:pPr>
        <w:pStyle w:val="FirstParagraph"/>
        <w:rPr>
          <w:rFonts w:ascii="Times New Roman" w:hAnsi="Times New Roman" w:cs="Times New Roman"/>
          <w:color w:val="000000" w:themeColor="text1"/>
        </w:rPr>
      </w:pPr>
      <w:r w:rsidRPr="00B3220C">
        <w:rPr>
          <w:rFonts w:ascii="Times New Roman" w:hAnsi="Times New Roman" w:cs="Times New Roman"/>
          <w:color w:val="000000" w:themeColor="text1"/>
        </w:rPr>
        <w:t xml:space="preserve">Our dependent variable is a 13-item scale of self-reported pro-environmental behaviors </w:t>
      </w:r>
      <w:r w:rsidR="008D603B">
        <w:rPr>
          <w:rFonts w:ascii="Times New Roman" w:hAnsi="Times New Roman" w:cs="Times New Roman"/>
          <w:color w:val="000000" w:themeColor="text1"/>
        </w:rPr>
        <w:t xml:space="preserve">with the questions </w:t>
      </w:r>
      <w:r w:rsidRPr="00B3220C">
        <w:rPr>
          <w:rFonts w:ascii="Times New Roman" w:hAnsi="Times New Roman" w:cs="Times New Roman"/>
          <w:color w:val="000000" w:themeColor="text1"/>
        </w:rPr>
        <w:t xml:space="preserve">taken from the 2000 Gallup Earth Day Poll. Respondents were </w:t>
      </w:r>
      <w:r w:rsidR="008D603B">
        <w:rPr>
          <w:rFonts w:ascii="Times New Roman" w:hAnsi="Times New Roman" w:cs="Times New Roman"/>
          <w:color w:val="000000" w:themeColor="text1"/>
        </w:rPr>
        <w:t xml:space="preserve">given a list of several environmental behaviors and </w:t>
      </w:r>
      <w:r w:rsidRPr="00B3220C">
        <w:rPr>
          <w:rFonts w:ascii="Times New Roman" w:hAnsi="Times New Roman" w:cs="Times New Roman"/>
          <w:color w:val="000000" w:themeColor="text1"/>
        </w:rPr>
        <w:t>asked, “</w:t>
      </w:r>
      <w:r w:rsidRPr="00B3220C">
        <w:rPr>
          <w:rFonts w:ascii="Times New Roman" w:hAnsi="Times New Roman" w:cs="Times New Roman"/>
          <w:i/>
          <w:iCs/>
          <w:color w:val="000000" w:themeColor="text1"/>
        </w:rPr>
        <w:t>Which of these, if any, have you, yourself, done in the past year</w:t>
      </w:r>
      <w:r w:rsidRPr="00B3220C">
        <w:rPr>
          <w:rFonts w:ascii="Times New Roman" w:hAnsi="Times New Roman" w:cs="Times New Roman"/>
          <w:color w:val="000000" w:themeColor="text1"/>
        </w:rPr>
        <w:t>?” Possible responses included, “</w:t>
      </w:r>
      <w:r w:rsidRPr="00B3220C">
        <w:rPr>
          <w:rFonts w:ascii="Times New Roman" w:hAnsi="Times New Roman" w:cs="Times New Roman"/>
          <w:i/>
          <w:iCs/>
          <w:color w:val="000000" w:themeColor="text1"/>
        </w:rPr>
        <w:t>Yes, have done</w:t>
      </w:r>
      <w:r w:rsidRPr="00B3220C">
        <w:rPr>
          <w:rFonts w:ascii="Times New Roman" w:hAnsi="Times New Roman" w:cs="Times New Roman"/>
          <w:color w:val="000000" w:themeColor="text1"/>
        </w:rPr>
        <w:t xml:space="preserve">; </w:t>
      </w:r>
      <w:r w:rsidRPr="00B3220C">
        <w:rPr>
          <w:rFonts w:ascii="Times New Roman" w:hAnsi="Times New Roman" w:cs="Times New Roman"/>
          <w:i/>
          <w:iCs/>
          <w:color w:val="000000" w:themeColor="text1"/>
        </w:rPr>
        <w:t>No, have not done</w:t>
      </w:r>
      <w:r w:rsidRPr="00B3220C">
        <w:rPr>
          <w:rFonts w:ascii="Times New Roman" w:hAnsi="Times New Roman" w:cs="Times New Roman"/>
          <w:color w:val="000000" w:themeColor="text1"/>
        </w:rPr>
        <w:t xml:space="preserve">; </w:t>
      </w:r>
      <w:r w:rsidRPr="00B3220C">
        <w:rPr>
          <w:rFonts w:ascii="Times New Roman" w:hAnsi="Times New Roman" w:cs="Times New Roman"/>
          <w:i/>
          <w:iCs/>
          <w:color w:val="000000" w:themeColor="text1"/>
        </w:rPr>
        <w:t>No opinion</w:t>
      </w:r>
      <w:r w:rsidRPr="00B3220C">
        <w:rPr>
          <w:rFonts w:ascii="Times New Roman" w:hAnsi="Times New Roman" w:cs="Times New Roman"/>
          <w:color w:val="000000" w:themeColor="text1"/>
        </w:rPr>
        <w:t xml:space="preserve">.” </w:t>
      </w:r>
      <w:r w:rsidR="008D603B" w:rsidRPr="00B3220C">
        <w:rPr>
          <w:rFonts w:ascii="Times New Roman" w:hAnsi="Times New Roman" w:cs="Times New Roman"/>
          <w:color w:val="000000" w:themeColor="text1"/>
        </w:rPr>
        <w:t>Yes,</w:t>
      </w:r>
      <w:r w:rsidRPr="00B3220C">
        <w:rPr>
          <w:rFonts w:ascii="Times New Roman" w:hAnsi="Times New Roman" w:cs="Times New Roman"/>
          <w:color w:val="000000" w:themeColor="text1"/>
        </w:rPr>
        <w:t xml:space="preserve"> responses were coded as a 1 and no/no opinion were coded as 0. For the purposes of analysis, we treat the behavior measure as observed</w:t>
      </w:r>
      <w:r w:rsidR="008D603B">
        <w:rPr>
          <w:rFonts w:ascii="Times New Roman" w:hAnsi="Times New Roman" w:cs="Times New Roman"/>
          <w:color w:val="000000" w:themeColor="text1"/>
        </w:rPr>
        <w:t>,</w:t>
      </w:r>
      <w:r w:rsidRPr="00B3220C">
        <w:rPr>
          <w:rFonts w:ascii="Times New Roman" w:hAnsi="Times New Roman" w:cs="Times New Roman"/>
          <w:color w:val="000000" w:themeColor="text1"/>
        </w:rPr>
        <w:t xml:space="preserve"> and we add the number of self-reported behaviors together to produce a measure that ranges from 0 (no behaviors) to 13 (</w:t>
      </w:r>
      <w:proofErr w:type="gramStart"/>
      <w:r w:rsidRPr="00B3220C">
        <w:rPr>
          <w:rFonts w:ascii="Times New Roman" w:hAnsi="Times New Roman" w:cs="Times New Roman"/>
          <w:color w:val="000000" w:themeColor="text1"/>
        </w:rPr>
        <w:t>all of</w:t>
      </w:r>
      <w:proofErr w:type="gramEnd"/>
      <w:r w:rsidRPr="00B3220C">
        <w:rPr>
          <w:rFonts w:ascii="Times New Roman" w:hAnsi="Times New Roman" w:cs="Times New Roman"/>
          <w:color w:val="000000" w:themeColor="text1"/>
        </w:rPr>
        <w:t xml:space="preserve"> the behaviors). The mean number of self-reported behaviors was 5.52, with a standard deviation of 2.98. </w:t>
      </w:r>
      <w:hyperlink w:anchor="tbl-behave">
        <w:r w:rsidRPr="00B3220C">
          <w:rPr>
            <w:rStyle w:val="Hyperlink"/>
            <w:rFonts w:ascii="Times New Roman" w:hAnsi="Times New Roman" w:cs="Times New Roman"/>
            <w:color w:val="000000" w:themeColor="text1"/>
          </w:rPr>
          <w:t>Table 1</w:t>
        </w:r>
      </w:hyperlink>
      <w:r w:rsidRPr="00B3220C">
        <w:rPr>
          <w:rFonts w:ascii="Times New Roman" w:hAnsi="Times New Roman" w:cs="Times New Roman"/>
          <w:color w:val="000000" w:themeColor="text1"/>
        </w:rPr>
        <w:t xml:space="preserve"> shows the wording for each behavior as well as the mean and </w:t>
      </w:r>
      <w:proofErr w:type="spellStart"/>
      <w:r w:rsidRPr="00B3220C">
        <w:rPr>
          <w:rFonts w:ascii="Times New Roman" w:hAnsi="Times New Roman" w:cs="Times New Roman"/>
          <w:color w:val="000000" w:themeColor="text1"/>
        </w:rPr>
        <w:t>sd</w:t>
      </w:r>
      <w:proofErr w:type="spellEnd"/>
      <w:r w:rsidRPr="00B3220C">
        <w:rPr>
          <w:rFonts w:ascii="Times New Roman" w:hAnsi="Times New Roman" w:cs="Times New Roman"/>
          <w:color w:val="000000" w:themeColor="text1"/>
        </w:rPr>
        <w:t xml:space="preserve"> for each self-reported behavior.</w:t>
      </w:r>
    </w:p>
    <w:p w14:paraId="57F46932" w14:textId="1FFC9809" w:rsidR="00BA2CE9" w:rsidRDefault="00BA2CE9" w:rsidP="00E60947">
      <w:r>
        <w:t xml:space="preserve">Table 1 about here </w:t>
      </w:r>
    </w:p>
    <w:p w14:paraId="7C604C45" w14:textId="442CE645" w:rsidR="00BA2CE9" w:rsidRPr="00B3220C" w:rsidRDefault="00BA2CE9" w:rsidP="00BA2CE9">
      <w:pPr>
        <w:pStyle w:val="BodyText"/>
        <w:rPr>
          <w:rFonts w:ascii="Times New Roman" w:hAnsi="Times New Roman" w:cs="Times New Roman"/>
          <w:color w:val="000000" w:themeColor="text1"/>
        </w:rPr>
      </w:pPr>
      <w:r w:rsidRPr="00B3220C">
        <w:rPr>
          <w:rFonts w:ascii="Times New Roman" w:hAnsi="Times New Roman" w:cs="Times New Roman"/>
          <w:color w:val="000000" w:themeColor="text1"/>
        </w:rPr>
        <w:t xml:space="preserve">As shown in </w:t>
      </w:r>
      <w:hyperlink w:anchor="tbl-behave">
        <w:r w:rsidRPr="00B3220C">
          <w:rPr>
            <w:rStyle w:val="Hyperlink"/>
            <w:rFonts w:ascii="Times New Roman" w:hAnsi="Times New Roman" w:cs="Times New Roman"/>
            <w:color w:val="000000" w:themeColor="text1"/>
          </w:rPr>
          <w:t>Table 1</w:t>
        </w:r>
      </w:hyperlink>
      <w:r w:rsidRPr="00B3220C">
        <w:rPr>
          <w:rFonts w:ascii="Times New Roman" w:hAnsi="Times New Roman" w:cs="Times New Roman"/>
          <w:color w:val="000000" w:themeColor="text1"/>
        </w:rPr>
        <w:t>, recycling had the highest mean among the self-reported behaviors at 0.79, which indicates that 79% of the respondents reported that they recycle. Recycling was followed closely by reducing household energy use at 0.78 and using less water at home at 0.75. The behaviors with the lowest means included buying/selling stocks at 0.12, contacting a business at 0.16, and attending a meeting at 0.17.</w:t>
      </w:r>
    </w:p>
    <w:p w14:paraId="51F8BBCC" w14:textId="19A35615" w:rsidR="00BA2CE9" w:rsidRDefault="00725BC4" w:rsidP="00E60947">
      <w:pPr>
        <w:rPr>
          <w:i/>
          <w:iCs/>
        </w:rPr>
      </w:pPr>
      <w:r>
        <w:rPr>
          <w:i/>
          <w:iCs/>
        </w:rPr>
        <w:lastRenderedPageBreak/>
        <w:t>3.2.1 Latent Constructs</w:t>
      </w:r>
    </w:p>
    <w:p w14:paraId="179C2220" w14:textId="77777777" w:rsidR="00725BC4" w:rsidRDefault="00725BC4" w:rsidP="00E60947">
      <w:pPr>
        <w:rPr>
          <w:i/>
          <w:iCs/>
        </w:rPr>
      </w:pPr>
    </w:p>
    <w:p w14:paraId="6AB42CCA" w14:textId="1A908C59" w:rsidR="00725BC4" w:rsidRPr="007629AB" w:rsidRDefault="00725BC4" w:rsidP="00E60947">
      <w:pPr>
        <w:rPr>
          <w:i/>
          <w:iCs/>
        </w:rPr>
      </w:pPr>
      <w:r>
        <w:rPr>
          <w:i/>
          <w:iCs/>
        </w:rPr>
        <w:t xml:space="preserve">Cultural Cognition </w:t>
      </w:r>
    </w:p>
    <w:p w14:paraId="26F7DC9A" w14:textId="5B88EB4E" w:rsidR="00725BC4" w:rsidRPr="00B3220C" w:rsidRDefault="00725BC4" w:rsidP="00725BC4">
      <w:pPr>
        <w:pStyle w:val="FirstParagraph"/>
        <w:rPr>
          <w:rFonts w:ascii="Times New Roman" w:hAnsi="Times New Roman" w:cs="Times New Roman"/>
          <w:color w:val="000000" w:themeColor="text1"/>
        </w:rPr>
      </w:pPr>
      <w:r w:rsidRPr="00B3220C">
        <w:rPr>
          <w:rFonts w:ascii="Times New Roman" w:hAnsi="Times New Roman" w:cs="Times New Roman"/>
          <w:color w:val="000000" w:themeColor="text1"/>
        </w:rPr>
        <w:t xml:space="preserve">To measure cultural </w:t>
      </w:r>
      <w:r w:rsidR="00094571" w:rsidRPr="00B3220C">
        <w:rPr>
          <w:rFonts w:ascii="Times New Roman" w:hAnsi="Times New Roman" w:cs="Times New Roman"/>
          <w:color w:val="000000" w:themeColor="text1"/>
        </w:rPr>
        <w:t>cognition,</w:t>
      </w:r>
      <w:r w:rsidRPr="00B3220C">
        <w:rPr>
          <w:rFonts w:ascii="Times New Roman" w:hAnsi="Times New Roman" w:cs="Times New Roman"/>
          <w:color w:val="000000" w:themeColor="text1"/>
        </w:rPr>
        <w:t xml:space="preserve"> we rely on the </w:t>
      </w:r>
      <w:r w:rsidR="007D6033" w:rsidRPr="00B3220C">
        <w:rPr>
          <w:rFonts w:ascii="Times New Roman" w:hAnsi="Times New Roman" w:cs="Times New Roman"/>
          <w:color w:val="000000" w:themeColor="text1"/>
        </w:rPr>
        <w:t>short form</w:t>
      </w:r>
      <w:r w:rsidRPr="00B3220C">
        <w:rPr>
          <w:rFonts w:ascii="Times New Roman" w:hAnsi="Times New Roman" w:cs="Times New Roman"/>
          <w:color w:val="000000" w:themeColor="text1"/>
        </w:rPr>
        <w:t xml:space="preserve"> of the cultural cognition survey questions w</w:t>
      </w:r>
      <w:r w:rsidR="008D603B">
        <w:rPr>
          <w:rFonts w:ascii="Times New Roman" w:hAnsi="Times New Roman" w:cs="Times New Roman"/>
          <w:color w:val="000000" w:themeColor="text1"/>
        </w:rPr>
        <w:t>hich</w:t>
      </w:r>
      <w:r w:rsidRPr="00B3220C">
        <w:rPr>
          <w:rFonts w:ascii="Times New Roman" w:hAnsi="Times New Roman" w:cs="Times New Roman"/>
          <w:color w:val="000000" w:themeColor="text1"/>
        </w:rPr>
        <w:t xml:space="preserve"> includes three questions for each of the four cultural worldviews (see Kahan 2012). Respondents were asked their agreement on a 1 (strongly disagree) to 4 (strongly agree) scale with each of the following statements. The </w:t>
      </w:r>
      <w:r w:rsidRPr="00B3220C">
        <w:rPr>
          <w:rFonts w:ascii="Times New Roman" w:hAnsi="Times New Roman" w:cs="Times New Roman"/>
          <w:i/>
          <w:iCs/>
          <w:color w:val="000000" w:themeColor="text1"/>
        </w:rPr>
        <w:t>hierarchy</w:t>
      </w:r>
      <w:r w:rsidRPr="00B3220C">
        <w:rPr>
          <w:rFonts w:ascii="Times New Roman" w:hAnsi="Times New Roman" w:cs="Times New Roman"/>
          <w:color w:val="000000" w:themeColor="text1"/>
        </w:rPr>
        <w:t xml:space="preserve"> statements included, 1) We have gone too far in pushing equal rights in this country, 2) It seems like blacks, women, homosexuals and other groups don’t want equal rights, they want special rights just for them, and 3) The women’s rights movement has gone too far. The </w:t>
      </w:r>
      <w:r w:rsidRPr="00B3220C">
        <w:rPr>
          <w:rFonts w:ascii="Times New Roman" w:hAnsi="Times New Roman" w:cs="Times New Roman"/>
          <w:i/>
          <w:iCs/>
          <w:color w:val="000000" w:themeColor="text1"/>
        </w:rPr>
        <w:t>egalitarianism</w:t>
      </w:r>
      <w:r w:rsidRPr="00B3220C">
        <w:rPr>
          <w:rFonts w:ascii="Times New Roman" w:hAnsi="Times New Roman" w:cs="Times New Roman"/>
          <w:color w:val="000000" w:themeColor="text1"/>
        </w:rPr>
        <w:t xml:space="preserve"> statements are, 1) We need to dramatically reduce inequalities between the rich and poor, whites and people of color, and men and women, 2) Our society would be better off if the distribution of wealth was more equal, and 3) We live in a sexist society that is fundamentally set up to discriminate against women. The </w:t>
      </w:r>
      <w:r w:rsidRPr="00B3220C">
        <w:rPr>
          <w:rFonts w:ascii="Times New Roman" w:hAnsi="Times New Roman" w:cs="Times New Roman"/>
          <w:i/>
          <w:iCs/>
          <w:color w:val="000000" w:themeColor="text1"/>
        </w:rPr>
        <w:t>individualism</w:t>
      </w:r>
      <w:r w:rsidRPr="00B3220C">
        <w:rPr>
          <w:rFonts w:ascii="Times New Roman" w:hAnsi="Times New Roman" w:cs="Times New Roman"/>
          <w:color w:val="000000" w:themeColor="text1"/>
        </w:rPr>
        <w:t xml:space="preserve"> statements included, 1) If the government spent less time trying to fix everyone’s problems, we’d all be a lot better off, 2) Government regulations are almost always a waste of everyone’s time and money, and 3) Our government tries to do too many things for too many people. We should just let people take care of themselves. Finally, the </w:t>
      </w:r>
      <w:r w:rsidRPr="00B3220C">
        <w:rPr>
          <w:rFonts w:ascii="Times New Roman" w:hAnsi="Times New Roman" w:cs="Times New Roman"/>
          <w:i/>
          <w:iCs/>
          <w:color w:val="000000" w:themeColor="text1"/>
        </w:rPr>
        <w:t>communitarianism</w:t>
      </w:r>
      <w:r w:rsidRPr="00B3220C">
        <w:rPr>
          <w:rFonts w:ascii="Times New Roman" w:hAnsi="Times New Roman" w:cs="Times New Roman"/>
          <w:color w:val="000000" w:themeColor="text1"/>
        </w:rPr>
        <w:t xml:space="preserve"> statements are, 1) Sometimes government needs to make laws that keep people from hurting themselves, 2) Government should put limits on the choices individuals can make so they don’t get in the way of what’s good for society, and 3) The government should do more to advance society’s goals, even if that means limiting the freedom and choices of individuals.</w:t>
      </w:r>
    </w:p>
    <w:p w14:paraId="16B931D4" w14:textId="68273930" w:rsidR="00725BC4" w:rsidRDefault="00725BC4" w:rsidP="00E60947">
      <w:pPr>
        <w:rPr>
          <w:i/>
          <w:iCs/>
        </w:rPr>
      </w:pPr>
      <w:r>
        <w:rPr>
          <w:i/>
          <w:iCs/>
        </w:rPr>
        <w:t xml:space="preserve">Connectedness to Nature </w:t>
      </w:r>
    </w:p>
    <w:p w14:paraId="00239746" w14:textId="081F93BB" w:rsidR="00725BC4" w:rsidRPr="00B3220C" w:rsidRDefault="00725BC4" w:rsidP="00725BC4">
      <w:pPr>
        <w:pStyle w:val="FirstParagraph"/>
        <w:rPr>
          <w:rFonts w:ascii="Times New Roman" w:hAnsi="Times New Roman" w:cs="Times New Roman"/>
          <w:color w:val="000000" w:themeColor="text1"/>
        </w:rPr>
      </w:pPr>
      <w:r w:rsidRPr="00B3220C">
        <w:rPr>
          <w:rFonts w:ascii="Times New Roman" w:hAnsi="Times New Roman" w:cs="Times New Roman"/>
          <w:color w:val="000000" w:themeColor="text1"/>
        </w:rPr>
        <w:t>We measured the Connectedness to Nature Scale (CNS) using respondent agreement on a 1 to 5 scale (1 - strongly disagree, 3 - neutral, 5 - strongly agree) with three statements.</w:t>
      </w:r>
      <w:r w:rsidR="006A6ACA">
        <w:rPr>
          <w:rStyle w:val="FootnoteReference"/>
          <w:rFonts w:ascii="Times New Roman" w:hAnsi="Times New Roman" w:cs="Times New Roman"/>
          <w:color w:val="000000" w:themeColor="text1"/>
        </w:rPr>
        <w:footnoteReference w:id="3"/>
      </w:r>
      <w:r w:rsidRPr="00B3220C">
        <w:rPr>
          <w:rFonts w:ascii="Times New Roman" w:hAnsi="Times New Roman" w:cs="Times New Roman"/>
          <w:color w:val="000000" w:themeColor="text1"/>
        </w:rPr>
        <w:t xml:space="preserve"> The statements included, 1) I think of the natural world as a community to which I belong, 2) I often feel a kinship with animals and plants, and 3) I feel as though I belong to the Earth as equally as it belongs to me.</w:t>
      </w:r>
    </w:p>
    <w:p w14:paraId="6D27CF53" w14:textId="3A3A3AAB" w:rsidR="00725BC4" w:rsidRDefault="00725BC4" w:rsidP="00E60947">
      <w:pPr>
        <w:rPr>
          <w:i/>
          <w:iCs/>
        </w:rPr>
      </w:pPr>
      <w:r>
        <w:rPr>
          <w:i/>
          <w:iCs/>
        </w:rPr>
        <w:t xml:space="preserve">New Ecological Paradigm </w:t>
      </w:r>
    </w:p>
    <w:p w14:paraId="045CE627" w14:textId="77777777" w:rsidR="007629AB" w:rsidRDefault="00725BC4" w:rsidP="00725BC4">
      <w:pPr>
        <w:pStyle w:val="FirstParagraph"/>
        <w:rPr>
          <w:rFonts w:ascii="Times New Roman" w:hAnsi="Times New Roman" w:cs="Times New Roman"/>
          <w:color w:val="000000" w:themeColor="text1"/>
        </w:rPr>
      </w:pPr>
      <w:r w:rsidRPr="00B3220C">
        <w:rPr>
          <w:rFonts w:ascii="Times New Roman" w:hAnsi="Times New Roman" w:cs="Times New Roman"/>
          <w:color w:val="000000" w:themeColor="text1"/>
        </w:rPr>
        <w:t xml:space="preserve">To measure the New Ecological Paradigm (NEP) we used agreement with the following three statements on a 1 to 5 scale (1 - strongly disagree, 3 - neutral, 5 - strongly agree). The statements are, 1) Humans are severely abusing the environment, 2) The so-called “ecological crisis” facing humankind has been greatly exaggerated (reverse-coded), and 3) If things </w:t>
      </w:r>
      <w:proofErr w:type="gramStart"/>
      <w:r w:rsidRPr="00B3220C">
        <w:rPr>
          <w:rFonts w:ascii="Times New Roman" w:hAnsi="Times New Roman" w:cs="Times New Roman"/>
          <w:color w:val="000000" w:themeColor="text1"/>
        </w:rPr>
        <w:t>continue on</w:t>
      </w:r>
      <w:proofErr w:type="gramEnd"/>
      <w:r w:rsidRPr="00B3220C">
        <w:rPr>
          <w:rFonts w:ascii="Times New Roman" w:hAnsi="Times New Roman" w:cs="Times New Roman"/>
          <w:color w:val="000000" w:themeColor="text1"/>
        </w:rPr>
        <w:t xml:space="preserve"> their present course, we will soon experience a major ecological catastrophe.</w:t>
      </w:r>
      <w:r w:rsidR="007629AB">
        <w:rPr>
          <w:rFonts w:ascii="Times New Roman" w:hAnsi="Times New Roman" w:cs="Times New Roman"/>
          <w:color w:val="000000" w:themeColor="text1"/>
        </w:rPr>
        <w:t xml:space="preserve"> Item text and characteristics can be found in Table 2.</w:t>
      </w:r>
    </w:p>
    <w:p w14:paraId="7AE4E867" w14:textId="7AF616CB" w:rsidR="00725BC4" w:rsidRPr="00B3220C" w:rsidRDefault="00725BC4" w:rsidP="00725BC4">
      <w:pPr>
        <w:pStyle w:val="FirstParagraph"/>
        <w:rPr>
          <w:rFonts w:ascii="Times New Roman" w:hAnsi="Times New Roman" w:cs="Times New Roman"/>
          <w:color w:val="000000" w:themeColor="text1"/>
        </w:rPr>
      </w:pPr>
      <w:r w:rsidRPr="00B3220C">
        <w:rPr>
          <w:rFonts w:ascii="Times New Roman" w:hAnsi="Times New Roman" w:cs="Times New Roman"/>
          <w:color w:val="000000" w:themeColor="text1"/>
        </w:rPr>
        <w:t xml:space="preserve">To test our hypothesis, we estimated a Structural Equation Modeling (SEM) using the </w:t>
      </w:r>
      <w:proofErr w:type="spellStart"/>
      <w:r w:rsidRPr="00B3220C">
        <w:rPr>
          <w:rStyle w:val="VerbatimChar"/>
          <w:rFonts w:ascii="Times New Roman" w:hAnsi="Times New Roman" w:cs="Times New Roman"/>
          <w:color w:val="000000" w:themeColor="text1"/>
          <w:sz w:val="24"/>
        </w:rPr>
        <w:t>lavaan</w:t>
      </w:r>
      <w:proofErr w:type="spellEnd"/>
      <w:r w:rsidRPr="00B3220C">
        <w:rPr>
          <w:rFonts w:ascii="Times New Roman" w:hAnsi="Times New Roman" w:cs="Times New Roman"/>
          <w:color w:val="000000" w:themeColor="text1"/>
        </w:rPr>
        <w:t xml:space="preserve"> package in </w:t>
      </w:r>
      <w:r w:rsidRPr="00B3220C">
        <w:rPr>
          <w:rStyle w:val="VerbatimChar"/>
          <w:rFonts w:ascii="Times New Roman" w:hAnsi="Times New Roman" w:cs="Times New Roman"/>
          <w:color w:val="000000" w:themeColor="text1"/>
          <w:sz w:val="24"/>
        </w:rPr>
        <w:t>R</w:t>
      </w:r>
      <w:r w:rsidRPr="00B3220C">
        <w:rPr>
          <w:rFonts w:ascii="Times New Roman" w:hAnsi="Times New Roman" w:cs="Times New Roman"/>
          <w:color w:val="000000" w:themeColor="text1"/>
        </w:rPr>
        <w:t xml:space="preserve"> (Rosseel 2012). The dependent variable, self-reported pro-environmental behaviors, is an observed variable and the cultural cognition worldviews, the CNS, and the NEP scale are latent constructs. We run separate analyses for the two measures of environmental orientation, CNS and NEP, and for both models we show the standardized regression coefficients for the measurement and structural models. In addition, we assess the fit of both models using </w:t>
      </w:r>
      <w:r w:rsidRPr="00B3220C">
        <w:rPr>
          <w:rFonts w:ascii="Times New Roman" w:hAnsi="Times New Roman" w:cs="Times New Roman"/>
          <w:color w:val="000000" w:themeColor="text1"/>
        </w:rPr>
        <w:lastRenderedPageBreak/>
        <w:t>the Root Mean Square Error of Approximation (RMSEA), the Comparative Fit Index (CFI), and the Standardized Root Mean Square Residual (SRMR). Finally, we examine the mediation effects of environmental orientation by examining the direct, indirect, and total effects of cultural cognition measures on pro-environmental behavior.</w:t>
      </w:r>
    </w:p>
    <w:p w14:paraId="336BA087" w14:textId="77777777" w:rsidR="00725BC4" w:rsidRPr="00725BC4" w:rsidRDefault="00725BC4" w:rsidP="00E60947"/>
    <w:p w14:paraId="03B4DA1A" w14:textId="77777777" w:rsidR="00E60947" w:rsidRDefault="00E60947"/>
    <w:p w14:paraId="434E0815" w14:textId="7C190342" w:rsidR="00E60947" w:rsidRDefault="00E60947">
      <w:r>
        <w:rPr>
          <w:b/>
          <w:bCs/>
        </w:rPr>
        <w:t>4 Results</w:t>
      </w:r>
    </w:p>
    <w:p w14:paraId="59F8E10D" w14:textId="77777777" w:rsidR="00094571" w:rsidRPr="00B3220C" w:rsidRDefault="00094571" w:rsidP="00094571">
      <w:pPr>
        <w:pStyle w:val="FirstParagraph"/>
        <w:rPr>
          <w:rFonts w:ascii="Times New Roman" w:hAnsi="Times New Roman" w:cs="Times New Roman"/>
          <w:color w:val="000000" w:themeColor="text1"/>
        </w:rPr>
      </w:pPr>
      <w:hyperlink w:anchor="tbl-measure">
        <w:r w:rsidRPr="00B3220C">
          <w:rPr>
            <w:rStyle w:val="Hyperlink"/>
            <w:rFonts w:ascii="Times New Roman" w:hAnsi="Times New Roman" w:cs="Times New Roman"/>
            <w:color w:val="000000" w:themeColor="text1"/>
          </w:rPr>
          <w:t>Table 2</w:t>
        </w:r>
      </w:hyperlink>
      <w:r w:rsidRPr="00B3220C">
        <w:rPr>
          <w:rFonts w:ascii="Times New Roman" w:hAnsi="Times New Roman" w:cs="Times New Roman"/>
          <w:color w:val="000000" w:themeColor="text1"/>
        </w:rPr>
        <w:t xml:space="preserve"> shows the measurement variables used for the latent constructs including the mean and standard deviation (</w:t>
      </w:r>
      <w:proofErr w:type="spellStart"/>
      <w:r w:rsidRPr="00B3220C">
        <w:rPr>
          <w:rFonts w:ascii="Times New Roman" w:hAnsi="Times New Roman" w:cs="Times New Roman"/>
          <w:color w:val="000000" w:themeColor="text1"/>
        </w:rPr>
        <w:t>sd</w:t>
      </w:r>
      <w:proofErr w:type="spellEnd"/>
      <w:r w:rsidRPr="00B3220C">
        <w:rPr>
          <w:rFonts w:ascii="Times New Roman" w:hAnsi="Times New Roman" w:cs="Times New Roman"/>
          <w:color w:val="000000" w:themeColor="text1"/>
        </w:rPr>
        <w:t xml:space="preserve">) of each statement. In addition, </w:t>
      </w:r>
      <w:hyperlink w:anchor="tbl-measure">
        <w:r w:rsidRPr="00B3220C">
          <w:rPr>
            <w:rStyle w:val="Hyperlink"/>
            <w:rFonts w:ascii="Times New Roman" w:hAnsi="Times New Roman" w:cs="Times New Roman"/>
            <w:color w:val="000000" w:themeColor="text1"/>
          </w:rPr>
          <w:t>Table 2</w:t>
        </w:r>
      </w:hyperlink>
      <w:r w:rsidRPr="00B3220C">
        <w:rPr>
          <w:rFonts w:ascii="Times New Roman" w:hAnsi="Times New Roman" w:cs="Times New Roman"/>
          <w:color w:val="000000" w:themeColor="text1"/>
        </w:rPr>
        <w:t xml:space="preserve"> show the fit statistics for each of the latent constructs including Cronbach’s </w:t>
      </w:r>
      <m:oMath>
        <m:r>
          <w:rPr>
            <w:rFonts w:ascii="Cambria Math" w:hAnsi="Cambria Math" w:cs="Times New Roman"/>
            <w:color w:val="000000" w:themeColor="text1"/>
          </w:rPr>
          <m:t>α</m:t>
        </m:r>
      </m:oMath>
      <w:r w:rsidRPr="00B3220C">
        <w:rPr>
          <w:rFonts w:ascii="Times New Roman" w:hAnsi="Times New Roman" w:cs="Times New Roman"/>
          <w:color w:val="000000" w:themeColor="text1"/>
        </w:rPr>
        <w:t>, Composite Reliability (CR), and the Average Variance Extracted (AVE).</w:t>
      </w:r>
    </w:p>
    <w:p w14:paraId="44A51BB2" w14:textId="0D658230" w:rsidR="00094571" w:rsidRDefault="00094571">
      <w:r>
        <w:t>Table 2 about here</w:t>
      </w:r>
    </w:p>
    <w:p w14:paraId="3AAA8C77" w14:textId="75FC0902" w:rsidR="00B6088A" w:rsidRDefault="00B6088A" w:rsidP="00B6088A">
      <w:pPr>
        <w:pStyle w:val="BodyText"/>
        <w:rPr>
          <w:rFonts w:ascii="Times New Roman" w:hAnsi="Times New Roman" w:cs="Times New Roman"/>
          <w:color w:val="000000" w:themeColor="text1"/>
        </w:rPr>
      </w:pPr>
      <w:r w:rsidRPr="00B3220C">
        <w:rPr>
          <w:rFonts w:ascii="Times New Roman" w:hAnsi="Times New Roman" w:cs="Times New Roman"/>
          <w:color w:val="000000" w:themeColor="text1"/>
        </w:rPr>
        <w:t xml:space="preserve">As shown in </w:t>
      </w:r>
      <w:hyperlink w:anchor="tbl-measure">
        <w:r w:rsidRPr="00B3220C">
          <w:rPr>
            <w:rStyle w:val="Hyperlink"/>
            <w:rFonts w:ascii="Times New Roman" w:hAnsi="Times New Roman" w:cs="Times New Roman"/>
            <w:color w:val="000000" w:themeColor="text1"/>
          </w:rPr>
          <w:t>Table 2</w:t>
        </w:r>
      </w:hyperlink>
      <w:r w:rsidRPr="00B3220C">
        <w:rPr>
          <w:rFonts w:ascii="Times New Roman" w:hAnsi="Times New Roman" w:cs="Times New Roman"/>
          <w:color w:val="000000" w:themeColor="text1"/>
        </w:rPr>
        <w:t>, each of the constructs show sufficient reliability (</w:t>
      </w:r>
      <m:oMath>
        <m:r>
          <w:rPr>
            <w:rFonts w:ascii="Cambria Math" w:hAnsi="Cambria Math" w:cs="Times New Roman"/>
            <w:color w:val="000000" w:themeColor="text1"/>
          </w:rPr>
          <m:t>α</m:t>
        </m:r>
      </m:oMath>
      <w:r w:rsidRPr="00B3220C">
        <w:rPr>
          <w:rFonts w:ascii="Times New Roman" w:hAnsi="Times New Roman" w:cs="Times New Roman"/>
          <w:color w:val="000000" w:themeColor="text1"/>
        </w:rPr>
        <w:t xml:space="preserve"> and CR &gt;0.70) </w:t>
      </w:r>
      <w:r w:rsidR="00655916" w:rsidRPr="00B3220C">
        <w:rPr>
          <w:rFonts w:ascii="Times New Roman" w:hAnsi="Times New Roman" w:cs="Times New Roman"/>
          <w:color w:val="000000" w:themeColor="text1"/>
        </w:rPr>
        <w:t>except for</w:t>
      </w:r>
      <w:r w:rsidRPr="00B3220C">
        <w:rPr>
          <w:rFonts w:ascii="Times New Roman" w:hAnsi="Times New Roman" w:cs="Times New Roman"/>
          <w:color w:val="000000" w:themeColor="text1"/>
        </w:rPr>
        <w:t xml:space="preserve"> the communitarianism scale. However, CR values between 0.60 and 0.70 are acceptable for exploratory analysis (Hair et al. 2015).</w:t>
      </w:r>
    </w:p>
    <w:p w14:paraId="2DE619CB" w14:textId="77777777" w:rsidR="00B6088A" w:rsidRPr="00B3220C" w:rsidRDefault="00B6088A" w:rsidP="00B6088A">
      <w:pPr>
        <w:pStyle w:val="BodyText"/>
        <w:rPr>
          <w:rFonts w:ascii="Times New Roman" w:hAnsi="Times New Roman" w:cs="Times New Roman"/>
          <w:color w:val="000000" w:themeColor="text1"/>
        </w:rPr>
      </w:pPr>
      <w:r w:rsidRPr="00B3220C">
        <w:rPr>
          <w:rFonts w:ascii="Times New Roman" w:hAnsi="Times New Roman" w:cs="Times New Roman"/>
          <w:color w:val="000000" w:themeColor="text1"/>
        </w:rPr>
        <w:t xml:space="preserve">In </w:t>
      </w:r>
      <w:hyperlink w:anchor="fig-semCNS">
        <w:r w:rsidRPr="00B3220C">
          <w:rPr>
            <w:rStyle w:val="Hyperlink"/>
            <w:rFonts w:ascii="Times New Roman" w:hAnsi="Times New Roman" w:cs="Times New Roman"/>
            <w:color w:val="000000" w:themeColor="text1"/>
          </w:rPr>
          <w:t>Figure 2</w:t>
        </w:r>
      </w:hyperlink>
      <w:r w:rsidRPr="00B3220C">
        <w:rPr>
          <w:rFonts w:ascii="Times New Roman" w:hAnsi="Times New Roman" w:cs="Times New Roman"/>
          <w:color w:val="000000" w:themeColor="text1"/>
        </w:rPr>
        <w:t xml:space="preserve"> we show the results of the SEM using the CNS measure of environmental orientation. </w:t>
      </w:r>
      <w:hyperlink w:anchor="fig-semCNS">
        <w:r w:rsidRPr="00B3220C">
          <w:rPr>
            <w:rStyle w:val="Hyperlink"/>
            <w:rFonts w:ascii="Times New Roman" w:hAnsi="Times New Roman" w:cs="Times New Roman"/>
            <w:color w:val="000000" w:themeColor="text1"/>
          </w:rPr>
          <w:t>Figure 2</w:t>
        </w:r>
      </w:hyperlink>
      <w:r w:rsidRPr="00B3220C">
        <w:rPr>
          <w:rFonts w:ascii="Times New Roman" w:hAnsi="Times New Roman" w:cs="Times New Roman"/>
          <w:color w:val="000000" w:themeColor="text1"/>
        </w:rPr>
        <w:t xml:space="preserve"> shows the standardized coefficients for the measurement and structural models. In addition, significant paths are indicated with * p&lt;0.05; ** p&lt;0.01; and *** p&lt;0.001.</w:t>
      </w:r>
    </w:p>
    <w:p w14:paraId="24FD2811" w14:textId="4FBF3756" w:rsidR="00B6088A" w:rsidRPr="00B6088A" w:rsidRDefault="00B6088A" w:rsidP="00B6088A">
      <w:pPr>
        <w:pStyle w:val="BodyText"/>
        <w:rPr>
          <w:rFonts w:ascii="Times New Roman" w:hAnsi="Times New Roman" w:cs="Times New Roman"/>
          <w:color w:val="000000" w:themeColor="text1"/>
        </w:rPr>
      </w:pPr>
      <w:r>
        <w:rPr>
          <w:rFonts w:ascii="Times New Roman" w:hAnsi="Times New Roman" w:cs="Times New Roman"/>
          <w:color w:val="000000" w:themeColor="text1"/>
        </w:rPr>
        <w:t xml:space="preserve">Figure 2 about here: </w:t>
      </w:r>
      <w:r w:rsidRPr="00B3220C">
        <w:rPr>
          <w:rFonts w:ascii="Times New Roman" w:hAnsi="Times New Roman" w:cs="Times New Roman"/>
          <w:color w:val="000000" w:themeColor="text1"/>
        </w:rPr>
        <w:t>Figure 2: Measurement and Structural Model of Cultural Cognition, Connectedness to Nature Scale, and Pro-Environmental Behaviors</w:t>
      </w:r>
    </w:p>
    <w:p w14:paraId="4A06B33D" w14:textId="77777777" w:rsidR="00B6088A" w:rsidRPr="00B3220C" w:rsidRDefault="00B6088A" w:rsidP="00B6088A">
      <w:pPr>
        <w:pStyle w:val="BodyText"/>
        <w:rPr>
          <w:rFonts w:ascii="Times New Roman" w:hAnsi="Times New Roman" w:cs="Times New Roman"/>
          <w:color w:val="000000" w:themeColor="text1"/>
        </w:rPr>
      </w:pPr>
      <w:r w:rsidRPr="00B3220C">
        <w:rPr>
          <w:rFonts w:ascii="Times New Roman" w:hAnsi="Times New Roman" w:cs="Times New Roman"/>
          <w:color w:val="000000" w:themeColor="text1"/>
        </w:rPr>
        <w:t xml:space="preserve">Looking to the structural components in </w:t>
      </w:r>
      <w:hyperlink w:anchor="fig-semCNS">
        <w:r w:rsidRPr="00B3220C">
          <w:rPr>
            <w:rStyle w:val="Hyperlink"/>
            <w:rFonts w:ascii="Times New Roman" w:hAnsi="Times New Roman" w:cs="Times New Roman"/>
            <w:color w:val="000000" w:themeColor="text1"/>
          </w:rPr>
          <w:t>Figure 2</w:t>
        </w:r>
      </w:hyperlink>
      <w:r w:rsidRPr="00B3220C">
        <w:rPr>
          <w:rFonts w:ascii="Times New Roman" w:hAnsi="Times New Roman" w:cs="Times New Roman"/>
          <w:color w:val="000000" w:themeColor="text1"/>
        </w:rPr>
        <w:t>, as expected communitarianism and egalitarianism are positively associated with the Connectedness to Nature Scale. Additionally, also as expected, egalitarianism and the CNS is positively associated with an increase in self-reported pro-environmental behaviors. Based on the standardized coefficients, egalitarianism had a stronger association with the CNS than communitarianism with coefficients of 0.28 and 0.19, respectively. Also based on the standardized coefficients, the CNS has a stronger association with behaviors than egalitarianism at 0.42 versus 0.19. No other paths in the structural model were significant.</w:t>
      </w:r>
    </w:p>
    <w:p w14:paraId="7E171448" w14:textId="7E1DF9CD" w:rsidR="00B6088A" w:rsidRPr="00B3220C" w:rsidRDefault="00B6088A" w:rsidP="00B6088A">
      <w:pPr>
        <w:pStyle w:val="BodyText"/>
        <w:rPr>
          <w:rFonts w:ascii="Times New Roman" w:hAnsi="Times New Roman" w:cs="Times New Roman"/>
          <w:color w:val="000000" w:themeColor="text1"/>
        </w:rPr>
      </w:pPr>
      <w:hyperlink w:anchor="fig-semNEP">
        <w:r w:rsidRPr="00B3220C">
          <w:rPr>
            <w:rStyle w:val="Hyperlink"/>
            <w:rFonts w:ascii="Times New Roman" w:hAnsi="Times New Roman" w:cs="Times New Roman"/>
            <w:color w:val="000000" w:themeColor="text1"/>
          </w:rPr>
          <w:t>Figure 3</w:t>
        </w:r>
      </w:hyperlink>
      <w:r w:rsidRPr="00B3220C">
        <w:rPr>
          <w:rFonts w:ascii="Times New Roman" w:hAnsi="Times New Roman" w:cs="Times New Roman"/>
          <w:color w:val="000000" w:themeColor="text1"/>
        </w:rPr>
        <w:t xml:space="preserve"> illustrates the SEM results for the model containing the New Ecological Paradigm (NEP). As before, we show the measurement and structural models, standardized coefficients, and indicate significant paths in the model. As shown in </w:t>
      </w:r>
      <w:hyperlink w:anchor="fig-semNEP">
        <w:r w:rsidRPr="00B3220C">
          <w:rPr>
            <w:rStyle w:val="Hyperlink"/>
            <w:rFonts w:ascii="Times New Roman" w:hAnsi="Times New Roman" w:cs="Times New Roman"/>
            <w:color w:val="000000" w:themeColor="text1"/>
          </w:rPr>
          <w:t>Figure 3</w:t>
        </w:r>
      </w:hyperlink>
      <w:r w:rsidRPr="00B3220C">
        <w:rPr>
          <w:rFonts w:ascii="Times New Roman" w:hAnsi="Times New Roman" w:cs="Times New Roman"/>
          <w:color w:val="000000" w:themeColor="text1"/>
        </w:rPr>
        <w:t>, increasing egalitarianism is positively associated with the NEP and the NEP is positively associated with an increase in the number of self-reported behaviors. These results were as expected; however, no other associated were statistically significant.</w:t>
      </w:r>
    </w:p>
    <w:p w14:paraId="11349A07" w14:textId="4C4E7130" w:rsidR="00B6088A" w:rsidRDefault="00B6088A">
      <w:pPr>
        <w:rPr>
          <w:color w:val="000000" w:themeColor="text1"/>
        </w:rPr>
      </w:pPr>
      <w:r>
        <w:t xml:space="preserve">Figure 3 about here: </w:t>
      </w:r>
      <w:r w:rsidRPr="00B3220C">
        <w:rPr>
          <w:color w:val="000000" w:themeColor="text1"/>
        </w:rPr>
        <w:t>Figure 3: Measurement and Structural Model of Cultural Cognition, New Ecological Paradigm, and Pro-Environmental Behaviors</w:t>
      </w:r>
    </w:p>
    <w:p w14:paraId="09EDA57E" w14:textId="77777777" w:rsidR="00B6088A" w:rsidRPr="00B3220C" w:rsidRDefault="00B6088A" w:rsidP="00B6088A">
      <w:pPr>
        <w:pStyle w:val="BodyText"/>
        <w:rPr>
          <w:rFonts w:ascii="Times New Roman" w:hAnsi="Times New Roman" w:cs="Times New Roman"/>
          <w:color w:val="000000" w:themeColor="text1"/>
        </w:rPr>
      </w:pPr>
      <w:r w:rsidRPr="00B3220C">
        <w:rPr>
          <w:rFonts w:ascii="Times New Roman" w:hAnsi="Times New Roman" w:cs="Times New Roman"/>
          <w:color w:val="000000" w:themeColor="text1"/>
        </w:rPr>
        <w:t>Next, we show the model fit statistics of both the CNS and the NEP models including the degrees-of-freedom (</w:t>
      </w:r>
      <w:proofErr w:type="spellStart"/>
      <w:r w:rsidRPr="00B3220C">
        <w:rPr>
          <w:rFonts w:ascii="Times New Roman" w:hAnsi="Times New Roman" w:cs="Times New Roman"/>
          <w:color w:val="000000" w:themeColor="text1"/>
        </w:rPr>
        <w:t>df</w:t>
      </w:r>
      <w:proofErr w:type="spellEnd"/>
      <w:r w:rsidRPr="00B3220C">
        <w:rPr>
          <w:rFonts w:ascii="Times New Roman" w:hAnsi="Times New Roman" w:cs="Times New Roman"/>
          <w:color w:val="000000" w:themeColor="text1"/>
        </w:rPr>
        <w:t>), the sample size (</w:t>
      </w:r>
      <w:r w:rsidRPr="00B3220C">
        <w:rPr>
          <w:rFonts w:ascii="Times New Roman" w:hAnsi="Times New Roman" w:cs="Times New Roman"/>
          <w:i/>
          <w:iCs/>
          <w:color w:val="000000" w:themeColor="text1"/>
        </w:rPr>
        <w:t>N</w:t>
      </w:r>
      <w:r w:rsidRPr="00B3220C">
        <w:rPr>
          <w:rFonts w:ascii="Times New Roman" w:hAnsi="Times New Roman" w:cs="Times New Roman"/>
          <w:color w:val="000000" w:themeColor="text1"/>
        </w:rPr>
        <w:t xml:space="preserve">), the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χ</m:t>
            </m:r>
          </m:e>
          <m:sup>
            <m:r>
              <w:rPr>
                <w:rFonts w:ascii="Cambria Math" w:hAnsi="Cambria Math" w:cs="Times New Roman"/>
                <w:color w:val="000000" w:themeColor="text1"/>
              </w:rPr>
              <m:t>2</m:t>
            </m:r>
          </m:sup>
        </m:sSup>
      </m:oMath>
      <w:r w:rsidRPr="00B3220C">
        <w:rPr>
          <w:rFonts w:ascii="Times New Roman" w:hAnsi="Times New Roman" w:cs="Times New Roman"/>
          <w:color w:val="000000" w:themeColor="text1"/>
        </w:rPr>
        <w:t xml:space="preserve">, the Root Mean Square Error of </w:t>
      </w:r>
      <w:r w:rsidRPr="00B3220C">
        <w:rPr>
          <w:rFonts w:ascii="Times New Roman" w:hAnsi="Times New Roman" w:cs="Times New Roman"/>
          <w:color w:val="000000" w:themeColor="text1"/>
        </w:rPr>
        <w:lastRenderedPageBreak/>
        <w:t>Approximation (RMSEA), the Comparative Fit Index (CFI), and the Standardized Root Mean Square Residual (SRMR).</w:t>
      </w:r>
      <w:r w:rsidRPr="00B3220C">
        <w:rPr>
          <w:rStyle w:val="FootnoteReference"/>
          <w:rFonts w:ascii="Times New Roman" w:hAnsi="Times New Roman" w:cs="Times New Roman"/>
          <w:color w:val="000000" w:themeColor="text1"/>
        </w:rPr>
        <w:footnoteReference w:id="4"/>
      </w:r>
      <w:r w:rsidRPr="00B3220C">
        <w:rPr>
          <w:rFonts w:ascii="Times New Roman" w:hAnsi="Times New Roman" w:cs="Times New Roman"/>
          <w:color w:val="000000" w:themeColor="text1"/>
        </w:rPr>
        <w:t xml:space="preserve"> The results are shown in </w:t>
      </w:r>
      <w:hyperlink w:anchor="tbl-fit">
        <w:r w:rsidRPr="00B3220C">
          <w:rPr>
            <w:rStyle w:val="Hyperlink"/>
            <w:rFonts w:ascii="Times New Roman" w:hAnsi="Times New Roman" w:cs="Times New Roman"/>
            <w:color w:val="000000" w:themeColor="text1"/>
          </w:rPr>
          <w:t>Table 3</w:t>
        </w:r>
      </w:hyperlink>
      <w:r w:rsidRPr="00B3220C">
        <w:rPr>
          <w:rFonts w:ascii="Times New Roman" w:hAnsi="Times New Roman" w:cs="Times New Roman"/>
          <w:color w:val="000000" w:themeColor="text1"/>
        </w:rPr>
        <w:t>.</w:t>
      </w:r>
    </w:p>
    <w:p w14:paraId="756D550A" w14:textId="1A5B786C" w:rsidR="00B6088A" w:rsidRDefault="00B6088A">
      <w:r>
        <w:t xml:space="preserve">Table 3 about here </w:t>
      </w:r>
    </w:p>
    <w:p w14:paraId="6DABE586" w14:textId="62385C9E" w:rsidR="00B6088A" w:rsidRPr="00B3220C" w:rsidRDefault="00B6088A" w:rsidP="00B6088A">
      <w:pPr>
        <w:pStyle w:val="BodyText"/>
        <w:rPr>
          <w:rFonts w:ascii="Times New Roman" w:hAnsi="Times New Roman" w:cs="Times New Roman"/>
          <w:color w:val="000000" w:themeColor="text1"/>
        </w:rPr>
      </w:pPr>
      <w:r w:rsidRPr="00B3220C">
        <w:rPr>
          <w:rFonts w:ascii="Times New Roman" w:hAnsi="Times New Roman" w:cs="Times New Roman"/>
          <w:color w:val="000000" w:themeColor="text1"/>
        </w:rPr>
        <w:t xml:space="preserve">The indices in </w:t>
      </w:r>
      <w:hyperlink w:anchor="tbl-fit">
        <w:r w:rsidRPr="00B3220C">
          <w:rPr>
            <w:rStyle w:val="Hyperlink"/>
            <w:rFonts w:ascii="Times New Roman" w:hAnsi="Times New Roman" w:cs="Times New Roman"/>
            <w:color w:val="000000" w:themeColor="text1"/>
          </w:rPr>
          <w:t>Table 3</w:t>
        </w:r>
      </w:hyperlink>
      <w:r w:rsidRPr="00B3220C">
        <w:rPr>
          <w:rFonts w:ascii="Times New Roman" w:hAnsi="Times New Roman" w:cs="Times New Roman"/>
          <w:color w:val="000000" w:themeColor="text1"/>
        </w:rPr>
        <w:t xml:space="preserve"> all illustrate a good fit for both models. Specifically, the RMSEA statistic is at 0.05 in the CNS model and &lt; 0.08 in the NEP model. The CFI is &gt; 0.90 i</w:t>
      </w:r>
      <w:r w:rsidR="00FA1CF8">
        <w:rPr>
          <w:rFonts w:ascii="Times New Roman" w:hAnsi="Times New Roman" w:cs="Times New Roman"/>
          <w:color w:val="000000" w:themeColor="text1"/>
        </w:rPr>
        <w:t>n</w:t>
      </w:r>
      <w:r w:rsidRPr="00B3220C">
        <w:rPr>
          <w:rFonts w:ascii="Times New Roman" w:hAnsi="Times New Roman" w:cs="Times New Roman"/>
          <w:color w:val="000000" w:themeColor="text1"/>
        </w:rPr>
        <w:t xml:space="preserve"> both models, and the SRMR is &lt; 0.08 i</w:t>
      </w:r>
      <w:r w:rsidR="00FA1CF8">
        <w:rPr>
          <w:rFonts w:ascii="Times New Roman" w:hAnsi="Times New Roman" w:cs="Times New Roman"/>
          <w:color w:val="000000" w:themeColor="text1"/>
        </w:rPr>
        <w:t>n</w:t>
      </w:r>
      <w:r w:rsidRPr="00B3220C">
        <w:rPr>
          <w:rFonts w:ascii="Times New Roman" w:hAnsi="Times New Roman" w:cs="Times New Roman"/>
          <w:color w:val="000000" w:themeColor="text1"/>
        </w:rPr>
        <w:t xml:space="preserve"> both models</w:t>
      </w:r>
      <w:r w:rsidR="00FA1CF8">
        <w:rPr>
          <w:rFonts w:ascii="Times New Roman" w:hAnsi="Times New Roman" w:cs="Times New Roman"/>
          <w:color w:val="000000" w:themeColor="text1"/>
        </w:rPr>
        <w:t xml:space="preserve"> </w:t>
      </w:r>
      <w:r w:rsidR="00FA1CF8">
        <w:rPr>
          <w:rFonts w:ascii="Times New Roman" w:hAnsi="Times New Roman" w:cs="Times New Roman"/>
          <w:color w:val="000000" w:themeColor="text1"/>
        </w:rPr>
        <w:fldChar w:fldCharType="begin"/>
      </w:r>
      <w:r w:rsidR="00FA1CF8">
        <w:rPr>
          <w:rFonts w:ascii="Times New Roman" w:hAnsi="Times New Roman" w:cs="Times New Roman"/>
          <w:color w:val="000000" w:themeColor="text1"/>
        </w:rPr>
        <w:instrText xml:space="preserve"> ADDIN ZOTERO_ITEM CSL_CITATION {"citationID":"AZF6a3fj","properties":{"formattedCitation":"(Schreiber et al. 2006)","plainCitation":"(Schreiber et al. 2006)","noteIndex":0},"citationItems":[{"id":8349,"uris":["http://zotero.org/users/36952/items/94D6T3FR"],"itemData":{"id":8349,"type":"article-journal","abstract":"ABSTRACT The authors provide a basic set of guidelines and recommendations for information that should be included in any manuscript that has confirmatory factor analysis or structural equation modeling as the primary statistical analysis technique. The authors provide an introduction to both techniques, along with sample analyses, recommendations for reporting, evaluation of articles in The Journal of Educational Research using these techniques, and concluding remarks.","container-title":"The Journal of Educational Research","DOI":"10.3200/JOER.99.6.323-338","ISSN":"0022-0671","issue":"6","note":"Citation Key: schreiberReportingStructuralEquation2006","page":"323-338","source":"Taylor and Francis","title":"Reporting Structural Equation Modeling and Confirmatory Factor Analysis Results: A Review","title-short":"Reporting Structural Equation Modeling and Confirmatory Factor Analysis Results","volume":"99","author":[{"family":"Schreiber","given":"James B."},{"family":"Nora","given":"Amaury"},{"family":"Stage","given":"Frances K."},{"family":"Barlow","given":"Elizabeth A."},{"family":"King","given":"Jamie"}],"issued":{"date-parts":[["2006"]]},"citation-key":"schreiberReportingStructuralEquation2006"}}],"schema":"https://github.com/citation-style-language/schema/raw/master/csl-citation.json"} </w:instrText>
      </w:r>
      <w:r w:rsidR="00FA1CF8">
        <w:rPr>
          <w:rFonts w:ascii="Times New Roman" w:hAnsi="Times New Roman" w:cs="Times New Roman"/>
          <w:color w:val="000000" w:themeColor="text1"/>
        </w:rPr>
        <w:fldChar w:fldCharType="separate"/>
      </w:r>
      <w:r w:rsidR="00FA1CF8">
        <w:rPr>
          <w:rFonts w:ascii="Times New Roman" w:hAnsi="Times New Roman" w:cs="Times New Roman"/>
          <w:noProof/>
          <w:color w:val="000000" w:themeColor="text1"/>
        </w:rPr>
        <w:t>(Schreiber et al. 2006)</w:t>
      </w:r>
      <w:r w:rsidR="00FA1CF8">
        <w:rPr>
          <w:rFonts w:ascii="Times New Roman" w:hAnsi="Times New Roman" w:cs="Times New Roman"/>
          <w:color w:val="000000" w:themeColor="text1"/>
        </w:rPr>
        <w:fldChar w:fldCharType="end"/>
      </w:r>
      <w:r w:rsidRPr="00B3220C">
        <w:rPr>
          <w:rFonts w:ascii="Times New Roman" w:hAnsi="Times New Roman" w:cs="Times New Roman"/>
          <w:color w:val="000000" w:themeColor="text1"/>
        </w:rPr>
        <w:t xml:space="preserve">. However, the model with the CNS had a lower </w:t>
      </w:r>
      <m:oMath>
        <m:sSup>
          <m:sSupPr>
            <m:ctrlPr>
              <w:rPr>
                <w:rFonts w:ascii="Cambria Math" w:hAnsi="Cambria Math" w:cs="Times New Roman"/>
                <w:color w:val="000000" w:themeColor="text1"/>
              </w:rPr>
            </m:ctrlPr>
          </m:sSupPr>
          <m:e>
            <m:r>
              <w:rPr>
                <w:rFonts w:ascii="Cambria Math" w:hAnsi="Cambria Math" w:cs="Times New Roman"/>
                <w:color w:val="000000" w:themeColor="text1"/>
              </w:rPr>
              <m:t>χ</m:t>
            </m:r>
          </m:e>
          <m:sup>
            <m:r>
              <w:rPr>
                <w:rFonts w:ascii="Cambria Math" w:hAnsi="Cambria Math" w:cs="Times New Roman"/>
                <w:color w:val="000000" w:themeColor="text1"/>
              </w:rPr>
              <m:t>2</m:t>
            </m:r>
          </m:sup>
        </m:sSup>
      </m:oMath>
      <w:r w:rsidRPr="00B3220C">
        <w:rPr>
          <w:rFonts w:ascii="Times New Roman" w:hAnsi="Times New Roman" w:cs="Times New Roman"/>
          <w:color w:val="000000" w:themeColor="text1"/>
        </w:rPr>
        <w:t>, RMSEA, and SRMR as well as a higher CFI, all of which indicates that the model with the CNS is a better fit to the data than the NEP model.</w:t>
      </w:r>
    </w:p>
    <w:p w14:paraId="76913159" w14:textId="0CBCC2E0" w:rsidR="00B6088A" w:rsidRPr="00B3220C" w:rsidRDefault="00B6088A" w:rsidP="00B6088A">
      <w:pPr>
        <w:pStyle w:val="BodyText"/>
        <w:rPr>
          <w:rFonts w:ascii="Times New Roman" w:hAnsi="Times New Roman" w:cs="Times New Roman"/>
          <w:color w:val="000000" w:themeColor="text1"/>
        </w:rPr>
      </w:pPr>
      <w:r w:rsidRPr="00B3220C">
        <w:rPr>
          <w:rFonts w:ascii="Times New Roman" w:hAnsi="Times New Roman" w:cs="Times New Roman"/>
          <w:color w:val="000000" w:themeColor="text1"/>
        </w:rPr>
        <w:t xml:space="preserve">Finally, we use </w:t>
      </w:r>
      <w:proofErr w:type="spellStart"/>
      <w:r w:rsidRPr="00B3220C">
        <w:rPr>
          <w:rStyle w:val="VerbatimChar"/>
          <w:rFonts w:ascii="Times New Roman" w:hAnsi="Times New Roman" w:cs="Times New Roman"/>
          <w:color w:val="000000" w:themeColor="text1"/>
          <w:sz w:val="24"/>
        </w:rPr>
        <w:t>lavaan</w:t>
      </w:r>
      <w:proofErr w:type="spellEnd"/>
      <w:r w:rsidRPr="00B3220C">
        <w:rPr>
          <w:rFonts w:ascii="Times New Roman" w:hAnsi="Times New Roman" w:cs="Times New Roman"/>
          <w:color w:val="000000" w:themeColor="text1"/>
        </w:rPr>
        <w:t xml:space="preserve"> </w:t>
      </w:r>
      <w:r w:rsidR="007629AB">
        <w:rPr>
          <w:rFonts w:ascii="Times New Roman" w:hAnsi="Times New Roman" w:cs="Times New Roman"/>
          <w:color w:val="000000" w:themeColor="text1"/>
        </w:rPr>
        <w:t xml:space="preserve">(Rosseel 2012) </w:t>
      </w:r>
      <w:r w:rsidRPr="00B3220C">
        <w:rPr>
          <w:rFonts w:ascii="Times New Roman" w:hAnsi="Times New Roman" w:cs="Times New Roman"/>
          <w:color w:val="000000" w:themeColor="text1"/>
        </w:rPr>
        <w:t xml:space="preserve">in </w:t>
      </w:r>
      <w:r w:rsidRPr="00B3220C">
        <w:rPr>
          <w:rStyle w:val="VerbatimChar"/>
          <w:rFonts w:ascii="Times New Roman" w:hAnsi="Times New Roman" w:cs="Times New Roman"/>
          <w:color w:val="000000" w:themeColor="text1"/>
          <w:sz w:val="24"/>
        </w:rPr>
        <w:t>R</w:t>
      </w:r>
      <w:r w:rsidRPr="00B3220C">
        <w:rPr>
          <w:rFonts w:ascii="Times New Roman" w:hAnsi="Times New Roman" w:cs="Times New Roman"/>
          <w:color w:val="000000" w:themeColor="text1"/>
        </w:rPr>
        <w:t xml:space="preserve"> to perform a mediation analysis to test our hypotheses that environmental orientation mediates the relationship between egalitarianism and behaviors and communitarianism and behaviors (H3 and H4). Mediation analysis accounts for the effects of cultural cognition on environmental behavior (</w:t>
      </w:r>
      <w:r w:rsidRPr="00B3220C">
        <w:rPr>
          <w:rFonts w:ascii="Times New Roman" w:hAnsi="Times New Roman" w:cs="Times New Roman"/>
          <w:i/>
          <w:iCs/>
          <w:color w:val="000000" w:themeColor="text1"/>
        </w:rPr>
        <w:t>direct effects</w:t>
      </w:r>
      <w:r w:rsidRPr="00B3220C">
        <w:rPr>
          <w:rFonts w:ascii="Times New Roman" w:hAnsi="Times New Roman" w:cs="Times New Roman"/>
          <w:color w:val="000000" w:themeColor="text1"/>
        </w:rPr>
        <w:t>), the mediation effect of cultural cognition operating through environmental orientation (</w:t>
      </w:r>
      <w:r w:rsidRPr="00B3220C">
        <w:rPr>
          <w:rFonts w:ascii="Times New Roman" w:hAnsi="Times New Roman" w:cs="Times New Roman"/>
          <w:i/>
          <w:iCs/>
          <w:color w:val="000000" w:themeColor="text1"/>
        </w:rPr>
        <w:t>indirect effects</w:t>
      </w:r>
      <w:r w:rsidRPr="00B3220C">
        <w:rPr>
          <w:rFonts w:ascii="Times New Roman" w:hAnsi="Times New Roman" w:cs="Times New Roman"/>
          <w:color w:val="000000" w:themeColor="text1"/>
        </w:rPr>
        <w:t>), and the combined effects of cultural cognition and environmental orientation on behavior (</w:t>
      </w:r>
      <w:r w:rsidRPr="00B3220C">
        <w:rPr>
          <w:rFonts w:ascii="Times New Roman" w:hAnsi="Times New Roman" w:cs="Times New Roman"/>
          <w:i/>
          <w:iCs/>
          <w:color w:val="000000" w:themeColor="text1"/>
        </w:rPr>
        <w:t>total effects</w:t>
      </w:r>
      <w:r w:rsidRPr="00B3220C">
        <w:rPr>
          <w:rFonts w:ascii="Times New Roman" w:hAnsi="Times New Roman" w:cs="Times New Roman"/>
          <w:color w:val="000000" w:themeColor="text1"/>
        </w:rPr>
        <w:t xml:space="preserve">). The indirect effect is calculated by multiplying the path (a) from cultural cognition to environmental orientation and the path (b) from environmental orientation to behaviors. The total effect is calculated by adding the indirect and direct effects together. The results of the mediation analysis are shown in </w:t>
      </w:r>
      <w:hyperlink w:anchor="tbl-med">
        <w:r w:rsidRPr="00B3220C">
          <w:rPr>
            <w:rStyle w:val="Hyperlink"/>
            <w:rFonts w:ascii="Times New Roman" w:hAnsi="Times New Roman" w:cs="Times New Roman"/>
            <w:color w:val="000000" w:themeColor="text1"/>
          </w:rPr>
          <w:t>Table 4</w:t>
        </w:r>
      </w:hyperlink>
      <w:r w:rsidRPr="00B3220C">
        <w:rPr>
          <w:rFonts w:ascii="Times New Roman" w:hAnsi="Times New Roman" w:cs="Times New Roman"/>
          <w:color w:val="000000" w:themeColor="text1"/>
        </w:rPr>
        <w:t>.</w:t>
      </w:r>
    </w:p>
    <w:p w14:paraId="701C18EA" w14:textId="34FC6A86" w:rsidR="00B6088A" w:rsidRDefault="00B6088A">
      <w:r>
        <w:t xml:space="preserve">Table 4 about here </w:t>
      </w:r>
    </w:p>
    <w:p w14:paraId="7C3CC239" w14:textId="37D32D40" w:rsidR="00B6088A" w:rsidRPr="007629AB" w:rsidRDefault="00B6088A" w:rsidP="007629AB">
      <w:pPr>
        <w:pStyle w:val="FirstParagraph"/>
        <w:rPr>
          <w:color w:val="000000" w:themeColor="text1"/>
        </w:rPr>
      </w:pPr>
      <w:hyperlink w:anchor="tbl-med">
        <w:r w:rsidRPr="00B3220C">
          <w:rPr>
            <w:rStyle w:val="Hyperlink"/>
            <w:rFonts w:ascii="Times New Roman" w:hAnsi="Times New Roman" w:cs="Times New Roman"/>
            <w:color w:val="000000" w:themeColor="text1"/>
          </w:rPr>
          <w:t>Table 4</w:t>
        </w:r>
      </w:hyperlink>
      <w:r w:rsidRPr="00B3220C">
        <w:rPr>
          <w:rFonts w:ascii="Times New Roman" w:hAnsi="Times New Roman" w:cs="Times New Roman"/>
          <w:color w:val="000000" w:themeColor="text1"/>
        </w:rPr>
        <w:t xml:space="preserve"> shows the standardized effects for the significant paths from the models shown in </w:t>
      </w:r>
      <w:hyperlink w:anchor="fig-semCNS">
        <w:r w:rsidRPr="00B3220C">
          <w:rPr>
            <w:rStyle w:val="Hyperlink"/>
            <w:rFonts w:ascii="Times New Roman" w:hAnsi="Times New Roman" w:cs="Times New Roman"/>
            <w:color w:val="000000" w:themeColor="text1"/>
          </w:rPr>
          <w:t>Figure 2</w:t>
        </w:r>
      </w:hyperlink>
      <w:r w:rsidRPr="00B3220C">
        <w:rPr>
          <w:rFonts w:ascii="Times New Roman" w:hAnsi="Times New Roman" w:cs="Times New Roman"/>
          <w:color w:val="000000" w:themeColor="text1"/>
        </w:rPr>
        <w:t xml:space="preserve"> and </w:t>
      </w:r>
      <w:hyperlink w:anchor="fig-semNEP">
        <w:r w:rsidRPr="00B3220C">
          <w:rPr>
            <w:rStyle w:val="Hyperlink"/>
            <w:rFonts w:ascii="Times New Roman" w:hAnsi="Times New Roman" w:cs="Times New Roman"/>
            <w:color w:val="000000" w:themeColor="text1"/>
          </w:rPr>
          <w:t>Figure 3</w:t>
        </w:r>
      </w:hyperlink>
      <w:r w:rsidRPr="00B3220C">
        <w:rPr>
          <w:rFonts w:ascii="Times New Roman" w:hAnsi="Times New Roman" w:cs="Times New Roman"/>
          <w:color w:val="000000" w:themeColor="text1"/>
        </w:rPr>
        <w:t xml:space="preserve">. Looking first to the results with the CNS, the indirect effect of egalitarianism is 0.118, which is the standardized coefficient of egalitarianism </w:t>
      </w:r>
      <m:oMath>
        <m:r>
          <m:rPr>
            <m:sty m:val="p"/>
          </m:rPr>
          <w:rPr>
            <w:rFonts w:ascii="Cambria Math" w:hAnsi="Cambria Math" w:cs="Times New Roman"/>
            <w:color w:val="000000" w:themeColor="text1"/>
          </w:rPr>
          <m:t>→</m:t>
        </m:r>
      </m:oMath>
      <w:r w:rsidRPr="00B3220C">
        <w:rPr>
          <w:rFonts w:ascii="Times New Roman" w:hAnsi="Times New Roman" w:cs="Times New Roman"/>
          <w:color w:val="000000" w:themeColor="text1"/>
        </w:rPr>
        <w:t xml:space="preserve"> CNS, 0.28, multiplied by the standardized coefficient of CNS </w:t>
      </w:r>
      <m:oMath>
        <m:r>
          <m:rPr>
            <m:sty m:val="p"/>
          </m:rPr>
          <w:rPr>
            <w:rFonts w:ascii="Cambria Math" w:hAnsi="Cambria Math" w:cs="Times New Roman"/>
            <w:color w:val="000000" w:themeColor="text1"/>
          </w:rPr>
          <m:t>→</m:t>
        </m:r>
      </m:oMath>
      <w:r w:rsidRPr="00B3220C">
        <w:rPr>
          <w:rFonts w:ascii="Times New Roman" w:hAnsi="Times New Roman" w:cs="Times New Roman"/>
          <w:color w:val="000000" w:themeColor="text1"/>
        </w:rPr>
        <w:t xml:space="preserve"> behaviors, 0.42. The direct effect of egalitarianism </w:t>
      </w:r>
      <m:oMath>
        <m:r>
          <m:rPr>
            <m:sty m:val="p"/>
          </m:rPr>
          <w:rPr>
            <w:rFonts w:ascii="Cambria Math" w:hAnsi="Cambria Math" w:cs="Times New Roman"/>
            <w:color w:val="000000" w:themeColor="text1"/>
          </w:rPr>
          <m:t>→</m:t>
        </m:r>
      </m:oMath>
      <w:r w:rsidRPr="00B3220C">
        <w:rPr>
          <w:rFonts w:ascii="Times New Roman" w:hAnsi="Times New Roman" w:cs="Times New Roman"/>
          <w:color w:val="000000" w:themeColor="text1"/>
        </w:rPr>
        <w:t xml:space="preserve"> behaviors is 0.189, and the total effect (0.118+0.189) is 0.307. Each effect is statistically significant and support</w:t>
      </w:r>
      <w:r>
        <w:rPr>
          <w:rFonts w:ascii="Times New Roman" w:hAnsi="Times New Roman" w:cs="Times New Roman"/>
          <w:color w:val="000000" w:themeColor="text1"/>
        </w:rPr>
        <w:t>s</w:t>
      </w:r>
      <w:r w:rsidRPr="00B3220C">
        <w:rPr>
          <w:rFonts w:ascii="Times New Roman" w:hAnsi="Times New Roman" w:cs="Times New Roman"/>
          <w:color w:val="000000" w:themeColor="text1"/>
        </w:rPr>
        <w:t xml:space="preserve"> H3. For communitarianism and CNS</w:t>
      </w:r>
      <w:r>
        <w:rPr>
          <w:rFonts w:ascii="Times New Roman" w:hAnsi="Times New Roman" w:cs="Times New Roman"/>
          <w:color w:val="000000" w:themeColor="text1"/>
        </w:rPr>
        <w:t>,</w:t>
      </w:r>
      <w:r w:rsidRPr="00B3220C">
        <w:rPr>
          <w:rFonts w:ascii="Times New Roman" w:hAnsi="Times New Roman" w:cs="Times New Roman"/>
          <w:color w:val="000000" w:themeColor="text1"/>
        </w:rPr>
        <w:t xml:space="preserve"> the indirect effect of 0.078 is significant and the total of 0.111 effect is significant a p &lt; 0.1. Finally, for the NEP model, the indirect effect of egalitarianism, 0.118, is significant and the total effect is significant.</w:t>
      </w:r>
    </w:p>
    <w:p w14:paraId="62DD143C" w14:textId="77777777" w:rsidR="005376A8" w:rsidRDefault="005376A8" w:rsidP="005376A8">
      <w:pPr>
        <w:rPr>
          <w:b/>
          <w:bCs/>
        </w:rPr>
      </w:pPr>
      <w:bookmarkStart w:id="2" w:name="discussion"/>
    </w:p>
    <w:p w14:paraId="28940C24" w14:textId="78B51011" w:rsidR="005376A8" w:rsidRDefault="005376A8" w:rsidP="005376A8">
      <w:pPr>
        <w:rPr>
          <w:b/>
          <w:bCs/>
        </w:rPr>
      </w:pPr>
      <w:r>
        <w:rPr>
          <w:b/>
          <w:bCs/>
        </w:rPr>
        <w:t xml:space="preserve">5 </w:t>
      </w:r>
      <w:r w:rsidRPr="005376A8">
        <w:rPr>
          <w:b/>
          <w:bCs/>
        </w:rPr>
        <w:t>Discussion</w:t>
      </w:r>
    </w:p>
    <w:p w14:paraId="356660D5" w14:textId="77777777" w:rsidR="0034157C" w:rsidRPr="005376A8" w:rsidRDefault="0034157C" w:rsidP="005376A8">
      <w:pPr>
        <w:rPr>
          <w:b/>
          <w:bCs/>
        </w:rPr>
      </w:pPr>
    </w:p>
    <w:p w14:paraId="1F5B0226" w14:textId="21E336AC" w:rsidR="000A4DD3" w:rsidRDefault="001E6252" w:rsidP="005376A8">
      <w:r>
        <w:t xml:space="preserve">Scholars have noted a gap between attitudes and beliefs about the environment and pro-environmental behavior. Additionally, cultural worldviews derived from cultural cognition, specifically egalitarianism and </w:t>
      </w:r>
      <w:r w:rsidR="000A4DD3">
        <w:t>communitarianism</w:t>
      </w:r>
      <w:r>
        <w:t xml:space="preserve">, have been shown to inform views about several environment issues as well as overall attitude toward the environment. But </w:t>
      </w:r>
      <w:r w:rsidR="00CD454C">
        <w:t xml:space="preserve">previous research has not found a connection between cultural worldviews and environmental behavior. </w:t>
      </w:r>
      <w:r>
        <w:t>In this paper, w</w:t>
      </w:r>
      <w:r w:rsidR="00CD454C">
        <w:t xml:space="preserve">e developed and tested a conceptual model, based on previous research, where cultural worldviews influence environmental orientations and </w:t>
      </w:r>
      <w:r w:rsidR="000A4DD3">
        <w:t>behaviors,</w:t>
      </w:r>
      <w:r w:rsidR="00CD454C">
        <w:t xml:space="preserve"> and environmental orientations </w:t>
      </w:r>
      <w:r w:rsidR="000A4DD3">
        <w:t>influence behaviors. Additionally, w</w:t>
      </w:r>
      <w:r w:rsidR="005376A8" w:rsidRPr="005376A8">
        <w:t>e examined the mediation effects of environmental orientations on the relationship between cultural cognition</w:t>
      </w:r>
      <w:r w:rsidR="000A4DD3">
        <w:t xml:space="preserve"> </w:t>
      </w:r>
      <w:r w:rsidR="005376A8" w:rsidRPr="005376A8">
        <w:t>and pro-environmental behaviors.</w:t>
      </w:r>
      <w:r w:rsidR="00D5562D">
        <w:t xml:space="preserve"> </w:t>
      </w:r>
      <w:r w:rsidR="000A4DD3">
        <w:t xml:space="preserve">Environmental orientations were measured in terms of attitudes, using the NEP, and the emotional connection to nature, using the CNS. We used SEM to test each of our </w:t>
      </w:r>
      <w:r w:rsidR="000A4DD3" w:rsidRPr="000A4DD3">
        <w:t>hypotheses</w:t>
      </w:r>
      <w:r w:rsidR="000A4DD3">
        <w:t xml:space="preserve">. </w:t>
      </w:r>
    </w:p>
    <w:p w14:paraId="07383598" w14:textId="77777777" w:rsidR="000A4DD3" w:rsidRDefault="000A4DD3" w:rsidP="005376A8"/>
    <w:p w14:paraId="601A873F" w14:textId="463C5011" w:rsidR="000A4DD3" w:rsidRDefault="000A4DD3" w:rsidP="005376A8">
      <w:r>
        <w:t xml:space="preserve">We posited that egalitarianism and communitarianism would be positively associated with environmental orientations and environmental behavior (H1 a and b, H2 a and b). We found mixed results for our hypotheses. As expected, egalitarianism is associated with </w:t>
      </w:r>
      <w:r w:rsidR="00293D6B">
        <w:t xml:space="preserve">both the CNS and NEP; however, egalitarianism was only associated with behavior in the CNS model. However, communitarianism was associated with environmental orientation only in the CNS model and not associated with behaviors in either model.  </w:t>
      </w:r>
    </w:p>
    <w:p w14:paraId="66312CFD" w14:textId="77777777" w:rsidR="000A4DD3" w:rsidRDefault="000A4DD3" w:rsidP="005376A8"/>
    <w:p w14:paraId="52A28B55" w14:textId="300300B6" w:rsidR="005376A8" w:rsidRPr="005376A8" w:rsidRDefault="00293D6B" w:rsidP="005376A8">
      <w:r>
        <w:t xml:space="preserve">Additionally, we posited that environmental orientations mediate the relationships between egalitarianism (H3) and communitarianism (H4) and pro-environmental behaviors. </w:t>
      </w:r>
      <w:r w:rsidR="00D5562D">
        <w:t>As expected,</w:t>
      </w:r>
      <w:r w:rsidR="007B6873">
        <w:t xml:space="preserve"> both the NEP and the CNS significantly mediate the relationship between </w:t>
      </w:r>
      <w:r w:rsidR="000D20C8">
        <w:t xml:space="preserve">both </w:t>
      </w:r>
      <w:r w:rsidR="007B6873">
        <w:t>egalitarianism</w:t>
      </w:r>
      <w:r w:rsidR="000D20C8">
        <w:t xml:space="preserve"> and communitarianism,</w:t>
      </w:r>
      <w:r w:rsidR="007B6873">
        <w:t xml:space="preserve"> and environmentally protective behavior. </w:t>
      </w:r>
      <w:r w:rsidR="00070263">
        <w:t>As far as we know, this is a novel finding. While previous studies have shown a relationship between cultural cognition and environmental orientation (</w:t>
      </w:r>
      <w:r w:rsidR="000A171C">
        <w:t>Nowlin, 201</w:t>
      </w:r>
      <w:r w:rsidR="007C0535">
        <w:t>9</w:t>
      </w:r>
      <w:r w:rsidR="00070263">
        <w:t xml:space="preserve">) none have included a mediation analysis. Along with the results of the structural equation </w:t>
      </w:r>
      <w:r w:rsidR="0034157C">
        <w:t>modeling</w:t>
      </w:r>
      <w:r w:rsidR="00070263">
        <w:t>, this helps us understand cultural cognition as an antecedent of environmental orientation and fill some of the attitude-behavior gap.</w:t>
      </w:r>
    </w:p>
    <w:p w14:paraId="512D2FE3" w14:textId="77777777" w:rsidR="00427EA5" w:rsidRDefault="00427EA5" w:rsidP="005376A8"/>
    <w:p w14:paraId="2CEBF6AC" w14:textId="58EC6A74" w:rsidR="002C2D6D" w:rsidRDefault="005376A8" w:rsidP="005376A8">
      <w:r w:rsidRPr="005376A8">
        <w:t xml:space="preserve">We also found that the Connectedness to Nature Scale </w:t>
      </w:r>
      <w:r w:rsidR="002B3E27">
        <w:t xml:space="preserve">likely </w:t>
      </w:r>
      <w:r w:rsidRPr="005376A8">
        <w:t>had more predictive power regarding environmental behaviors than the NEP</w:t>
      </w:r>
      <w:r w:rsidR="002B3E27">
        <w:t xml:space="preserve"> based on the model fit statistics in Table 3</w:t>
      </w:r>
      <w:r w:rsidRPr="005376A8">
        <w:t>.</w:t>
      </w:r>
      <w:r w:rsidR="00070263">
        <w:t xml:space="preserve"> This finding is in line with work showing that the </w:t>
      </w:r>
      <w:r w:rsidR="002420CF">
        <w:t xml:space="preserve">CNS </w:t>
      </w:r>
      <w:r w:rsidR="00070263">
        <w:t>is a stronger predictor than the NEP (Sparks et al, 202</w:t>
      </w:r>
      <w:r w:rsidR="000F2CBA">
        <w:t>1</w:t>
      </w:r>
      <w:r w:rsidR="00070263">
        <w:t xml:space="preserve">). </w:t>
      </w:r>
    </w:p>
    <w:p w14:paraId="78923B5E" w14:textId="77777777" w:rsidR="002C2D6D" w:rsidRDefault="002C2D6D" w:rsidP="005376A8"/>
    <w:p w14:paraId="0B4C948B" w14:textId="432CE8F0" w:rsidR="002C2D6D" w:rsidRDefault="002C2D6D" w:rsidP="005376A8">
      <w:r>
        <w:t xml:space="preserve">There are </w:t>
      </w:r>
      <w:r w:rsidR="00427EA5">
        <w:t>at least two</w:t>
      </w:r>
      <w:r>
        <w:t xml:space="preserve"> potential reasons for the CNS displaying more power than the NEP to influence behavior, which we are only able to speculate about in the present study. First, prior work has demonstrated a slow decline in environmental concern as measured by the NEP (Lou et al, 2022). Lou and colleagues do not provide evidence for why this may be happening, only show through meta-analysis this downward trend. We are not aware of a similar study tracking CNS over time, but that may prove a fruitful avenue for further study. If it is only the NEP that is declining over time, that may indicate that the measurement instrument is becoming outdated, potentially because of shifts over time making the distinction between the dominant social paradigm and the new ecological paradigm les</w:t>
      </w:r>
      <w:r w:rsidR="00427EA5">
        <w:t>s</w:t>
      </w:r>
      <w:r>
        <w:t xml:space="preserve"> apt. For example, many see technological </w:t>
      </w:r>
      <w:r w:rsidR="00427EA5">
        <w:t xml:space="preserve">innovation </w:t>
      </w:r>
      <w:r>
        <w:t xml:space="preserve">as the key to unlocking a new green economy, rather than </w:t>
      </w:r>
      <w:r w:rsidR="00427EA5">
        <w:t>destroying the earth. Relatedly, perhaps the language used in the NEP has just become outmoded and out of line with how environmentalists currently would express environmental attitude (see Sparks et al, 2022 for a discussion of this).</w:t>
      </w:r>
    </w:p>
    <w:p w14:paraId="6C8F5DA6" w14:textId="77777777" w:rsidR="002C2D6D" w:rsidRDefault="002C2D6D" w:rsidP="005376A8"/>
    <w:p w14:paraId="490F423A" w14:textId="0A75EEEA" w:rsidR="00427EA5" w:rsidRDefault="00427EA5" w:rsidP="005376A8">
      <w:r>
        <w:t xml:space="preserve">Second, </w:t>
      </w:r>
      <w:r w:rsidR="00FD36A0">
        <w:t xml:space="preserve">this may be a result of the CNS </w:t>
      </w:r>
      <w:r>
        <w:t xml:space="preserve">and NEP measuring two distinct concepts that can be grouped under the umbrella of environmental orientation. The NEP is explicitly a measure of </w:t>
      </w:r>
      <w:proofErr w:type="gramStart"/>
      <w:r>
        <w:t>environmental-attitude</w:t>
      </w:r>
      <w:proofErr w:type="gramEnd"/>
      <w:r>
        <w:t xml:space="preserve"> while CNS is a measure of emotional connection to nature. </w:t>
      </w:r>
      <w:r w:rsidR="00101583">
        <w:t xml:space="preserve">For example, a recent study found that harnessing the right mix of emotions is a powerful motivator of climate action (Kovacs et al, 2024). </w:t>
      </w:r>
    </w:p>
    <w:bookmarkEnd w:id="2"/>
    <w:p w14:paraId="000558BC" w14:textId="55364E97" w:rsidR="00E60947" w:rsidRDefault="00E60947"/>
    <w:p w14:paraId="1F71DEC9" w14:textId="503524E7" w:rsidR="005376A8" w:rsidRDefault="005376A8">
      <w:pPr>
        <w:rPr>
          <w:b/>
          <w:bCs/>
        </w:rPr>
      </w:pPr>
      <w:r>
        <w:rPr>
          <w:b/>
          <w:bCs/>
        </w:rPr>
        <w:t>6 Conclusion</w:t>
      </w:r>
    </w:p>
    <w:p w14:paraId="21D59C8B" w14:textId="1AE3462F" w:rsidR="00F608AC" w:rsidRDefault="00F608AC">
      <w:pPr>
        <w:rPr>
          <w:b/>
          <w:bCs/>
        </w:rPr>
      </w:pPr>
    </w:p>
    <w:p w14:paraId="32239902" w14:textId="3A845B43" w:rsidR="007C0E0E" w:rsidRDefault="00035D91">
      <w:r>
        <w:t>In this paper</w:t>
      </w:r>
      <w:r w:rsidR="00FD36A0">
        <w:t>,</w:t>
      </w:r>
      <w:r>
        <w:t xml:space="preserve"> we examined the relationship between cultural cognition, environmental orientation, and </w:t>
      </w:r>
      <w:r w:rsidR="00FD36A0">
        <w:t>pro-environmental</w:t>
      </w:r>
      <w:r>
        <w:t xml:space="preserve"> behavior. We presented evidence that cultural cognition, </w:t>
      </w:r>
      <w:r>
        <w:lastRenderedPageBreak/>
        <w:t xml:space="preserve">egalitarianism not communitarianism, </w:t>
      </w:r>
      <w:r w:rsidR="007C0E0E">
        <w:t>is best thought of a</w:t>
      </w:r>
      <w:r>
        <w:t xml:space="preserve">s an indirect predictor </w:t>
      </w:r>
      <w:r w:rsidR="00FD36A0">
        <w:t xml:space="preserve">of </w:t>
      </w:r>
      <w:r w:rsidR="007C0E0E">
        <w:t>pro-environmental behavior. The relationship was mediated by pro-environmental orientation as measured by both the NEP and the CNS.</w:t>
      </w:r>
    </w:p>
    <w:p w14:paraId="2FFF7524" w14:textId="77777777" w:rsidR="007C0E0E" w:rsidRDefault="007C0E0E"/>
    <w:p w14:paraId="7E4D903C" w14:textId="6E50938A" w:rsidR="007C0E0E" w:rsidRDefault="007C0E0E">
      <w:r>
        <w:t>Because cultural cognition shapes how an individual responds to risk (</w:t>
      </w:r>
      <w:r w:rsidR="00AA687C">
        <w:t>e.g.,</w:t>
      </w:r>
      <w:r>
        <w:t xml:space="preserve"> Kahan et al, 2012), it was something of a puzzle as to why it only weakly correlates to behavior that protects the environment – an action that can be seen </w:t>
      </w:r>
      <w:proofErr w:type="gramStart"/>
      <w:r>
        <w:t>as a way to</w:t>
      </w:r>
      <w:proofErr w:type="gramEnd"/>
      <w:r>
        <w:t xml:space="preserve"> reduce environmental risk to the individual. The evidence we presented in this paper suggests that environmental orientation – whether attitude (NEP) or emotional connection (CNS</w:t>
      </w:r>
      <w:r w:rsidR="000A171C">
        <w:t>)</w:t>
      </w:r>
      <w:r>
        <w:t xml:space="preserve"> – is a missing link in this relationship.</w:t>
      </w:r>
    </w:p>
    <w:p w14:paraId="136FEDB3" w14:textId="77777777" w:rsidR="007C0E0E" w:rsidRDefault="007C0E0E"/>
    <w:p w14:paraId="623C6928" w14:textId="77777777" w:rsidR="007C0E0E" w:rsidRDefault="007C0E0E">
      <w:r>
        <w:t>Further, by explaining behavior with a mediation model we could close some of the so-called attitude-behavior gap. When cultural cognition and environmental orientation are aligned, people are more likely to engage in environmentally protective behavior.</w:t>
      </w:r>
    </w:p>
    <w:p w14:paraId="535DC47D" w14:textId="77777777" w:rsidR="007C0E0E" w:rsidRDefault="007C0E0E"/>
    <w:p w14:paraId="1C0829B5" w14:textId="2BB745E2" w:rsidR="00D5562D" w:rsidRDefault="007C0E0E">
      <w:pPr>
        <w:rPr>
          <w:b/>
          <w:bCs/>
        </w:rPr>
      </w:pPr>
      <w:r>
        <w:t xml:space="preserve">Another implication of this study is further evidence that CNS is a stronger predictor of behavior than NEP. This may be useful for researchers trying to decide which measure of pro-environmental orientation to include in their questionnaire. We would like to see further testing of this </w:t>
      </w:r>
      <w:r w:rsidR="00903049">
        <w:t>finding in studies in other contexts and through meta-analytic techniques.</w:t>
      </w:r>
      <w:r w:rsidR="00D5562D">
        <w:rPr>
          <w:b/>
          <w:bCs/>
        </w:rPr>
        <w:br w:type="page"/>
      </w:r>
    </w:p>
    <w:p w14:paraId="66DFA99C" w14:textId="77777777" w:rsidR="00F608AC" w:rsidRDefault="00F608AC">
      <w:pPr>
        <w:rPr>
          <w:b/>
          <w:bCs/>
        </w:rPr>
      </w:pPr>
    </w:p>
    <w:p w14:paraId="59061F8E" w14:textId="480FCCF8" w:rsidR="00D5562D" w:rsidRDefault="00F608AC">
      <w:pPr>
        <w:rPr>
          <w:b/>
          <w:bCs/>
        </w:rPr>
      </w:pPr>
      <w:r>
        <w:rPr>
          <w:b/>
          <w:bCs/>
        </w:rPr>
        <w:t>References</w:t>
      </w:r>
    </w:p>
    <w:p w14:paraId="26FFDC18" w14:textId="77777777" w:rsidR="00D5562D" w:rsidRPr="00AD5F01" w:rsidRDefault="00D5562D" w:rsidP="00D5562D">
      <w:pPr>
        <w:ind w:left="720" w:hanging="720"/>
        <w:rPr>
          <w:color w:val="222222"/>
          <w:shd w:val="clear" w:color="auto" w:fill="FFFFFF"/>
        </w:rPr>
      </w:pPr>
      <w:r w:rsidRPr="00AD5F01">
        <w:rPr>
          <w:color w:val="222222"/>
          <w:shd w:val="clear" w:color="auto" w:fill="FFFFFF"/>
        </w:rPr>
        <w:t>Boudet, H., Clarke, C., Bugden, D., Maibach, E., Roser-Renouf, C., &amp; Leiserowitz, A. (2014). “Fracking” controversy and communication: Using national survey data to understand public perceptions of hydraulic fracturing. </w:t>
      </w:r>
      <w:r w:rsidRPr="00AD5F01">
        <w:rPr>
          <w:i/>
          <w:iCs/>
          <w:color w:val="222222"/>
          <w:shd w:val="clear" w:color="auto" w:fill="FFFFFF"/>
        </w:rPr>
        <w:t>Energy Policy</w:t>
      </w:r>
      <w:r w:rsidRPr="00AD5F01">
        <w:rPr>
          <w:color w:val="222222"/>
          <w:shd w:val="clear" w:color="auto" w:fill="FFFFFF"/>
        </w:rPr>
        <w:t>, </w:t>
      </w:r>
      <w:r w:rsidRPr="00AD5F01">
        <w:rPr>
          <w:i/>
          <w:iCs/>
          <w:color w:val="222222"/>
          <w:shd w:val="clear" w:color="auto" w:fill="FFFFFF"/>
        </w:rPr>
        <w:t>65</w:t>
      </w:r>
      <w:r w:rsidRPr="00AD5F01">
        <w:rPr>
          <w:color w:val="222222"/>
          <w:shd w:val="clear" w:color="auto" w:fill="FFFFFF"/>
        </w:rPr>
        <w:t>, 57-67.</w:t>
      </w:r>
    </w:p>
    <w:p w14:paraId="40AB58DD" w14:textId="77777777" w:rsidR="00D5562D" w:rsidRPr="00AD5F01" w:rsidRDefault="00D5562D" w:rsidP="00D5562D">
      <w:pPr>
        <w:ind w:left="720" w:hanging="720"/>
        <w:rPr>
          <w:color w:val="222222"/>
          <w:shd w:val="clear" w:color="auto" w:fill="FFFFFF"/>
        </w:rPr>
      </w:pPr>
    </w:p>
    <w:p w14:paraId="3613BC9D" w14:textId="77777777" w:rsidR="00AF2A79" w:rsidRDefault="00D5562D" w:rsidP="00AF2A79">
      <w:pPr>
        <w:ind w:left="720" w:hanging="720"/>
        <w:rPr>
          <w:color w:val="222222"/>
          <w:shd w:val="clear" w:color="auto" w:fill="FFFFFF"/>
        </w:rPr>
      </w:pPr>
      <w:r w:rsidRPr="00AD5F01">
        <w:rPr>
          <w:color w:val="222222"/>
          <w:shd w:val="clear" w:color="auto" w:fill="FFFFFF"/>
        </w:rPr>
        <w:t>Brick, C., &amp; Lewis, G. J. (2016). Unearthing the “green” personality: Core traits predict environmentally friendly behavior. </w:t>
      </w:r>
      <w:r w:rsidRPr="00AD5F01">
        <w:rPr>
          <w:i/>
          <w:iCs/>
          <w:color w:val="222222"/>
          <w:shd w:val="clear" w:color="auto" w:fill="FFFFFF"/>
        </w:rPr>
        <w:t>Environment and Behavior</w:t>
      </w:r>
      <w:r w:rsidRPr="00AD5F01">
        <w:rPr>
          <w:color w:val="222222"/>
          <w:shd w:val="clear" w:color="auto" w:fill="FFFFFF"/>
        </w:rPr>
        <w:t>, </w:t>
      </w:r>
      <w:r w:rsidRPr="00AD5F01">
        <w:rPr>
          <w:i/>
          <w:iCs/>
          <w:color w:val="222222"/>
          <w:shd w:val="clear" w:color="auto" w:fill="FFFFFF"/>
        </w:rPr>
        <w:t>48</w:t>
      </w:r>
      <w:r w:rsidRPr="00AD5F01">
        <w:rPr>
          <w:color w:val="222222"/>
          <w:shd w:val="clear" w:color="auto" w:fill="FFFFFF"/>
        </w:rPr>
        <w:t>(5), 635-658.</w:t>
      </w:r>
    </w:p>
    <w:p w14:paraId="27FB8A0B" w14:textId="77777777" w:rsidR="00AF2A79" w:rsidRDefault="00AF2A79" w:rsidP="00AF2A79">
      <w:pPr>
        <w:ind w:left="720" w:hanging="720"/>
        <w:rPr>
          <w:color w:val="222222"/>
          <w:shd w:val="clear" w:color="auto" w:fill="FFFFFF"/>
        </w:rPr>
      </w:pPr>
    </w:p>
    <w:p w14:paraId="5288D5A7" w14:textId="2E37A682" w:rsidR="00AF2A79" w:rsidRPr="00AF2A79" w:rsidRDefault="00AF2A79" w:rsidP="00AF2A79">
      <w:pPr>
        <w:ind w:left="720" w:hanging="720"/>
        <w:rPr>
          <w:color w:val="222222"/>
          <w:shd w:val="clear" w:color="auto" w:fill="FFFFFF"/>
        </w:rPr>
      </w:pPr>
      <w:r w:rsidRPr="00AF2A79">
        <w:rPr>
          <w:rFonts w:eastAsia="Times New Roman"/>
          <w:kern w:val="0"/>
          <w14:ligatures w14:val="none"/>
        </w:rPr>
        <w:t xml:space="preserve">Douglas, M., &amp; Wildavsky, A. (1982). </w:t>
      </w:r>
      <w:r w:rsidRPr="00AF2A79">
        <w:rPr>
          <w:rFonts w:eastAsia="Times New Roman"/>
          <w:i/>
          <w:iCs/>
          <w:kern w:val="0"/>
          <w14:ligatures w14:val="none"/>
        </w:rPr>
        <w:t>Risk and Culture: An Essay on the Selection of Technological and Environmental Dangers</w:t>
      </w:r>
      <w:r w:rsidRPr="00AF2A79">
        <w:rPr>
          <w:rFonts w:eastAsia="Times New Roman"/>
          <w:kern w:val="0"/>
          <w14:ligatures w14:val="none"/>
        </w:rPr>
        <w:t>. University of California Press.</w:t>
      </w:r>
    </w:p>
    <w:p w14:paraId="68E81A66" w14:textId="77777777" w:rsidR="00D5562D" w:rsidRPr="00AD5F01" w:rsidRDefault="00D5562D" w:rsidP="00D5562D">
      <w:pPr>
        <w:ind w:left="720" w:hanging="720"/>
        <w:rPr>
          <w:color w:val="222222"/>
          <w:shd w:val="clear" w:color="auto" w:fill="FFFFFF"/>
        </w:rPr>
      </w:pPr>
    </w:p>
    <w:p w14:paraId="2B49A681" w14:textId="77777777" w:rsidR="00D5562D" w:rsidRPr="00AD5F01" w:rsidRDefault="00D5562D" w:rsidP="00D5562D">
      <w:pPr>
        <w:ind w:left="720" w:hanging="720"/>
        <w:rPr>
          <w:color w:val="222222"/>
          <w:shd w:val="clear" w:color="auto" w:fill="FFFFFF"/>
        </w:rPr>
      </w:pPr>
      <w:r w:rsidRPr="00AD5F01">
        <w:rPr>
          <w:color w:val="222222"/>
          <w:shd w:val="clear" w:color="auto" w:fill="FFFFFF"/>
        </w:rPr>
        <w:t xml:space="preserve">Dunlap, R. E., Van Liere, K. D., </w:t>
      </w:r>
      <w:proofErr w:type="spellStart"/>
      <w:r w:rsidRPr="00AD5F01">
        <w:rPr>
          <w:color w:val="222222"/>
          <w:shd w:val="clear" w:color="auto" w:fill="FFFFFF"/>
        </w:rPr>
        <w:t>Mertig</w:t>
      </w:r>
      <w:proofErr w:type="spellEnd"/>
      <w:r w:rsidRPr="00AD5F01">
        <w:rPr>
          <w:color w:val="222222"/>
          <w:shd w:val="clear" w:color="auto" w:fill="FFFFFF"/>
        </w:rPr>
        <w:t>, A. G., &amp; Jones, R. E. (2000). New trends in measuring environmental attitudes: measuring endorsement of the new ecological paradigm: a revised NEP scale. </w:t>
      </w:r>
      <w:r w:rsidRPr="00AD5F01">
        <w:rPr>
          <w:i/>
          <w:iCs/>
          <w:color w:val="222222"/>
          <w:shd w:val="clear" w:color="auto" w:fill="FFFFFF"/>
        </w:rPr>
        <w:t>Journal of social issues</w:t>
      </w:r>
      <w:r w:rsidRPr="00AD5F01">
        <w:rPr>
          <w:color w:val="222222"/>
          <w:shd w:val="clear" w:color="auto" w:fill="FFFFFF"/>
        </w:rPr>
        <w:t>, </w:t>
      </w:r>
      <w:r w:rsidRPr="00AD5F01">
        <w:rPr>
          <w:i/>
          <w:iCs/>
          <w:color w:val="222222"/>
          <w:shd w:val="clear" w:color="auto" w:fill="FFFFFF"/>
        </w:rPr>
        <w:t>56</w:t>
      </w:r>
      <w:r w:rsidRPr="00AD5F01">
        <w:rPr>
          <w:color w:val="222222"/>
          <w:shd w:val="clear" w:color="auto" w:fill="FFFFFF"/>
        </w:rPr>
        <w:t>(3), 425-442.</w:t>
      </w:r>
    </w:p>
    <w:p w14:paraId="43856879" w14:textId="77777777" w:rsidR="00D5562D" w:rsidRPr="00AD5F01" w:rsidRDefault="00D5562D" w:rsidP="00D5562D">
      <w:pPr>
        <w:ind w:left="720" w:hanging="720"/>
      </w:pPr>
    </w:p>
    <w:p w14:paraId="5D18007D" w14:textId="7464A735" w:rsidR="003553D9" w:rsidRDefault="003553D9" w:rsidP="00D5562D">
      <w:pPr>
        <w:ind w:left="720" w:hanging="720"/>
      </w:pPr>
      <w:r w:rsidRPr="003553D9">
        <w:t xml:space="preserve">Gifford, R., &amp; Nilsson, A. (2014). Personal and social factors that influence pro‐environmental concern and </w:t>
      </w:r>
      <w:proofErr w:type="spellStart"/>
      <w:r w:rsidRPr="003553D9">
        <w:t>behaviour</w:t>
      </w:r>
      <w:proofErr w:type="spellEnd"/>
      <w:r w:rsidRPr="003553D9">
        <w:t>: A review. </w:t>
      </w:r>
      <w:r w:rsidRPr="003553D9">
        <w:rPr>
          <w:i/>
          <w:iCs/>
        </w:rPr>
        <w:t>International journal of psychology</w:t>
      </w:r>
      <w:r w:rsidRPr="003553D9">
        <w:t>, </w:t>
      </w:r>
      <w:r w:rsidRPr="003553D9">
        <w:rPr>
          <w:i/>
          <w:iCs/>
        </w:rPr>
        <w:t>49</w:t>
      </w:r>
      <w:r w:rsidRPr="003553D9">
        <w:t>(3), 141-157.</w:t>
      </w:r>
    </w:p>
    <w:p w14:paraId="78CCE428" w14:textId="77777777" w:rsidR="003553D9" w:rsidRDefault="003553D9" w:rsidP="00D5562D">
      <w:pPr>
        <w:ind w:left="720" w:hanging="720"/>
      </w:pPr>
    </w:p>
    <w:p w14:paraId="48E478F1" w14:textId="77777777" w:rsidR="00AF2A79" w:rsidRDefault="00D5562D" w:rsidP="00AF2A79">
      <w:pPr>
        <w:ind w:left="720" w:hanging="720"/>
      </w:pPr>
      <w:proofErr w:type="spellStart"/>
      <w:r w:rsidRPr="00AD5F01">
        <w:t>Grendstad</w:t>
      </w:r>
      <w:proofErr w:type="spellEnd"/>
      <w:r w:rsidRPr="00AD5F01">
        <w:t>, G. (1999) The new ecological paradigm scale: Examination and scale analysis</w:t>
      </w:r>
      <w:proofErr w:type="gramStart"/>
      <w:r w:rsidRPr="00AD5F01">
        <w:t>, ,</w:t>
      </w:r>
      <w:proofErr w:type="gramEnd"/>
      <w:r w:rsidRPr="00AD5F01">
        <w:t xml:space="preserve"> 8:4, 194-205, DOI: 10.1080/09644019908414503</w:t>
      </w:r>
    </w:p>
    <w:p w14:paraId="0876DA31" w14:textId="77777777" w:rsidR="00075DC9" w:rsidRDefault="00075DC9" w:rsidP="00AF2A79">
      <w:pPr>
        <w:ind w:left="720" w:hanging="720"/>
      </w:pPr>
    </w:p>
    <w:p w14:paraId="4D85A399" w14:textId="58A4222E" w:rsidR="00B6088A" w:rsidRPr="007629AB" w:rsidRDefault="00B6088A" w:rsidP="00EF41B2">
      <w:pPr>
        <w:pStyle w:val="Bibliography"/>
        <w:rPr>
          <w:rFonts w:ascii="Times New Roman" w:hAnsi="Times New Roman" w:cs="Times New Roman"/>
          <w:color w:val="000000" w:themeColor="text1"/>
        </w:rPr>
      </w:pPr>
      <w:bookmarkStart w:id="3" w:name="ref-hairPrimerPartialLeast2015"/>
      <w:r w:rsidRPr="00B3220C">
        <w:rPr>
          <w:rFonts w:ascii="Times New Roman" w:hAnsi="Times New Roman" w:cs="Times New Roman"/>
          <w:color w:val="000000" w:themeColor="text1"/>
        </w:rPr>
        <w:t xml:space="preserve">Hair, Joseph Franklin, G. Tomas M. Hult, Christian M. Ringle, and Marko Sarstedt. 2015. 38 </w:t>
      </w:r>
      <w:r w:rsidRPr="00B3220C">
        <w:rPr>
          <w:rFonts w:ascii="Times New Roman" w:hAnsi="Times New Roman" w:cs="Times New Roman"/>
          <w:i/>
          <w:iCs/>
          <w:color w:val="000000" w:themeColor="text1"/>
        </w:rPr>
        <w:t>A Primer on Partial Least Squares Structural Equation Modeling (PLS-SEM)</w:t>
      </w:r>
      <w:r w:rsidRPr="00B3220C">
        <w:rPr>
          <w:rFonts w:ascii="Times New Roman" w:hAnsi="Times New Roman" w:cs="Times New Roman"/>
          <w:color w:val="000000" w:themeColor="text1"/>
        </w:rPr>
        <w:t>. Los Angeles, CA: SAGE Publications.</w:t>
      </w:r>
      <w:bookmarkEnd w:id="3"/>
    </w:p>
    <w:p w14:paraId="32360DBB" w14:textId="77777777" w:rsidR="00AF2A79" w:rsidRDefault="00AF2A79" w:rsidP="00AF2A79">
      <w:pPr>
        <w:ind w:left="720" w:hanging="720"/>
      </w:pPr>
    </w:p>
    <w:p w14:paraId="67E042FE" w14:textId="00009A8F" w:rsidR="00AF2A79" w:rsidRPr="00AF2A79" w:rsidRDefault="00AF2A79" w:rsidP="00AF2A79">
      <w:pPr>
        <w:ind w:left="720" w:hanging="720"/>
      </w:pPr>
      <w:r w:rsidRPr="00AF2A79">
        <w:rPr>
          <w:rFonts w:eastAsia="Times New Roman"/>
          <w:kern w:val="0"/>
          <w14:ligatures w14:val="none"/>
        </w:rPr>
        <w:t xml:space="preserve">Jenkins-Smith, H. C., &amp; Smith, W. K. (1994). Ideology, Culture, and Risk Perception. In D. J. Coyle &amp; R. J. Ellis, (Eds.), </w:t>
      </w:r>
      <w:r w:rsidRPr="00AF2A79">
        <w:rPr>
          <w:rFonts w:eastAsia="Times New Roman"/>
          <w:i/>
          <w:iCs/>
          <w:kern w:val="0"/>
          <w14:ligatures w14:val="none"/>
        </w:rPr>
        <w:t>Politics, Policy, and Culture</w:t>
      </w:r>
      <w:r w:rsidRPr="00AF2A79">
        <w:rPr>
          <w:rFonts w:eastAsia="Times New Roman"/>
          <w:kern w:val="0"/>
          <w14:ligatures w14:val="none"/>
        </w:rPr>
        <w:t xml:space="preserve"> (pp. 17–32). Westview Press.</w:t>
      </w:r>
    </w:p>
    <w:p w14:paraId="485B43E5" w14:textId="77777777" w:rsidR="00D5562D" w:rsidRPr="00AD5F01" w:rsidRDefault="00D5562D" w:rsidP="00AF2A79">
      <w:pPr>
        <w:rPr>
          <w:color w:val="222222"/>
          <w:shd w:val="clear" w:color="auto" w:fill="FFFFFF"/>
        </w:rPr>
      </w:pPr>
    </w:p>
    <w:p w14:paraId="296DBB12" w14:textId="77777777" w:rsidR="00AF2A79" w:rsidRDefault="00AF2A79" w:rsidP="007629AB">
      <w:pPr>
        <w:rPr>
          <w:color w:val="222222"/>
          <w:shd w:val="clear" w:color="auto" w:fill="FFFFFF"/>
        </w:rPr>
      </w:pPr>
    </w:p>
    <w:p w14:paraId="63E2173E" w14:textId="336AF60A" w:rsidR="00AF2A79" w:rsidRPr="00AF2A79" w:rsidRDefault="00AF2A79" w:rsidP="00AF2A79">
      <w:pPr>
        <w:ind w:left="720" w:hanging="720"/>
        <w:rPr>
          <w:color w:val="222222"/>
          <w:shd w:val="clear" w:color="auto" w:fill="FFFFFF"/>
        </w:rPr>
      </w:pPr>
      <w:r w:rsidRPr="00AF2A79">
        <w:rPr>
          <w:rFonts w:eastAsia="Times New Roman"/>
          <w:kern w:val="0"/>
          <w14:ligatures w14:val="none"/>
        </w:rPr>
        <w:t xml:space="preserve">Jones, M. D. (2011). Leading the Way to Compromise? Cultural Theory and Climate Change Opinion. </w:t>
      </w:r>
      <w:r w:rsidRPr="00AF2A79">
        <w:rPr>
          <w:rFonts w:eastAsia="Times New Roman"/>
          <w:i/>
          <w:iCs/>
          <w:kern w:val="0"/>
          <w14:ligatures w14:val="none"/>
        </w:rPr>
        <w:t>PS: Political Science &amp; Politics</w:t>
      </w:r>
      <w:r w:rsidRPr="00AF2A79">
        <w:rPr>
          <w:rFonts w:eastAsia="Times New Roman"/>
          <w:kern w:val="0"/>
          <w14:ligatures w14:val="none"/>
        </w:rPr>
        <w:t xml:space="preserve">, </w:t>
      </w:r>
      <w:r w:rsidRPr="00AF2A79">
        <w:rPr>
          <w:rFonts w:eastAsia="Times New Roman"/>
          <w:i/>
          <w:iCs/>
          <w:kern w:val="0"/>
          <w14:ligatures w14:val="none"/>
        </w:rPr>
        <w:t>44</w:t>
      </w:r>
      <w:r w:rsidRPr="00AF2A79">
        <w:rPr>
          <w:rFonts w:eastAsia="Times New Roman"/>
          <w:kern w:val="0"/>
          <w14:ligatures w14:val="none"/>
        </w:rPr>
        <w:t>(04), 720–725.</w:t>
      </w:r>
    </w:p>
    <w:p w14:paraId="4335F71F" w14:textId="77777777" w:rsidR="00D5562D" w:rsidRPr="00AD5F01" w:rsidRDefault="00D5562D" w:rsidP="00AF2A79">
      <w:pPr>
        <w:rPr>
          <w:color w:val="222222"/>
          <w:shd w:val="clear" w:color="auto" w:fill="FFFFFF"/>
        </w:rPr>
      </w:pPr>
    </w:p>
    <w:p w14:paraId="4FEF8401" w14:textId="77777777" w:rsidR="00AF2A79" w:rsidRDefault="00D5562D" w:rsidP="00AF2A79">
      <w:pPr>
        <w:ind w:left="720" w:hanging="720"/>
        <w:rPr>
          <w:color w:val="222222"/>
          <w:shd w:val="clear" w:color="auto" w:fill="FFFFFF"/>
        </w:rPr>
      </w:pPr>
      <w:r w:rsidRPr="00AD5F01">
        <w:rPr>
          <w:color w:val="222222"/>
          <w:shd w:val="clear" w:color="auto" w:fill="FFFFFF"/>
        </w:rPr>
        <w:t>Kahan, D. (2012). Why we are poles apart on climate change. </w:t>
      </w:r>
      <w:r w:rsidRPr="00AD5F01">
        <w:rPr>
          <w:i/>
          <w:iCs/>
          <w:color w:val="222222"/>
          <w:shd w:val="clear" w:color="auto" w:fill="FFFFFF"/>
        </w:rPr>
        <w:t>Nature</w:t>
      </w:r>
      <w:r w:rsidRPr="00AD5F01">
        <w:rPr>
          <w:color w:val="222222"/>
          <w:shd w:val="clear" w:color="auto" w:fill="FFFFFF"/>
        </w:rPr>
        <w:t>, </w:t>
      </w:r>
      <w:r w:rsidRPr="00AD5F01">
        <w:rPr>
          <w:i/>
          <w:iCs/>
          <w:color w:val="222222"/>
          <w:shd w:val="clear" w:color="auto" w:fill="FFFFFF"/>
        </w:rPr>
        <w:t>488</w:t>
      </w:r>
      <w:r w:rsidRPr="00AD5F01">
        <w:rPr>
          <w:color w:val="222222"/>
          <w:shd w:val="clear" w:color="auto" w:fill="FFFFFF"/>
        </w:rPr>
        <w:t>(7411), 255-255.</w:t>
      </w:r>
    </w:p>
    <w:p w14:paraId="6F0B6F2C" w14:textId="77777777" w:rsidR="00AF2A79" w:rsidRDefault="00AF2A79" w:rsidP="00AF2A79">
      <w:pPr>
        <w:ind w:left="720" w:hanging="720"/>
        <w:rPr>
          <w:color w:val="222222"/>
          <w:shd w:val="clear" w:color="auto" w:fill="FFFFFF"/>
        </w:rPr>
      </w:pPr>
    </w:p>
    <w:p w14:paraId="22348875" w14:textId="77777777" w:rsidR="00AF2A79" w:rsidRDefault="00AF2A79" w:rsidP="00AF2A79">
      <w:pPr>
        <w:ind w:left="720" w:hanging="720"/>
        <w:rPr>
          <w:color w:val="222222"/>
          <w:shd w:val="clear" w:color="auto" w:fill="FFFFFF"/>
        </w:rPr>
      </w:pPr>
      <w:r w:rsidRPr="00AF2A79">
        <w:rPr>
          <w:rFonts w:eastAsia="Times New Roman"/>
          <w:kern w:val="0"/>
          <w14:ligatures w14:val="none"/>
        </w:rPr>
        <w:t xml:space="preserve">Kahan, D. M. (2012). Cultural Cognition as a Conception of the Cultural Theory of Risk. In S. Roeser, R. </w:t>
      </w:r>
      <w:proofErr w:type="spellStart"/>
      <w:r w:rsidRPr="00AF2A79">
        <w:rPr>
          <w:rFonts w:eastAsia="Times New Roman"/>
          <w:kern w:val="0"/>
          <w14:ligatures w14:val="none"/>
        </w:rPr>
        <w:t>Hillerbrand</w:t>
      </w:r>
      <w:proofErr w:type="spellEnd"/>
      <w:r w:rsidRPr="00AF2A79">
        <w:rPr>
          <w:rFonts w:eastAsia="Times New Roman"/>
          <w:kern w:val="0"/>
          <w14:ligatures w14:val="none"/>
        </w:rPr>
        <w:t xml:space="preserve">, P. Sandin, &amp; M. Peterson (Eds.), </w:t>
      </w:r>
      <w:r w:rsidRPr="00AF2A79">
        <w:rPr>
          <w:rFonts w:eastAsia="Times New Roman"/>
          <w:i/>
          <w:iCs/>
          <w:kern w:val="0"/>
          <w14:ligatures w14:val="none"/>
        </w:rPr>
        <w:t>Handbook of Risk Theory: Epistemology, Decision Theory, Ethics, and Social Implications of Risk</w:t>
      </w:r>
      <w:r w:rsidRPr="00AF2A79">
        <w:rPr>
          <w:rFonts w:eastAsia="Times New Roman"/>
          <w:kern w:val="0"/>
          <w14:ligatures w14:val="none"/>
        </w:rPr>
        <w:t xml:space="preserve"> (pp. 725–759). Springer.</w:t>
      </w:r>
    </w:p>
    <w:p w14:paraId="0F7F4FE0" w14:textId="77777777" w:rsidR="00AF2A79" w:rsidRDefault="00AF2A79" w:rsidP="00AF2A79">
      <w:pPr>
        <w:ind w:left="720" w:hanging="720"/>
        <w:rPr>
          <w:color w:val="222222"/>
          <w:shd w:val="clear" w:color="auto" w:fill="FFFFFF"/>
        </w:rPr>
      </w:pPr>
    </w:p>
    <w:p w14:paraId="66119780" w14:textId="5463B0B7" w:rsidR="00D5562D" w:rsidRPr="00AD5F01" w:rsidRDefault="00D5562D" w:rsidP="00AF2A79">
      <w:pPr>
        <w:ind w:left="720" w:hanging="720"/>
        <w:rPr>
          <w:color w:val="222222"/>
          <w:shd w:val="clear" w:color="auto" w:fill="FFFFFF"/>
        </w:rPr>
      </w:pPr>
      <w:r w:rsidRPr="00AD5F01">
        <w:rPr>
          <w:color w:val="222222"/>
          <w:shd w:val="clear" w:color="auto" w:fill="FFFFFF"/>
        </w:rPr>
        <w:t>Kahan, D. M., &amp; Braman, D. (2006). Cultural cognition and public policy. </w:t>
      </w:r>
      <w:r w:rsidRPr="00AD5F01">
        <w:rPr>
          <w:i/>
          <w:iCs/>
          <w:color w:val="222222"/>
          <w:shd w:val="clear" w:color="auto" w:fill="FFFFFF"/>
        </w:rPr>
        <w:t xml:space="preserve">Yale L. &amp; </w:t>
      </w:r>
      <w:proofErr w:type="spellStart"/>
      <w:r w:rsidRPr="00AD5F01">
        <w:rPr>
          <w:i/>
          <w:iCs/>
          <w:color w:val="222222"/>
          <w:shd w:val="clear" w:color="auto" w:fill="FFFFFF"/>
        </w:rPr>
        <w:t>Pol'y</w:t>
      </w:r>
      <w:proofErr w:type="spellEnd"/>
      <w:r w:rsidRPr="00AD5F01">
        <w:rPr>
          <w:i/>
          <w:iCs/>
          <w:color w:val="222222"/>
          <w:shd w:val="clear" w:color="auto" w:fill="FFFFFF"/>
        </w:rPr>
        <w:t xml:space="preserve"> Rev.</w:t>
      </w:r>
      <w:r w:rsidRPr="00AD5F01">
        <w:rPr>
          <w:color w:val="222222"/>
          <w:shd w:val="clear" w:color="auto" w:fill="FFFFFF"/>
        </w:rPr>
        <w:t>, </w:t>
      </w:r>
      <w:r w:rsidRPr="00AD5F01">
        <w:rPr>
          <w:i/>
          <w:iCs/>
          <w:color w:val="222222"/>
          <w:shd w:val="clear" w:color="auto" w:fill="FFFFFF"/>
        </w:rPr>
        <w:t>24</w:t>
      </w:r>
      <w:r w:rsidRPr="00AD5F01">
        <w:rPr>
          <w:color w:val="222222"/>
          <w:shd w:val="clear" w:color="auto" w:fill="FFFFFF"/>
        </w:rPr>
        <w:t>, 149.</w:t>
      </w:r>
    </w:p>
    <w:p w14:paraId="4BEDF3D3" w14:textId="77777777" w:rsidR="00D5562D" w:rsidRPr="00AD5F01" w:rsidRDefault="00D5562D" w:rsidP="00D5562D">
      <w:pPr>
        <w:ind w:left="720" w:hanging="720"/>
        <w:rPr>
          <w:color w:val="222222"/>
          <w:shd w:val="clear" w:color="auto" w:fill="FFFFFF"/>
        </w:rPr>
      </w:pPr>
    </w:p>
    <w:p w14:paraId="02AFB5D4" w14:textId="77777777" w:rsidR="00D5562D" w:rsidRPr="00AD5F01" w:rsidRDefault="00D5562D" w:rsidP="00D5562D">
      <w:pPr>
        <w:ind w:left="720" w:hanging="720"/>
        <w:rPr>
          <w:color w:val="222222"/>
          <w:shd w:val="clear" w:color="auto" w:fill="FFFFFF"/>
        </w:rPr>
      </w:pPr>
      <w:r w:rsidRPr="00AD5F01">
        <w:rPr>
          <w:color w:val="222222"/>
          <w:shd w:val="clear" w:color="auto" w:fill="FFFFFF"/>
        </w:rPr>
        <w:t xml:space="preserve">Kahan, D. M., Braman, D., </w:t>
      </w:r>
      <w:proofErr w:type="spellStart"/>
      <w:r w:rsidRPr="00AD5F01">
        <w:rPr>
          <w:color w:val="222222"/>
          <w:shd w:val="clear" w:color="auto" w:fill="FFFFFF"/>
        </w:rPr>
        <w:t>Gastil</w:t>
      </w:r>
      <w:proofErr w:type="spellEnd"/>
      <w:r w:rsidRPr="00AD5F01">
        <w:rPr>
          <w:color w:val="222222"/>
          <w:shd w:val="clear" w:color="auto" w:fill="FFFFFF"/>
        </w:rPr>
        <w:t>, J., Slovic, P., &amp; Mertz, C. K. (2007). Culture and identity‐protective cognition: Explaining the white‐male effect in risk perception. </w:t>
      </w:r>
      <w:r w:rsidRPr="00AD5F01">
        <w:rPr>
          <w:i/>
          <w:iCs/>
          <w:color w:val="222222"/>
          <w:shd w:val="clear" w:color="auto" w:fill="FFFFFF"/>
        </w:rPr>
        <w:t>Journal of Empirical Legal Studies</w:t>
      </w:r>
      <w:r w:rsidRPr="00AD5F01">
        <w:rPr>
          <w:color w:val="222222"/>
          <w:shd w:val="clear" w:color="auto" w:fill="FFFFFF"/>
        </w:rPr>
        <w:t>, </w:t>
      </w:r>
      <w:r w:rsidRPr="00AD5F01">
        <w:rPr>
          <w:i/>
          <w:iCs/>
          <w:color w:val="222222"/>
          <w:shd w:val="clear" w:color="auto" w:fill="FFFFFF"/>
        </w:rPr>
        <w:t>4</w:t>
      </w:r>
      <w:r w:rsidRPr="00AD5F01">
        <w:rPr>
          <w:color w:val="222222"/>
          <w:shd w:val="clear" w:color="auto" w:fill="FFFFFF"/>
        </w:rPr>
        <w:t>(3), 465-505.</w:t>
      </w:r>
    </w:p>
    <w:p w14:paraId="449C15E8" w14:textId="77777777" w:rsidR="00D5562D" w:rsidRPr="00AD5F01" w:rsidRDefault="00D5562D" w:rsidP="007629AB">
      <w:pPr>
        <w:rPr>
          <w:color w:val="222222"/>
          <w:shd w:val="clear" w:color="auto" w:fill="FFFFFF"/>
        </w:rPr>
      </w:pPr>
    </w:p>
    <w:p w14:paraId="3301486A" w14:textId="77777777" w:rsidR="00D5562D" w:rsidRPr="00AD5F01" w:rsidRDefault="00D5562D" w:rsidP="00D5562D">
      <w:pPr>
        <w:ind w:left="720" w:hanging="720"/>
        <w:rPr>
          <w:color w:val="222222"/>
          <w:shd w:val="clear" w:color="auto" w:fill="FFFFFF"/>
        </w:rPr>
      </w:pPr>
      <w:r w:rsidRPr="00AD5F01">
        <w:rPr>
          <w:color w:val="222222"/>
          <w:shd w:val="clear" w:color="auto" w:fill="FFFFFF"/>
        </w:rPr>
        <w:t>Kahan, D. M., Jenkins-Smith, H., Tarantola, T., Silva, C. L., &amp; Braman, D. (2015). Geoengineering and climate change polarization: Testing a two-channel model of science communication. </w:t>
      </w:r>
      <w:r w:rsidRPr="00AD5F01">
        <w:rPr>
          <w:i/>
          <w:iCs/>
          <w:color w:val="222222"/>
          <w:shd w:val="clear" w:color="auto" w:fill="FFFFFF"/>
        </w:rPr>
        <w:t>The ANNALS of the American Academy of Political and Social Science</w:t>
      </w:r>
      <w:r w:rsidRPr="00AD5F01">
        <w:rPr>
          <w:color w:val="222222"/>
          <w:shd w:val="clear" w:color="auto" w:fill="FFFFFF"/>
        </w:rPr>
        <w:t>, </w:t>
      </w:r>
      <w:r w:rsidRPr="00AD5F01">
        <w:rPr>
          <w:i/>
          <w:iCs/>
          <w:color w:val="222222"/>
          <w:shd w:val="clear" w:color="auto" w:fill="FFFFFF"/>
        </w:rPr>
        <w:t>658</w:t>
      </w:r>
      <w:r w:rsidRPr="00AD5F01">
        <w:rPr>
          <w:color w:val="222222"/>
          <w:shd w:val="clear" w:color="auto" w:fill="FFFFFF"/>
        </w:rPr>
        <w:t>(1), 192-222.</w:t>
      </w:r>
    </w:p>
    <w:p w14:paraId="5343C9E5" w14:textId="77777777" w:rsidR="00D5562D" w:rsidRPr="00AD5F01" w:rsidRDefault="00D5562D" w:rsidP="00D5562D">
      <w:pPr>
        <w:ind w:left="720" w:hanging="720"/>
        <w:rPr>
          <w:color w:val="222222"/>
          <w:shd w:val="clear" w:color="auto" w:fill="FFFFFF"/>
        </w:rPr>
      </w:pPr>
    </w:p>
    <w:p w14:paraId="6AA549A7" w14:textId="77777777" w:rsidR="00D5562D" w:rsidRPr="00AD5F01" w:rsidRDefault="00D5562D" w:rsidP="00D5562D">
      <w:pPr>
        <w:ind w:left="720" w:hanging="720"/>
        <w:rPr>
          <w:color w:val="222222"/>
          <w:shd w:val="clear" w:color="auto" w:fill="FFFFFF"/>
        </w:rPr>
      </w:pPr>
      <w:r w:rsidRPr="00AD5F01">
        <w:rPr>
          <w:color w:val="222222"/>
          <w:shd w:val="clear" w:color="auto" w:fill="FFFFFF"/>
        </w:rPr>
        <w:t>Kahan, D. M., Peters, E., Wittlin, M., Slovic, P., Ouellette, L. L., Braman, D., &amp; Mandel, G. (2012). The polarizing impact of science literacy and numeracy on perceived climate change risks. </w:t>
      </w:r>
      <w:r w:rsidRPr="00AD5F01">
        <w:rPr>
          <w:i/>
          <w:iCs/>
          <w:color w:val="222222"/>
          <w:shd w:val="clear" w:color="auto" w:fill="FFFFFF"/>
        </w:rPr>
        <w:t>Nature climate change</w:t>
      </w:r>
      <w:r w:rsidRPr="00AD5F01">
        <w:rPr>
          <w:color w:val="222222"/>
          <w:shd w:val="clear" w:color="auto" w:fill="FFFFFF"/>
        </w:rPr>
        <w:t>, </w:t>
      </w:r>
      <w:r w:rsidRPr="00AD5F01">
        <w:rPr>
          <w:i/>
          <w:iCs/>
          <w:color w:val="222222"/>
          <w:shd w:val="clear" w:color="auto" w:fill="FFFFFF"/>
        </w:rPr>
        <w:t>2</w:t>
      </w:r>
      <w:r w:rsidRPr="00AD5F01">
        <w:rPr>
          <w:color w:val="222222"/>
          <w:shd w:val="clear" w:color="auto" w:fill="FFFFFF"/>
        </w:rPr>
        <w:t>(10), 732-735.</w:t>
      </w:r>
    </w:p>
    <w:p w14:paraId="36AC4193" w14:textId="77777777" w:rsidR="00836FE0" w:rsidRDefault="00836FE0" w:rsidP="00836FE0">
      <w:pPr>
        <w:ind w:left="720" w:hanging="720"/>
        <w:rPr>
          <w:color w:val="222222"/>
          <w:shd w:val="clear" w:color="auto" w:fill="FFFFFF"/>
        </w:rPr>
      </w:pPr>
    </w:p>
    <w:p w14:paraId="04EDBCF4" w14:textId="60805791" w:rsidR="00836FE0" w:rsidRDefault="00836FE0" w:rsidP="00836FE0">
      <w:pPr>
        <w:ind w:left="720" w:hanging="720"/>
        <w:rPr>
          <w:color w:val="222222"/>
          <w:shd w:val="clear" w:color="auto" w:fill="FFFFFF"/>
        </w:rPr>
      </w:pPr>
      <w:r w:rsidRPr="00836FE0">
        <w:rPr>
          <w:color w:val="222222"/>
          <w:shd w:val="clear" w:color="auto" w:fill="FFFFFF"/>
        </w:rPr>
        <w:t>Kaiser, F. G., Kibbe, A., &amp; Hentschke, L. (2021). Offsetting behavioral costs with personal attitudes: A slightly more complex view of the attitude-behavior relation. </w:t>
      </w:r>
      <w:r w:rsidRPr="00836FE0">
        <w:rPr>
          <w:i/>
          <w:iCs/>
          <w:color w:val="222222"/>
          <w:shd w:val="clear" w:color="auto" w:fill="FFFFFF"/>
        </w:rPr>
        <w:t>Personality and Individual Differences</w:t>
      </w:r>
      <w:r w:rsidRPr="00836FE0">
        <w:rPr>
          <w:color w:val="222222"/>
          <w:shd w:val="clear" w:color="auto" w:fill="FFFFFF"/>
        </w:rPr>
        <w:t>, </w:t>
      </w:r>
      <w:r w:rsidRPr="00836FE0">
        <w:rPr>
          <w:i/>
          <w:iCs/>
          <w:color w:val="222222"/>
          <w:shd w:val="clear" w:color="auto" w:fill="FFFFFF"/>
        </w:rPr>
        <w:t>183</w:t>
      </w:r>
      <w:r w:rsidRPr="00836FE0">
        <w:rPr>
          <w:color w:val="222222"/>
          <w:shd w:val="clear" w:color="auto" w:fill="FFFFFF"/>
        </w:rPr>
        <w:t>, 111158.</w:t>
      </w:r>
    </w:p>
    <w:p w14:paraId="2F1D2349" w14:textId="77777777" w:rsidR="00B6088A" w:rsidRDefault="00B6088A" w:rsidP="00836FE0">
      <w:pPr>
        <w:ind w:left="720" w:hanging="720"/>
        <w:rPr>
          <w:color w:val="222222"/>
          <w:shd w:val="clear" w:color="auto" w:fill="FFFFFF"/>
        </w:rPr>
      </w:pPr>
    </w:p>
    <w:p w14:paraId="27DFBDF7" w14:textId="441936BD" w:rsidR="00B6088A" w:rsidRPr="007629AB" w:rsidRDefault="00B6088A" w:rsidP="007629AB">
      <w:pPr>
        <w:pStyle w:val="Bibliography"/>
        <w:rPr>
          <w:color w:val="000000" w:themeColor="text1"/>
        </w:rPr>
      </w:pPr>
      <w:bookmarkStart w:id="4" w:name="X841dc8cf9fe2c9aa03f8adf3ba844f5d6f66257"/>
      <w:r w:rsidRPr="00B3220C">
        <w:rPr>
          <w:rFonts w:ascii="Times New Roman" w:hAnsi="Times New Roman" w:cs="Times New Roman"/>
          <w:color w:val="000000" w:themeColor="text1"/>
        </w:rPr>
        <w:t xml:space="preserve">Kline, Rex B. 2023. </w:t>
      </w:r>
      <w:r w:rsidRPr="00B3220C">
        <w:rPr>
          <w:rFonts w:ascii="Times New Roman" w:hAnsi="Times New Roman" w:cs="Times New Roman"/>
          <w:i/>
          <w:iCs/>
          <w:color w:val="000000" w:themeColor="text1"/>
        </w:rPr>
        <w:t>Principles and Practice of Structural Equation Modeling</w:t>
      </w:r>
      <w:r w:rsidRPr="00B3220C">
        <w:rPr>
          <w:rFonts w:ascii="Times New Roman" w:hAnsi="Times New Roman" w:cs="Times New Roman"/>
          <w:color w:val="000000" w:themeColor="text1"/>
        </w:rPr>
        <w:t>. New York, NY: Guilford Publications.</w:t>
      </w:r>
      <w:bookmarkEnd w:id="4"/>
    </w:p>
    <w:p w14:paraId="7D01DC81" w14:textId="77777777" w:rsidR="003553D9" w:rsidRDefault="003553D9" w:rsidP="00D5562D">
      <w:pPr>
        <w:ind w:left="720" w:hanging="720"/>
        <w:rPr>
          <w:color w:val="222222"/>
          <w:shd w:val="clear" w:color="auto" w:fill="FFFFFF"/>
        </w:rPr>
      </w:pPr>
    </w:p>
    <w:p w14:paraId="62078859" w14:textId="4B7547BC" w:rsidR="00D5562D" w:rsidRPr="00AD5F01" w:rsidRDefault="003553D9" w:rsidP="00D5562D">
      <w:pPr>
        <w:ind w:left="720" w:hanging="720"/>
        <w:rPr>
          <w:color w:val="222222"/>
          <w:shd w:val="clear" w:color="auto" w:fill="FFFFFF"/>
        </w:rPr>
      </w:pPr>
      <w:r w:rsidRPr="003553D9">
        <w:rPr>
          <w:color w:val="222222"/>
          <w:shd w:val="clear" w:color="auto" w:fill="FFFFFF"/>
        </w:rPr>
        <w:t>Kollmuss, A., &amp; Agyeman, J. (2002). Mind the gap: why do people act environmentally and what are the barriers to pro-environmental behavior? </w:t>
      </w:r>
      <w:r w:rsidRPr="003553D9">
        <w:rPr>
          <w:i/>
          <w:iCs/>
          <w:color w:val="222222"/>
          <w:shd w:val="clear" w:color="auto" w:fill="FFFFFF"/>
        </w:rPr>
        <w:t>Environmental education research</w:t>
      </w:r>
      <w:r w:rsidRPr="003553D9">
        <w:rPr>
          <w:color w:val="222222"/>
          <w:shd w:val="clear" w:color="auto" w:fill="FFFFFF"/>
        </w:rPr>
        <w:t>, </w:t>
      </w:r>
      <w:r w:rsidRPr="003553D9">
        <w:rPr>
          <w:i/>
          <w:iCs/>
          <w:color w:val="222222"/>
          <w:shd w:val="clear" w:color="auto" w:fill="FFFFFF"/>
        </w:rPr>
        <w:t>8</w:t>
      </w:r>
      <w:r w:rsidRPr="003553D9">
        <w:rPr>
          <w:color w:val="222222"/>
          <w:shd w:val="clear" w:color="auto" w:fill="FFFFFF"/>
        </w:rPr>
        <w:t>(3), 239-260.</w:t>
      </w:r>
    </w:p>
    <w:p w14:paraId="2D5B4D62" w14:textId="77777777" w:rsidR="003553D9" w:rsidRDefault="003553D9" w:rsidP="00D5562D">
      <w:pPr>
        <w:ind w:left="720" w:hanging="720"/>
        <w:rPr>
          <w:color w:val="222222"/>
          <w:shd w:val="clear" w:color="auto" w:fill="FFFFFF"/>
        </w:rPr>
      </w:pPr>
    </w:p>
    <w:p w14:paraId="2F506686" w14:textId="4017F884" w:rsidR="00101583" w:rsidRDefault="00101583" w:rsidP="00D5562D">
      <w:pPr>
        <w:ind w:left="720" w:hanging="720"/>
        <w:rPr>
          <w:color w:val="222222"/>
          <w:shd w:val="clear" w:color="auto" w:fill="FFFFFF"/>
        </w:rPr>
      </w:pPr>
      <w:r w:rsidRPr="00101583">
        <w:rPr>
          <w:color w:val="222222"/>
          <w:shd w:val="clear" w:color="auto" w:fill="FFFFFF"/>
        </w:rPr>
        <w:t xml:space="preserve">Kovacs, L. N., Jordan, G., Berglund, F., Holden, B., Niehoff, E., Pohl, F., ... &amp; </w:t>
      </w:r>
      <w:proofErr w:type="spellStart"/>
      <w:r w:rsidRPr="00101583">
        <w:rPr>
          <w:color w:val="222222"/>
          <w:shd w:val="clear" w:color="auto" w:fill="FFFFFF"/>
        </w:rPr>
        <w:t>Kökönyei</w:t>
      </w:r>
      <w:proofErr w:type="spellEnd"/>
      <w:r w:rsidRPr="00101583">
        <w:rPr>
          <w:color w:val="222222"/>
          <w:shd w:val="clear" w:color="auto" w:fill="FFFFFF"/>
        </w:rPr>
        <w:t>, G. (2024). Acting as we feel: which emotional responses to the climate crisis motivate climate action. </w:t>
      </w:r>
      <w:r w:rsidRPr="00101583">
        <w:rPr>
          <w:i/>
          <w:iCs/>
          <w:color w:val="222222"/>
          <w:shd w:val="clear" w:color="auto" w:fill="FFFFFF"/>
        </w:rPr>
        <w:t>Journal of Environmental Psychology</w:t>
      </w:r>
      <w:r w:rsidRPr="00101583">
        <w:rPr>
          <w:color w:val="222222"/>
          <w:shd w:val="clear" w:color="auto" w:fill="FFFFFF"/>
        </w:rPr>
        <w:t>, 102327.</w:t>
      </w:r>
    </w:p>
    <w:p w14:paraId="5778911A" w14:textId="77777777" w:rsidR="00D5562D" w:rsidRPr="00AD5F01" w:rsidRDefault="00D5562D" w:rsidP="007629AB">
      <w:pPr>
        <w:rPr>
          <w:color w:val="222222"/>
          <w:shd w:val="clear" w:color="auto" w:fill="FFFFFF"/>
        </w:rPr>
      </w:pPr>
    </w:p>
    <w:p w14:paraId="4763756D" w14:textId="77777777" w:rsidR="00D5562D" w:rsidRPr="00AD5F01" w:rsidRDefault="00D5562D" w:rsidP="00D5562D">
      <w:pPr>
        <w:ind w:left="720" w:hanging="720"/>
        <w:rPr>
          <w:color w:val="222222"/>
          <w:shd w:val="clear" w:color="auto" w:fill="FFFFFF"/>
        </w:rPr>
      </w:pPr>
      <w:r w:rsidRPr="00AD5F01">
        <w:rPr>
          <w:color w:val="222222"/>
          <w:shd w:val="clear" w:color="auto" w:fill="FFFFFF"/>
        </w:rPr>
        <w:t>Mayer, F. S., &amp; Frantz, C. M. (2004). The connectedness to nature scale: A measure of individuals’ feeling in community with nature. </w:t>
      </w:r>
      <w:r w:rsidRPr="00AD5F01">
        <w:rPr>
          <w:i/>
          <w:iCs/>
          <w:color w:val="222222"/>
          <w:shd w:val="clear" w:color="auto" w:fill="FFFFFF"/>
        </w:rPr>
        <w:t>Journal of environmental psychology</w:t>
      </w:r>
      <w:r w:rsidRPr="00AD5F01">
        <w:rPr>
          <w:color w:val="222222"/>
          <w:shd w:val="clear" w:color="auto" w:fill="FFFFFF"/>
        </w:rPr>
        <w:t>, </w:t>
      </w:r>
      <w:r w:rsidRPr="00AD5F01">
        <w:rPr>
          <w:i/>
          <w:iCs/>
          <w:color w:val="222222"/>
          <w:shd w:val="clear" w:color="auto" w:fill="FFFFFF"/>
        </w:rPr>
        <w:t>24</w:t>
      </w:r>
      <w:r w:rsidRPr="00AD5F01">
        <w:rPr>
          <w:color w:val="222222"/>
          <w:shd w:val="clear" w:color="auto" w:fill="FFFFFF"/>
        </w:rPr>
        <w:t>(4), 503-515.</w:t>
      </w:r>
    </w:p>
    <w:p w14:paraId="4D9CAE6A" w14:textId="77777777" w:rsidR="00D5562D" w:rsidRPr="00AD5F01" w:rsidRDefault="00D5562D" w:rsidP="00D5562D">
      <w:pPr>
        <w:ind w:left="720" w:hanging="720"/>
        <w:rPr>
          <w:color w:val="222222"/>
          <w:shd w:val="clear" w:color="auto" w:fill="FFFFFF"/>
        </w:rPr>
      </w:pPr>
    </w:p>
    <w:p w14:paraId="0EDBEDDB" w14:textId="77777777" w:rsidR="00D5562D" w:rsidRPr="00AD5F01" w:rsidRDefault="00D5562D" w:rsidP="00D5562D">
      <w:pPr>
        <w:ind w:left="720" w:hanging="720"/>
        <w:rPr>
          <w:color w:val="222222"/>
          <w:shd w:val="clear" w:color="auto" w:fill="FFFFFF"/>
        </w:rPr>
      </w:pPr>
      <w:r w:rsidRPr="00AD5F01">
        <w:rPr>
          <w:color w:val="222222"/>
          <w:shd w:val="clear" w:color="auto" w:fill="FFFFFF"/>
        </w:rPr>
        <w:t>Moyer, R. M., &amp; Song, G. (2016). Understanding local policy elites’ perceptions on the benefits and risks associated with high‐voltage power line installations in the state of Arkansas. </w:t>
      </w:r>
      <w:r w:rsidRPr="00AD5F01">
        <w:rPr>
          <w:i/>
          <w:iCs/>
          <w:color w:val="222222"/>
          <w:shd w:val="clear" w:color="auto" w:fill="FFFFFF"/>
        </w:rPr>
        <w:t>Risk Analysis</w:t>
      </w:r>
      <w:r w:rsidRPr="00AD5F01">
        <w:rPr>
          <w:color w:val="222222"/>
          <w:shd w:val="clear" w:color="auto" w:fill="FFFFFF"/>
        </w:rPr>
        <w:t>, </w:t>
      </w:r>
      <w:r w:rsidRPr="00AD5F01">
        <w:rPr>
          <w:i/>
          <w:iCs/>
          <w:color w:val="222222"/>
          <w:shd w:val="clear" w:color="auto" w:fill="FFFFFF"/>
        </w:rPr>
        <w:t>36</w:t>
      </w:r>
      <w:r w:rsidRPr="00AD5F01">
        <w:rPr>
          <w:color w:val="222222"/>
          <w:shd w:val="clear" w:color="auto" w:fill="FFFFFF"/>
        </w:rPr>
        <w:t>(10), 1983-1999.</w:t>
      </w:r>
    </w:p>
    <w:p w14:paraId="264099C4" w14:textId="77777777" w:rsidR="00D5562D" w:rsidRPr="00AD5F01" w:rsidRDefault="00D5562D" w:rsidP="00D5562D">
      <w:pPr>
        <w:ind w:left="720" w:hanging="720"/>
        <w:rPr>
          <w:color w:val="222222"/>
          <w:shd w:val="clear" w:color="auto" w:fill="FFFFFF"/>
        </w:rPr>
      </w:pPr>
    </w:p>
    <w:p w14:paraId="1757B851" w14:textId="77777777" w:rsidR="00D5562D" w:rsidRDefault="00D5562D" w:rsidP="00D5562D">
      <w:pPr>
        <w:ind w:left="720" w:hanging="720"/>
        <w:rPr>
          <w:color w:val="222222"/>
          <w:shd w:val="clear" w:color="auto" w:fill="FFFFFF"/>
        </w:rPr>
      </w:pPr>
      <w:r w:rsidRPr="00AD5F01">
        <w:rPr>
          <w:color w:val="222222"/>
          <w:shd w:val="clear" w:color="auto" w:fill="FFFFFF"/>
        </w:rPr>
        <w:t>Moyer, R. M., &amp; Song, G. (2019). Cultural predispositions, specific affective feelings, and benefit–risk perceptions: explicating local policy elites’ perceived utility of high voltage power line installations. </w:t>
      </w:r>
      <w:r w:rsidRPr="00AD5F01">
        <w:rPr>
          <w:i/>
          <w:iCs/>
          <w:color w:val="222222"/>
          <w:shd w:val="clear" w:color="auto" w:fill="FFFFFF"/>
        </w:rPr>
        <w:t>Journal of Risk Research</w:t>
      </w:r>
      <w:r w:rsidRPr="00AD5F01">
        <w:rPr>
          <w:color w:val="222222"/>
          <w:shd w:val="clear" w:color="auto" w:fill="FFFFFF"/>
        </w:rPr>
        <w:t>, </w:t>
      </w:r>
      <w:r w:rsidRPr="00AD5F01">
        <w:rPr>
          <w:i/>
          <w:iCs/>
          <w:color w:val="222222"/>
          <w:shd w:val="clear" w:color="auto" w:fill="FFFFFF"/>
        </w:rPr>
        <w:t>22</w:t>
      </w:r>
      <w:r w:rsidRPr="00AD5F01">
        <w:rPr>
          <w:color w:val="222222"/>
          <w:shd w:val="clear" w:color="auto" w:fill="FFFFFF"/>
        </w:rPr>
        <w:t>(4), 416-431.</w:t>
      </w:r>
    </w:p>
    <w:p w14:paraId="582A1A5E" w14:textId="77777777" w:rsidR="00293C13" w:rsidRDefault="00293C13" w:rsidP="00D5562D">
      <w:pPr>
        <w:ind w:left="720" w:hanging="720"/>
        <w:rPr>
          <w:color w:val="222222"/>
          <w:shd w:val="clear" w:color="auto" w:fill="FFFFFF"/>
        </w:rPr>
      </w:pPr>
    </w:p>
    <w:p w14:paraId="1B46B32D" w14:textId="61E0B716" w:rsidR="00D5562D" w:rsidRPr="00293C13" w:rsidRDefault="00293C13" w:rsidP="00293C13">
      <w:pPr>
        <w:spacing w:line="480" w:lineRule="auto"/>
        <w:rPr>
          <w:rFonts w:eastAsia="Times New Roman"/>
          <w:kern w:val="0"/>
          <w14:ligatures w14:val="none"/>
        </w:rPr>
      </w:pPr>
      <w:r w:rsidRPr="00293C13">
        <w:rPr>
          <w:rFonts w:eastAsia="Times New Roman"/>
          <w:kern w:val="0"/>
          <w14:ligatures w14:val="none"/>
        </w:rPr>
        <w:t xml:space="preserve">Nowlin, M. C. (2019). </w:t>
      </w:r>
      <w:r w:rsidRPr="00293C13">
        <w:rPr>
          <w:rFonts w:eastAsia="Times New Roman"/>
          <w:i/>
          <w:iCs/>
          <w:kern w:val="0"/>
          <w14:ligatures w14:val="none"/>
        </w:rPr>
        <w:t>Environmental Policymaking in an Era of Climate Change</w:t>
      </w:r>
      <w:r w:rsidRPr="00293C13">
        <w:rPr>
          <w:rFonts w:eastAsia="Times New Roman"/>
          <w:kern w:val="0"/>
          <w14:ligatures w14:val="none"/>
        </w:rPr>
        <w:t>. Routledge.</w:t>
      </w:r>
    </w:p>
    <w:p w14:paraId="02547E39" w14:textId="77777777" w:rsidR="00D5562D" w:rsidRPr="00AD5F01" w:rsidRDefault="00D5562D" w:rsidP="00D5562D">
      <w:pPr>
        <w:ind w:left="720" w:hanging="720"/>
        <w:rPr>
          <w:color w:val="222222"/>
          <w:shd w:val="clear" w:color="auto" w:fill="FFFFFF"/>
        </w:rPr>
      </w:pPr>
      <w:r w:rsidRPr="00AD5F01">
        <w:rPr>
          <w:color w:val="222222"/>
          <w:shd w:val="clear" w:color="auto" w:fill="FFFFFF"/>
        </w:rPr>
        <w:t>Nowlin, M. C., &amp; Rabovsky, T. M. (2020). A cultural theory of partisanship and policy attitudes. </w:t>
      </w:r>
      <w:r w:rsidRPr="00AD5F01">
        <w:rPr>
          <w:i/>
          <w:iCs/>
          <w:color w:val="222222"/>
          <w:shd w:val="clear" w:color="auto" w:fill="FFFFFF"/>
        </w:rPr>
        <w:t>Social Science Quarterly</w:t>
      </w:r>
      <w:r w:rsidRPr="00AD5F01">
        <w:rPr>
          <w:color w:val="222222"/>
          <w:shd w:val="clear" w:color="auto" w:fill="FFFFFF"/>
        </w:rPr>
        <w:t>, </w:t>
      </w:r>
      <w:r w:rsidRPr="00AD5F01">
        <w:rPr>
          <w:i/>
          <w:iCs/>
          <w:color w:val="222222"/>
          <w:shd w:val="clear" w:color="auto" w:fill="FFFFFF"/>
        </w:rPr>
        <w:t>101</w:t>
      </w:r>
      <w:r w:rsidRPr="00AD5F01">
        <w:rPr>
          <w:color w:val="222222"/>
          <w:shd w:val="clear" w:color="auto" w:fill="FFFFFF"/>
        </w:rPr>
        <w:t>(2), 878-892.</w:t>
      </w:r>
    </w:p>
    <w:p w14:paraId="7E7AFF02" w14:textId="77777777" w:rsidR="00D5562D" w:rsidRPr="00AD5F01" w:rsidRDefault="00D5562D" w:rsidP="00D5562D">
      <w:pPr>
        <w:ind w:left="720" w:hanging="720"/>
        <w:rPr>
          <w:color w:val="222222"/>
          <w:shd w:val="clear" w:color="auto" w:fill="FFFFFF"/>
        </w:rPr>
      </w:pPr>
    </w:p>
    <w:p w14:paraId="4F95F9AC" w14:textId="77777777" w:rsidR="00D5562D" w:rsidRPr="00AD5F01" w:rsidRDefault="00D5562D" w:rsidP="00D5562D">
      <w:pPr>
        <w:ind w:left="720" w:hanging="720"/>
      </w:pPr>
      <w:r w:rsidRPr="00AD5F01">
        <w:rPr>
          <w:color w:val="222222"/>
          <w:shd w:val="clear" w:color="auto" w:fill="FFFFFF"/>
        </w:rPr>
        <w:t>Price, J. C., Walker, I. A., &amp; Boschetti, F. (2014). Measuring cultural values and beliefs about environment to identify their role in climate change responses. </w:t>
      </w:r>
      <w:r w:rsidRPr="00AD5F01">
        <w:rPr>
          <w:i/>
          <w:iCs/>
          <w:color w:val="222222"/>
          <w:shd w:val="clear" w:color="auto" w:fill="FFFFFF"/>
        </w:rPr>
        <w:t>Journal of Environmental Psychology</w:t>
      </w:r>
      <w:r w:rsidRPr="00AD5F01">
        <w:rPr>
          <w:color w:val="222222"/>
          <w:shd w:val="clear" w:color="auto" w:fill="FFFFFF"/>
        </w:rPr>
        <w:t>, </w:t>
      </w:r>
      <w:r w:rsidRPr="00AD5F01">
        <w:rPr>
          <w:i/>
          <w:iCs/>
          <w:color w:val="222222"/>
          <w:shd w:val="clear" w:color="auto" w:fill="FFFFFF"/>
        </w:rPr>
        <w:t>37</w:t>
      </w:r>
      <w:r w:rsidRPr="00AD5F01">
        <w:rPr>
          <w:color w:val="222222"/>
          <w:shd w:val="clear" w:color="auto" w:fill="FFFFFF"/>
        </w:rPr>
        <w:t>, 8-20.</w:t>
      </w:r>
    </w:p>
    <w:p w14:paraId="47981553" w14:textId="77777777" w:rsidR="00D5562D" w:rsidRDefault="00D5562D" w:rsidP="00D5562D">
      <w:pPr>
        <w:ind w:left="720" w:hanging="720"/>
        <w:rPr>
          <w:color w:val="222222"/>
          <w:shd w:val="clear" w:color="auto" w:fill="FFFFFF"/>
        </w:rPr>
      </w:pPr>
    </w:p>
    <w:p w14:paraId="059A76E3" w14:textId="77777777" w:rsidR="00DF71AF" w:rsidRPr="00DF71AF" w:rsidRDefault="00DF71AF" w:rsidP="007629AB">
      <w:pPr>
        <w:rPr>
          <w:rFonts w:eastAsia="Times New Roman"/>
          <w:kern w:val="0"/>
          <w14:ligatures w14:val="none"/>
        </w:rPr>
      </w:pPr>
      <w:r w:rsidRPr="00DF71AF">
        <w:rPr>
          <w:rFonts w:eastAsia="Times New Roman"/>
          <w:kern w:val="0"/>
          <w14:ligatures w14:val="none"/>
        </w:rPr>
        <w:lastRenderedPageBreak/>
        <w:t xml:space="preserve">Ripberger, Joseph T., </w:t>
      </w:r>
      <w:proofErr w:type="spellStart"/>
      <w:r w:rsidRPr="00DF71AF">
        <w:rPr>
          <w:rFonts w:eastAsia="Times New Roman"/>
          <w:kern w:val="0"/>
          <w14:ligatures w14:val="none"/>
        </w:rPr>
        <w:t>Kuhika</w:t>
      </w:r>
      <w:proofErr w:type="spellEnd"/>
      <w:r w:rsidRPr="00DF71AF">
        <w:rPr>
          <w:rFonts w:eastAsia="Times New Roman"/>
          <w:kern w:val="0"/>
          <w14:ligatures w14:val="none"/>
        </w:rPr>
        <w:t xml:space="preserve"> Gupta, Carol L. Silva, and Hank C. Jenkins-Smith. 2014. “Cultural Theory and the Measurement of Deep Core Beliefs Within the Advocacy Coalition Framework.” </w:t>
      </w:r>
      <w:r w:rsidRPr="00DF71AF">
        <w:rPr>
          <w:rFonts w:eastAsia="Times New Roman"/>
          <w:i/>
          <w:iCs/>
          <w:kern w:val="0"/>
          <w14:ligatures w14:val="none"/>
        </w:rPr>
        <w:t>Policy Studies Journal</w:t>
      </w:r>
      <w:r w:rsidRPr="00DF71AF">
        <w:rPr>
          <w:rFonts w:eastAsia="Times New Roman"/>
          <w:kern w:val="0"/>
          <w14:ligatures w14:val="none"/>
        </w:rPr>
        <w:t xml:space="preserve"> 42(4): 509–27.</w:t>
      </w:r>
    </w:p>
    <w:p w14:paraId="5786B330" w14:textId="77777777" w:rsidR="00DF71AF" w:rsidRDefault="00DF71AF" w:rsidP="00D5562D">
      <w:pPr>
        <w:ind w:left="720" w:hanging="720"/>
        <w:rPr>
          <w:color w:val="000000" w:themeColor="text1"/>
        </w:rPr>
      </w:pPr>
    </w:p>
    <w:p w14:paraId="78F59FE1" w14:textId="302005AE" w:rsidR="009F7BB2" w:rsidRDefault="009F7BB2" w:rsidP="00D5562D">
      <w:pPr>
        <w:ind w:left="720" w:hanging="720"/>
        <w:rPr>
          <w:color w:val="000000" w:themeColor="text1"/>
        </w:rPr>
      </w:pPr>
      <w:r w:rsidRPr="00B3220C">
        <w:rPr>
          <w:color w:val="000000" w:themeColor="text1"/>
        </w:rPr>
        <w:t>Rosseel, Yves. 2012. “</w:t>
      </w:r>
      <w:proofErr w:type="spellStart"/>
      <w:r w:rsidRPr="00B3220C">
        <w:rPr>
          <w:color w:val="000000" w:themeColor="text1"/>
        </w:rPr>
        <w:t>Lavaan</w:t>
      </w:r>
      <w:proofErr w:type="spellEnd"/>
      <w:r w:rsidRPr="00B3220C">
        <w:rPr>
          <w:color w:val="000000" w:themeColor="text1"/>
        </w:rPr>
        <w:t xml:space="preserve">: An R Package for Structural Equation Modeling.” </w:t>
      </w:r>
      <w:r w:rsidRPr="00B3220C">
        <w:rPr>
          <w:i/>
          <w:iCs/>
          <w:color w:val="000000" w:themeColor="text1"/>
        </w:rPr>
        <w:t>Journal of Statistical Software</w:t>
      </w:r>
      <w:r w:rsidRPr="00B3220C">
        <w:rPr>
          <w:color w:val="000000" w:themeColor="text1"/>
        </w:rPr>
        <w:t xml:space="preserve"> 48(2): 1–36.</w:t>
      </w:r>
    </w:p>
    <w:p w14:paraId="450EC330" w14:textId="77777777" w:rsidR="00FA1CF8" w:rsidRDefault="00FA1CF8" w:rsidP="00D5562D">
      <w:pPr>
        <w:ind w:left="720" w:hanging="720"/>
        <w:rPr>
          <w:color w:val="000000" w:themeColor="text1"/>
        </w:rPr>
      </w:pPr>
    </w:p>
    <w:p w14:paraId="14C8EF10" w14:textId="1481B9C3" w:rsidR="00FA1CF8" w:rsidRDefault="00FA1CF8" w:rsidP="007629AB">
      <w:r>
        <w:t xml:space="preserve">Schreiber, James B., Amaury Nora, Frances K. Stage, Elizabeth A. Barlow, and Jamie King. 2006. “Reporting Structural Equation Modeling and Confirmatory Factor Analysis Results: A Review.” </w:t>
      </w:r>
      <w:r>
        <w:rPr>
          <w:i/>
          <w:iCs/>
        </w:rPr>
        <w:t>The Journal of Educational Research</w:t>
      </w:r>
      <w:r>
        <w:t xml:space="preserve"> 99(6): 323–38. </w:t>
      </w:r>
    </w:p>
    <w:p w14:paraId="5BCCE04A" w14:textId="77777777" w:rsidR="009F7BB2" w:rsidRPr="00AD5F01" w:rsidRDefault="009F7BB2" w:rsidP="007629AB">
      <w:pPr>
        <w:rPr>
          <w:color w:val="222222"/>
          <w:shd w:val="clear" w:color="auto" w:fill="FFFFFF"/>
        </w:rPr>
      </w:pPr>
    </w:p>
    <w:p w14:paraId="3076E2D3" w14:textId="77777777" w:rsidR="00D5562D" w:rsidRPr="00AD5F01" w:rsidRDefault="00D5562D" w:rsidP="00D5562D">
      <w:pPr>
        <w:ind w:left="720" w:hanging="720"/>
        <w:rPr>
          <w:color w:val="222222"/>
          <w:shd w:val="clear" w:color="auto" w:fill="FFFFFF"/>
        </w:rPr>
      </w:pPr>
      <w:r w:rsidRPr="00AD5F01">
        <w:rPr>
          <w:color w:val="222222"/>
          <w:shd w:val="clear" w:color="auto" w:fill="FFFFFF"/>
        </w:rPr>
        <w:t>Sparks, A. C., Ehret, P. J., &amp; Brick, C. (2022). Measuring pro-environmental orientation: Testing and building scales. </w:t>
      </w:r>
      <w:r w:rsidRPr="00AD5F01">
        <w:rPr>
          <w:i/>
          <w:iCs/>
          <w:color w:val="222222"/>
          <w:shd w:val="clear" w:color="auto" w:fill="FFFFFF"/>
        </w:rPr>
        <w:t>Journal of Environmental Psychology</w:t>
      </w:r>
      <w:r w:rsidRPr="00AD5F01">
        <w:rPr>
          <w:color w:val="222222"/>
          <w:shd w:val="clear" w:color="auto" w:fill="FFFFFF"/>
        </w:rPr>
        <w:t>, </w:t>
      </w:r>
      <w:r w:rsidRPr="00AD5F01">
        <w:rPr>
          <w:i/>
          <w:iCs/>
          <w:color w:val="222222"/>
          <w:shd w:val="clear" w:color="auto" w:fill="FFFFFF"/>
        </w:rPr>
        <w:t>81</w:t>
      </w:r>
      <w:r w:rsidRPr="00AD5F01">
        <w:rPr>
          <w:color w:val="222222"/>
          <w:shd w:val="clear" w:color="auto" w:fill="FFFFFF"/>
        </w:rPr>
        <w:t>, 101780.</w:t>
      </w:r>
    </w:p>
    <w:p w14:paraId="5BE8920A" w14:textId="77777777" w:rsidR="00D5562D" w:rsidRPr="00AD5F01" w:rsidRDefault="00D5562D" w:rsidP="00D5562D">
      <w:pPr>
        <w:ind w:left="720" w:hanging="720"/>
        <w:rPr>
          <w:color w:val="222222"/>
          <w:shd w:val="clear" w:color="auto" w:fill="FFFFFF"/>
        </w:rPr>
      </w:pPr>
    </w:p>
    <w:p w14:paraId="04377E3A" w14:textId="77777777" w:rsidR="00D5562D" w:rsidRPr="00AD5F01" w:rsidRDefault="00D5562D" w:rsidP="00D5562D">
      <w:pPr>
        <w:ind w:left="720" w:hanging="720"/>
        <w:rPr>
          <w:color w:val="222222"/>
          <w:shd w:val="clear" w:color="auto" w:fill="FFFFFF"/>
        </w:rPr>
      </w:pPr>
      <w:r w:rsidRPr="00AD5F01">
        <w:rPr>
          <w:color w:val="222222"/>
          <w:shd w:val="clear" w:color="auto" w:fill="FFFFFF"/>
        </w:rPr>
        <w:t>Sparks, A. C., Henderson, G. L., Sriram, S. K., &amp; Smith, E. R. (2021). Measuring environmental values and identity. </w:t>
      </w:r>
      <w:r w:rsidRPr="00AD5F01">
        <w:rPr>
          <w:i/>
          <w:iCs/>
          <w:color w:val="222222"/>
          <w:shd w:val="clear" w:color="auto" w:fill="FFFFFF"/>
        </w:rPr>
        <w:t>Society &amp; Natural Resources</w:t>
      </w:r>
      <w:r w:rsidRPr="00AD5F01">
        <w:rPr>
          <w:color w:val="222222"/>
          <w:shd w:val="clear" w:color="auto" w:fill="FFFFFF"/>
        </w:rPr>
        <w:t>, </w:t>
      </w:r>
      <w:r w:rsidRPr="00AD5F01">
        <w:rPr>
          <w:i/>
          <w:iCs/>
          <w:color w:val="222222"/>
          <w:shd w:val="clear" w:color="auto" w:fill="FFFFFF"/>
        </w:rPr>
        <w:t>34</w:t>
      </w:r>
      <w:r w:rsidRPr="00AD5F01">
        <w:rPr>
          <w:color w:val="222222"/>
          <w:shd w:val="clear" w:color="auto" w:fill="FFFFFF"/>
        </w:rPr>
        <w:t>(3), 291-310.</w:t>
      </w:r>
    </w:p>
    <w:p w14:paraId="5FF21C75" w14:textId="77777777" w:rsidR="00D5562D" w:rsidRPr="00AD5F01" w:rsidRDefault="00D5562D" w:rsidP="00D5562D">
      <w:pPr>
        <w:ind w:left="720" w:hanging="720"/>
        <w:rPr>
          <w:color w:val="222222"/>
          <w:shd w:val="clear" w:color="auto" w:fill="FFFFFF"/>
        </w:rPr>
      </w:pPr>
    </w:p>
    <w:p w14:paraId="6FF3A77F" w14:textId="77777777" w:rsidR="000F2CBA" w:rsidRDefault="00D5562D" w:rsidP="000F2CBA">
      <w:pPr>
        <w:ind w:left="720" w:hanging="720"/>
        <w:rPr>
          <w:color w:val="222222"/>
          <w:shd w:val="clear" w:color="auto" w:fill="FFFFFF"/>
        </w:rPr>
      </w:pPr>
      <w:r w:rsidRPr="00AD5F01">
        <w:rPr>
          <w:color w:val="222222"/>
          <w:shd w:val="clear" w:color="auto" w:fill="FFFFFF"/>
        </w:rPr>
        <w:t>Stern, P. C. (2000). New environmental theories: toward a coherent theory of environmentally significant behavior. </w:t>
      </w:r>
      <w:r w:rsidRPr="00AD5F01">
        <w:rPr>
          <w:i/>
          <w:iCs/>
          <w:color w:val="222222"/>
          <w:shd w:val="clear" w:color="auto" w:fill="FFFFFF"/>
        </w:rPr>
        <w:t>Journal of social issues</w:t>
      </w:r>
      <w:r w:rsidRPr="00AD5F01">
        <w:rPr>
          <w:color w:val="222222"/>
          <w:shd w:val="clear" w:color="auto" w:fill="FFFFFF"/>
        </w:rPr>
        <w:t>, </w:t>
      </w:r>
      <w:r w:rsidRPr="00AD5F01">
        <w:rPr>
          <w:i/>
          <w:iCs/>
          <w:color w:val="222222"/>
          <w:shd w:val="clear" w:color="auto" w:fill="FFFFFF"/>
        </w:rPr>
        <w:t>56</w:t>
      </w:r>
      <w:r w:rsidRPr="00AD5F01">
        <w:rPr>
          <w:color w:val="222222"/>
          <w:shd w:val="clear" w:color="auto" w:fill="FFFFFF"/>
        </w:rPr>
        <w:t>(3), 407-424.</w:t>
      </w:r>
      <w:bookmarkStart w:id="5" w:name="ref-thompsonCulturalTheoryClimate2003"/>
    </w:p>
    <w:bookmarkEnd w:id="5"/>
    <w:p w14:paraId="70C4C3BC" w14:textId="77777777" w:rsidR="000F2CBA" w:rsidRDefault="000F2CBA" w:rsidP="007629AB">
      <w:pPr>
        <w:rPr>
          <w:rFonts w:eastAsia="Times New Roman"/>
          <w:kern w:val="0"/>
          <w14:ligatures w14:val="none"/>
        </w:rPr>
      </w:pPr>
    </w:p>
    <w:p w14:paraId="43C9BD6D" w14:textId="72FD0C10" w:rsidR="00F45B0E" w:rsidRDefault="00AF2A79" w:rsidP="00F45B0E">
      <w:pPr>
        <w:ind w:left="720" w:hanging="720"/>
        <w:rPr>
          <w:rFonts w:eastAsia="Times New Roman"/>
          <w:kern w:val="0"/>
          <w14:ligatures w14:val="none"/>
        </w:rPr>
      </w:pPr>
      <w:r w:rsidRPr="00AF2A79">
        <w:rPr>
          <w:rFonts w:eastAsia="Times New Roman"/>
          <w:kern w:val="0"/>
          <w14:ligatures w14:val="none"/>
        </w:rPr>
        <w:t xml:space="preserve">Thompson, M., Ellis, R., &amp; Wildavsky, A. (1990). </w:t>
      </w:r>
      <w:r w:rsidRPr="00AF2A79">
        <w:rPr>
          <w:rFonts w:eastAsia="Times New Roman"/>
          <w:i/>
          <w:iCs/>
          <w:kern w:val="0"/>
          <w14:ligatures w14:val="none"/>
        </w:rPr>
        <w:t>Cultural Theory</w:t>
      </w:r>
      <w:r w:rsidRPr="00AF2A79">
        <w:rPr>
          <w:rFonts w:eastAsia="Times New Roman"/>
          <w:kern w:val="0"/>
          <w14:ligatures w14:val="none"/>
        </w:rPr>
        <w:t>. Westview Press.</w:t>
      </w:r>
    </w:p>
    <w:p w14:paraId="3D8935A0" w14:textId="77777777" w:rsidR="00D5562D" w:rsidRPr="00AD5F01" w:rsidRDefault="00D5562D" w:rsidP="00F45B0E">
      <w:pPr>
        <w:rPr>
          <w:color w:val="222222"/>
          <w:shd w:val="clear" w:color="auto" w:fill="FFFFFF"/>
        </w:rPr>
      </w:pPr>
    </w:p>
    <w:p w14:paraId="53DB0634" w14:textId="1CBA6F87" w:rsidR="00D5562D" w:rsidRPr="00AD5F01" w:rsidRDefault="00D5562D" w:rsidP="00D5562D">
      <w:pPr>
        <w:ind w:left="720" w:hanging="720"/>
        <w:rPr>
          <w:color w:val="222222"/>
          <w:shd w:val="clear" w:color="auto" w:fill="FFFFFF"/>
        </w:rPr>
      </w:pPr>
      <w:r w:rsidRPr="00AD5F01">
        <w:rPr>
          <w:color w:val="222222"/>
          <w:shd w:val="clear" w:color="auto" w:fill="FFFFFF"/>
        </w:rPr>
        <w:t>Tumlison, C., Button, E. D., Song, G., &amp; Kester III, J. (2018). What explains local policy elites’ preferences toward renewable energy/energy efficiency policy</w:t>
      </w:r>
      <w:r w:rsidR="00AF2A79">
        <w:rPr>
          <w:color w:val="222222"/>
          <w:shd w:val="clear" w:color="auto" w:fill="FFFFFF"/>
        </w:rPr>
        <w:t>?</w:t>
      </w:r>
      <w:r w:rsidRPr="00AD5F01">
        <w:rPr>
          <w:color w:val="222222"/>
          <w:shd w:val="clear" w:color="auto" w:fill="FFFFFF"/>
        </w:rPr>
        <w:t> </w:t>
      </w:r>
      <w:r w:rsidRPr="00AD5F01">
        <w:rPr>
          <w:i/>
          <w:iCs/>
          <w:color w:val="222222"/>
          <w:shd w:val="clear" w:color="auto" w:fill="FFFFFF"/>
        </w:rPr>
        <w:t>Energy Policy</w:t>
      </w:r>
      <w:r w:rsidRPr="00AD5F01">
        <w:rPr>
          <w:color w:val="222222"/>
          <w:shd w:val="clear" w:color="auto" w:fill="FFFFFF"/>
        </w:rPr>
        <w:t>, </w:t>
      </w:r>
      <w:r w:rsidRPr="00AD5F01">
        <w:rPr>
          <w:i/>
          <w:iCs/>
          <w:color w:val="222222"/>
          <w:shd w:val="clear" w:color="auto" w:fill="FFFFFF"/>
        </w:rPr>
        <w:t>117</w:t>
      </w:r>
      <w:r w:rsidRPr="00AD5F01">
        <w:rPr>
          <w:color w:val="222222"/>
          <w:shd w:val="clear" w:color="auto" w:fill="FFFFFF"/>
        </w:rPr>
        <w:t>, 377-386.</w:t>
      </w:r>
    </w:p>
    <w:p w14:paraId="1489D2E2" w14:textId="77777777" w:rsidR="00D5562D" w:rsidRPr="00AD5F01" w:rsidRDefault="00D5562D" w:rsidP="00D5562D">
      <w:pPr>
        <w:ind w:left="720" w:hanging="720"/>
        <w:rPr>
          <w:color w:val="222222"/>
          <w:shd w:val="clear" w:color="auto" w:fill="FFFFFF"/>
        </w:rPr>
      </w:pPr>
    </w:p>
    <w:p w14:paraId="164236EF" w14:textId="4679C7AC" w:rsidR="00D5562D" w:rsidRPr="005376A8" w:rsidRDefault="00D5562D" w:rsidP="00D5562D">
      <w:pPr>
        <w:ind w:left="720" w:hanging="720"/>
        <w:rPr>
          <w:b/>
          <w:bCs/>
        </w:rPr>
      </w:pPr>
      <w:r w:rsidRPr="00AD5F01">
        <w:rPr>
          <w:color w:val="222222"/>
          <w:shd w:val="clear" w:color="auto" w:fill="FFFFFF"/>
        </w:rPr>
        <w:t>Xue, W., Hine, D. W., Loi, N. M., Thorsteinsson, E. B., &amp; Phillips, W. J. (2014). Cultural worldviews and environmental risk perceptions: A meta-analysis. </w:t>
      </w:r>
      <w:r w:rsidRPr="00AD5F01">
        <w:rPr>
          <w:i/>
          <w:iCs/>
          <w:color w:val="222222"/>
          <w:shd w:val="clear" w:color="auto" w:fill="FFFFFF"/>
        </w:rPr>
        <w:t>Journal of Environmental Psychology</w:t>
      </w:r>
      <w:r w:rsidRPr="00AD5F01">
        <w:rPr>
          <w:color w:val="222222"/>
          <w:shd w:val="clear" w:color="auto" w:fill="FFFFFF"/>
        </w:rPr>
        <w:t>, </w:t>
      </w:r>
      <w:r w:rsidRPr="00AD5F01">
        <w:rPr>
          <w:i/>
          <w:iCs/>
          <w:color w:val="222222"/>
          <w:shd w:val="clear" w:color="auto" w:fill="FFFFFF"/>
        </w:rPr>
        <w:t>40</w:t>
      </w:r>
      <w:r w:rsidRPr="00AD5F01">
        <w:rPr>
          <w:color w:val="222222"/>
          <w:shd w:val="clear" w:color="auto" w:fill="FFFFFF"/>
        </w:rPr>
        <w:t>, 249-258.</w:t>
      </w:r>
    </w:p>
    <w:sectPr w:rsidR="00D5562D" w:rsidRPr="005376A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06FD3" w14:textId="77777777" w:rsidR="00FE36BC" w:rsidRDefault="00FE36BC" w:rsidP="00E60947">
      <w:r>
        <w:separator/>
      </w:r>
    </w:p>
  </w:endnote>
  <w:endnote w:type="continuationSeparator" w:id="0">
    <w:p w14:paraId="372A5C82" w14:textId="77777777" w:rsidR="00FE36BC" w:rsidRDefault="00FE36BC" w:rsidP="00E60947">
      <w:r>
        <w:continuationSeparator/>
      </w:r>
    </w:p>
  </w:endnote>
  <w:endnote w:type="continuationNotice" w:id="1">
    <w:p w14:paraId="7BC004AC" w14:textId="77777777" w:rsidR="00FE36BC" w:rsidRDefault="00FE36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049142"/>
      <w:docPartObj>
        <w:docPartGallery w:val="Page Numbers (Bottom of Page)"/>
        <w:docPartUnique/>
      </w:docPartObj>
    </w:sdtPr>
    <w:sdtEndPr>
      <w:rPr>
        <w:noProof/>
      </w:rPr>
    </w:sdtEndPr>
    <w:sdtContent>
      <w:p w14:paraId="546112FE" w14:textId="62BC3A7E" w:rsidR="00F608AC" w:rsidRDefault="00F608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93727D" w14:textId="77777777" w:rsidR="00F608AC" w:rsidRDefault="00F608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5F18F" w14:textId="77777777" w:rsidR="00FE36BC" w:rsidRDefault="00FE36BC" w:rsidP="00E60947">
      <w:r>
        <w:separator/>
      </w:r>
    </w:p>
  </w:footnote>
  <w:footnote w:type="continuationSeparator" w:id="0">
    <w:p w14:paraId="18EEC707" w14:textId="77777777" w:rsidR="00FE36BC" w:rsidRDefault="00FE36BC" w:rsidP="00E60947">
      <w:r>
        <w:continuationSeparator/>
      </w:r>
    </w:p>
  </w:footnote>
  <w:footnote w:type="continuationNotice" w:id="1">
    <w:p w14:paraId="51E2AE9B" w14:textId="77777777" w:rsidR="00FE36BC" w:rsidRDefault="00FE36BC"/>
  </w:footnote>
  <w:footnote w:id="2">
    <w:p w14:paraId="052EC8DC" w14:textId="3342BB50" w:rsidR="00836FE0" w:rsidRDefault="00836FE0">
      <w:pPr>
        <w:pStyle w:val="FootnoteText"/>
      </w:pPr>
      <w:r>
        <w:rPr>
          <w:rStyle w:val="FootnoteReference"/>
        </w:rPr>
        <w:footnoteRef/>
      </w:r>
      <w:r>
        <w:t xml:space="preserve"> We use the term environmental orientation as a general term that includes both environmental attitude and emotional connection to nature.</w:t>
      </w:r>
      <w:r w:rsidR="00502E95">
        <w:t xml:space="preserve"> Both concepts are more fully developed below.</w:t>
      </w:r>
    </w:p>
  </w:footnote>
  <w:footnote w:id="3">
    <w:p w14:paraId="3E7316D2" w14:textId="05525581" w:rsidR="006A6ACA" w:rsidRDefault="006A6ACA">
      <w:pPr>
        <w:pStyle w:val="FootnoteText"/>
      </w:pPr>
      <w:r>
        <w:rPr>
          <w:rStyle w:val="FootnoteReference"/>
        </w:rPr>
        <w:footnoteRef/>
      </w:r>
      <w:r>
        <w:t xml:space="preserve"> Given the complexity of the modeling, we use the minimum number, three items, for the CNS and NEP scales. Items were chosen based on content validly and fit in the confirmatory factor analysis.   </w:t>
      </w:r>
    </w:p>
  </w:footnote>
  <w:footnote w:id="4">
    <w:p w14:paraId="7CF27DDB" w14:textId="77777777" w:rsidR="00B6088A" w:rsidRDefault="00B6088A" w:rsidP="00B6088A">
      <w:pPr>
        <w:pStyle w:val="FootnoteText"/>
      </w:pPr>
      <w:r>
        <w:rPr>
          <w:rStyle w:val="FootnoteReference"/>
        </w:rPr>
        <w:footnoteRef/>
      </w:r>
      <w:r>
        <w:t xml:space="preserve"> As recommended by Kline (2023).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7F0DC" w14:textId="77777777" w:rsidR="00F608AC" w:rsidRDefault="00F608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58AF3D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31"/>
    <w:multiLevelType w:val="multilevel"/>
    <w:tmpl w:val="7BD061B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6FCF1B95"/>
    <w:multiLevelType w:val="hybridMultilevel"/>
    <w:tmpl w:val="0BB68754"/>
    <w:lvl w:ilvl="0" w:tplc="02BC5736">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643825">
    <w:abstractNumId w:val="2"/>
  </w:num>
  <w:num w:numId="2" w16cid:durableId="1635523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1967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47"/>
    <w:rsid w:val="000007E2"/>
    <w:rsid w:val="0000561A"/>
    <w:rsid w:val="00020E38"/>
    <w:rsid w:val="00027D35"/>
    <w:rsid w:val="00035D91"/>
    <w:rsid w:val="00056AEA"/>
    <w:rsid w:val="00067A3C"/>
    <w:rsid w:val="00070263"/>
    <w:rsid w:val="00075DC9"/>
    <w:rsid w:val="00083B80"/>
    <w:rsid w:val="00094571"/>
    <w:rsid w:val="000A171C"/>
    <w:rsid w:val="000A4DD3"/>
    <w:rsid w:val="000D20C8"/>
    <w:rsid w:val="000F2CBA"/>
    <w:rsid w:val="000F70CA"/>
    <w:rsid w:val="000F727C"/>
    <w:rsid w:val="00100CCA"/>
    <w:rsid w:val="00101583"/>
    <w:rsid w:val="00105BED"/>
    <w:rsid w:val="0012509A"/>
    <w:rsid w:val="00143A93"/>
    <w:rsid w:val="001A2768"/>
    <w:rsid w:val="001A58C7"/>
    <w:rsid w:val="001E6252"/>
    <w:rsid w:val="002034D4"/>
    <w:rsid w:val="002128BE"/>
    <w:rsid w:val="002235EA"/>
    <w:rsid w:val="002348EF"/>
    <w:rsid w:val="002420CF"/>
    <w:rsid w:val="00272D4E"/>
    <w:rsid w:val="00290DE2"/>
    <w:rsid w:val="00293C13"/>
    <w:rsid w:val="00293D6B"/>
    <w:rsid w:val="00295726"/>
    <w:rsid w:val="002A1D09"/>
    <w:rsid w:val="002A7345"/>
    <w:rsid w:val="002B3E27"/>
    <w:rsid w:val="002C2D6D"/>
    <w:rsid w:val="002F530E"/>
    <w:rsid w:val="0034157C"/>
    <w:rsid w:val="00351725"/>
    <w:rsid w:val="003553D9"/>
    <w:rsid w:val="0036106E"/>
    <w:rsid w:val="00362BE3"/>
    <w:rsid w:val="00383351"/>
    <w:rsid w:val="003A0724"/>
    <w:rsid w:val="003B0809"/>
    <w:rsid w:val="003B3DFA"/>
    <w:rsid w:val="003C1993"/>
    <w:rsid w:val="003C307B"/>
    <w:rsid w:val="003D75D9"/>
    <w:rsid w:val="003F6D3F"/>
    <w:rsid w:val="00427EA5"/>
    <w:rsid w:val="00435B3F"/>
    <w:rsid w:val="004452C8"/>
    <w:rsid w:val="0046336C"/>
    <w:rsid w:val="004825AD"/>
    <w:rsid w:val="004A7963"/>
    <w:rsid w:val="004D3C9A"/>
    <w:rsid w:val="004E6685"/>
    <w:rsid w:val="004F44C4"/>
    <w:rsid w:val="00502E95"/>
    <w:rsid w:val="0050490C"/>
    <w:rsid w:val="00523232"/>
    <w:rsid w:val="00532B01"/>
    <w:rsid w:val="005376A8"/>
    <w:rsid w:val="005441CB"/>
    <w:rsid w:val="005708EB"/>
    <w:rsid w:val="005A01C8"/>
    <w:rsid w:val="005A1E94"/>
    <w:rsid w:val="0061121A"/>
    <w:rsid w:val="00632583"/>
    <w:rsid w:val="00634EFB"/>
    <w:rsid w:val="00640656"/>
    <w:rsid w:val="00641857"/>
    <w:rsid w:val="00655916"/>
    <w:rsid w:val="00670CAA"/>
    <w:rsid w:val="00677B16"/>
    <w:rsid w:val="006A6ACA"/>
    <w:rsid w:val="006B13F7"/>
    <w:rsid w:val="006C58ED"/>
    <w:rsid w:val="006D3E8A"/>
    <w:rsid w:val="006D71EC"/>
    <w:rsid w:val="006F6225"/>
    <w:rsid w:val="00712A70"/>
    <w:rsid w:val="00725BC4"/>
    <w:rsid w:val="00730FDE"/>
    <w:rsid w:val="007629AB"/>
    <w:rsid w:val="00765FEF"/>
    <w:rsid w:val="00775C7E"/>
    <w:rsid w:val="0077615C"/>
    <w:rsid w:val="00785210"/>
    <w:rsid w:val="007B6873"/>
    <w:rsid w:val="007C0535"/>
    <w:rsid w:val="007C0E0E"/>
    <w:rsid w:val="007D6033"/>
    <w:rsid w:val="007F3344"/>
    <w:rsid w:val="007F7624"/>
    <w:rsid w:val="00836FE0"/>
    <w:rsid w:val="00866D31"/>
    <w:rsid w:val="008A7A7B"/>
    <w:rsid w:val="008D603B"/>
    <w:rsid w:val="008D6784"/>
    <w:rsid w:val="008E4FB5"/>
    <w:rsid w:val="00903049"/>
    <w:rsid w:val="00910E0E"/>
    <w:rsid w:val="00917504"/>
    <w:rsid w:val="00923915"/>
    <w:rsid w:val="00926525"/>
    <w:rsid w:val="00931D5A"/>
    <w:rsid w:val="0094414D"/>
    <w:rsid w:val="00961B30"/>
    <w:rsid w:val="00972374"/>
    <w:rsid w:val="00990875"/>
    <w:rsid w:val="009D2968"/>
    <w:rsid w:val="009D443D"/>
    <w:rsid w:val="009F7BB2"/>
    <w:rsid w:val="00A37F3D"/>
    <w:rsid w:val="00A4737C"/>
    <w:rsid w:val="00A706D3"/>
    <w:rsid w:val="00A7434E"/>
    <w:rsid w:val="00A829CF"/>
    <w:rsid w:val="00A84BF9"/>
    <w:rsid w:val="00A96F4F"/>
    <w:rsid w:val="00AA687C"/>
    <w:rsid w:val="00AB1F7A"/>
    <w:rsid w:val="00AC2832"/>
    <w:rsid w:val="00AC3C19"/>
    <w:rsid w:val="00AD0B45"/>
    <w:rsid w:val="00AE001B"/>
    <w:rsid w:val="00AE376D"/>
    <w:rsid w:val="00AE6815"/>
    <w:rsid w:val="00AF2A79"/>
    <w:rsid w:val="00B07753"/>
    <w:rsid w:val="00B6088A"/>
    <w:rsid w:val="00B64998"/>
    <w:rsid w:val="00B668FF"/>
    <w:rsid w:val="00B671D7"/>
    <w:rsid w:val="00B74694"/>
    <w:rsid w:val="00BA2CE9"/>
    <w:rsid w:val="00BA7189"/>
    <w:rsid w:val="00BB123A"/>
    <w:rsid w:val="00BE36BC"/>
    <w:rsid w:val="00C1120D"/>
    <w:rsid w:val="00C70253"/>
    <w:rsid w:val="00C90D3C"/>
    <w:rsid w:val="00CB6681"/>
    <w:rsid w:val="00CD454C"/>
    <w:rsid w:val="00D102E8"/>
    <w:rsid w:val="00D5562D"/>
    <w:rsid w:val="00D72675"/>
    <w:rsid w:val="00D754EC"/>
    <w:rsid w:val="00D75A12"/>
    <w:rsid w:val="00DA1692"/>
    <w:rsid w:val="00DA40EA"/>
    <w:rsid w:val="00DA55F0"/>
    <w:rsid w:val="00DA7088"/>
    <w:rsid w:val="00DF71AF"/>
    <w:rsid w:val="00E17C51"/>
    <w:rsid w:val="00E50DD9"/>
    <w:rsid w:val="00E60947"/>
    <w:rsid w:val="00E654F2"/>
    <w:rsid w:val="00E659D3"/>
    <w:rsid w:val="00E91BC8"/>
    <w:rsid w:val="00EC31C0"/>
    <w:rsid w:val="00EE6D52"/>
    <w:rsid w:val="00EF41B2"/>
    <w:rsid w:val="00EF795E"/>
    <w:rsid w:val="00F07ADA"/>
    <w:rsid w:val="00F45B0E"/>
    <w:rsid w:val="00F45FDF"/>
    <w:rsid w:val="00F6038F"/>
    <w:rsid w:val="00F608AC"/>
    <w:rsid w:val="00F744D2"/>
    <w:rsid w:val="00F97A09"/>
    <w:rsid w:val="00FA1CF8"/>
    <w:rsid w:val="00FC0202"/>
    <w:rsid w:val="00FD1398"/>
    <w:rsid w:val="00FD36A0"/>
    <w:rsid w:val="00FE36BC"/>
    <w:rsid w:val="00FE4766"/>
    <w:rsid w:val="00FF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591F8"/>
  <w15:docId w15:val="{6B322A90-117B-3941-A440-B135945D6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0947"/>
    <w:rPr>
      <w:color w:val="0563C1" w:themeColor="hyperlink"/>
      <w:u w:val="single"/>
    </w:rPr>
  </w:style>
  <w:style w:type="character" w:styleId="UnresolvedMention">
    <w:name w:val="Unresolved Mention"/>
    <w:basedOn w:val="DefaultParagraphFont"/>
    <w:uiPriority w:val="99"/>
    <w:semiHidden/>
    <w:unhideWhenUsed/>
    <w:rsid w:val="00E60947"/>
    <w:rPr>
      <w:color w:val="605E5C"/>
      <w:shd w:val="clear" w:color="auto" w:fill="E1DFDD"/>
    </w:rPr>
  </w:style>
  <w:style w:type="paragraph" w:styleId="Header">
    <w:name w:val="header"/>
    <w:basedOn w:val="Normal"/>
    <w:link w:val="HeaderChar"/>
    <w:uiPriority w:val="99"/>
    <w:unhideWhenUsed/>
    <w:rsid w:val="00E60947"/>
    <w:pPr>
      <w:tabs>
        <w:tab w:val="center" w:pos="4680"/>
        <w:tab w:val="right" w:pos="9360"/>
      </w:tabs>
    </w:pPr>
  </w:style>
  <w:style w:type="character" w:customStyle="1" w:styleId="HeaderChar">
    <w:name w:val="Header Char"/>
    <w:basedOn w:val="DefaultParagraphFont"/>
    <w:link w:val="Header"/>
    <w:uiPriority w:val="99"/>
    <w:rsid w:val="00E60947"/>
  </w:style>
  <w:style w:type="paragraph" w:styleId="Footer">
    <w:name w:val="footer"/>
    <w:basedOn w:val="Normal"/>
    <w:link w:val="FooterChar"/>
    <w:uiPriority w:val="99"/>
    <w:unhideWhenUsed/>
    <w:rsid w:val="00E60947"/>
    <w:pPr>
      <w:tabs>
        <w:tab w:val="center" w:pos="4680"/>
        <w:tab w:val="right" w:pos="9360"/>
      </w:tabs>
    </w:pPr>
  </w:style>
  <w:style w:type="character" w:customStyle="1" w:styleId="FooterChar">
    <w:name w:val="Footer Char"/>
    <w:basedOn w:val="DefaultParagraphFont"/>
    <w:link w:val="Footer"/>
    <w:uiPriority w:val="99"/>
    <w:rsid w:val="00E60947"/>
  </w:style>
  <w:style w:type="paragraph" w:styleId="ListParagraph">
    <w:name w:val="List Paragraph"/>
    <w:basedOn w:val="Normal"/>
    <w:uiPriority w:val="34"/>
    <w:qFormat/>
    <w:rsid w:val="00E60947"/>
    <w:pPr>
      <w:ind w:left="720"/>
      <w:contextualSpacing/>
    </w:pPr>
    <w:rPr>
      <w:kern w:val="0"/>
      <w14:ligatures w14:val="none"/>
    </w:rPr>
  </w:style>
  <w:style w:type="paragraph" w:styleId="FootnoteText">
    <w:name w:val="footnote text"/>
    <w:basedOn w:val="Normal"/>
    <w:link w:val="FootnoteTextChar"/>
    <w:uiPriority w:val="9"/>
    <w:unhideWhenUsed/>
    <w:qFormat/>
    <w:rsid w:val="00E60947"/>
    <w:rPr>
      <w:sz w:val="20"/>
      <w:szCs w:val="20"/>
    </w:rPr>
  </w:style>
  <w:style w:type="character" w:customStyle="1" w:styleId="FootnoteTextChar">
    <w:name w:val="Footnote Text Char"/>
    <w:basedOn w:val="DefaultParagraphFont"/>
    <w:link w:val="FootnoteText"/>
    <w:uiPriority w:val="9"/>
    <w:rsid w:val="00E60947"/>
    <w:rPr>
      <w:sz w:val="20"/>
      <w:szCs w:val="20"/>
    </w:rPr>
  </w:style>
  <w:style w:type="character" w:styleId="FootnoteReference">
    <w:name w:val="footnote reference"/>
    <w:basedOn w:val="DefaultParagraphFont"/>
    <w:rsid w:val="00E60947"/>
    <w:rPr>
      <w:vertAlign w:val="superscript"/>
    </w:rPr>
  </w:style>
  <w:style w:type="character" w:styleId="CommentReference">
    <w:name w:val="annotation reference"/>
    <w:basedOn w:val="DefaultParagraphFont"/>
    <w:uiPriority w:val="99"/>
    <w:semiHidden/>
    <w:unhideWhenUsed/>
    <w:rsid w:val="00E60947"/>
    <w:rPr>
      <w:sz w:val="16"/>
      <w:szCs w:val="16"/>
    </w:rPr>
  </w:style>
  <w:style w:type="paragraph" w:styleId="CommentText">
    <w:name w:val="annotation text"/>
    <w:basedOn w:val="Normal"/>
    <w:link w:val="CommentTextChar"/>
    <w:uiPriority w:val="99"/>
    <w:unhideWhenUsed/>
    <w:rsid w:val="00E60947"/>
    <w:rPr>
      <w:sz w:val="20"/>
      <w:szCs w:val="20"/>
    </w:rPr>
  </w:style>
  <w:style w:type="character" w:customStyle="1" w:styleId="CommentTextChar">
    <w:name w:val="Comment Text Char"/>
    <w:basedOn w:val="DefaultParagraphFont"/>
    <w:link w:val="CommentText"/>
    <w:uiPriority w:val="99"/>
    <w:rsid w:val="00E60947"/>
    <w:rPr>
      <w:sz w:val="20"/>
      <w:szCs w:val="20"/>
    </w:rPr>
  </w:style>
  <w:style w:type="paragraph" w:styleId="CommentSubject">
    <w:name w:val="annotation subject"/>
    <w:basedOn w:val="CommentText"/>
    <w:next w:val="CommentText"/>
    <w:link w:val="CommentSubjectChar"/>
    <w:uiPriority w:val="99"/>
    <w:semiHidden/>
    <w:unhideWhenUsed/>
    <w:rsid w:val="00E60947"/>
    <w:rPr>
      <w:b/>
      <w:bCs/>
    </w:rPr>
  </w:style>
  <w:style w:type="character" w:customStyle="1" w:styleId="CommentSubjectChar">
    <w:name w:val="Comment Subject Char"/>
    <w:basedOn w:val="CommentTextChar"/>
    <w:link w:val="CommentSubject"/>
    <w:uiPriority w:val="99"/>
    <w:semiHidden/>
    <w:rsid w:val="00E60947"/>
    <w:rPr>
      <w:b/>
      <w:bCs/>
      <w:sz w:val="20"/>
      <w:szCs w:val="20"/>
    </w:rPr>
  </w:style>
  <w:style w:type="table" w:styleId="TableGrid">
    <w:name w:val="Table Grid"/>
    <w:basedOn w:val="TableNormal"/>
    <w:uiPriority w:val="39"/>
    <w:rsid w:val="005376A8"/>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6106E"/>
    <w:rPr>
      <w:i/>
      <w:iCs/>
    </w:rPr>
  </w:style>
  <w:style w:type="paragraph" w:styleId="BodyText">
    <w:name w:val="Body Text"/>
    <w:basedOn w:val="Normal"/>
    <w:link w:val="BodyTextChar"/>
    <w:qFormat/>
    <w:rsid w:val="00F608AC"/>
    <w:pPr>
      <w:spacing w:before="180" w:after="180"/>
    </w:pPr>
    <w:rPr>
      <w:rFonts w:asciiTheme="minorHAnsi" w:hAnsiTheme="minorHAnsi" w:cstheme="minorBidi"/>
      <w:kern w:val="0"/>
      <w14:ligatures w14:val="none"/>
    </w:rPr>
  </w:style>
  <w:style w:type="character" w:customStyle="1" w:styleId="BodyTextChar">
    <w:name w:val="Body Text Char"/>
    <w:basedOn w:val="DefaultParagraphFont"/>
    <w:link w:val="BodyText"/>
    <w:rsid w:val="00F608AC"/>
    <w:rPr>
      <w:rFonts w:asciiTheme="minorHAnsi" w:hAnsiTheme="minorHAnsi" w:cstheme="minorBidi"/>
      <w:kern w:val="0"/>
      <w14:ligatures w14:val="none"/>
    </w:rPr>
  </w:style>
  <w:style w:type="paragraph" w:customStyle="1" w:styleId="FirstParagraph">
    <w:name w:val="First Paragraph"/>
    <w:basedOn w:val="BodyText"/>
    <w:next w:val="BodyText"/>
    <w:qFormat/>
    <w:rsid w:val="00F608AC"/>
  </w:style>
  <w:style w:type="paragraph" w:styleId="BalloonText">
    <w:name w:val="Balloon Text"/>
    <w:basedOn w:val="Normal"/>
    <w:link w:val="BalloonTextChar"/>
    <w:uiPriority w:val="99"/>
    <w:semiHidden/>
    <w:unhideWhenUsed/>
    <w:rsid w:val="00F608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08AC"/>
    <w:rPr>
      <w:rFonts w:ascii="Segoe UI" w:hAnsi="Segoe UI" w:cs="Segoe UI"/>
      <w:sz w:val="18"/>
      <w:szCs w:val="18"/>
    </w:rPr>
  </w:style>
  <w:style w:type="paragraph" w:styleId="Revision">
    <w:name w:val="Revision"/>
    <w:hidden/>
    <w:uiPriority w:val="99"/>
    <w:semiHidden/>
    <w:rsid w:val="00F608AC"/>
  </w:style>
  <w:style w:type="paragraph" w:styleId="Bibliography">
    <w:name w:val="Bibliography"/>
    <w:basedOn w:val="Normal"/>
    <w:qFormat/>
    <w:rsid w:val="00075DC9"/>
    <w:pPr>
      <w:spacing w:after="200"/>
    </w:pPr>
    <w:rPr>
      <w:rFonts w:asciiTheme="minorHAnsi" w:hAnsiTheme="minorHAnsi" w:cstheme="minorBidi"/>
      <w:kern w:val="0"/>
    </w:rPr>
  </w:style>
  <w:style w:type="character" w:customStyle="1" w:styleId="VerbatimChar">
    <w:name w:val="Verbatim Char"/>
    <w:basedOn w:val="DefaultParagraphFont"/>
    <w:link w:val="SourceCode"/>
    <w:rsid w:val="00725BC4"/>
    <w:rPr>
      <w:rFonts w:ascii="Consolas" w:hAnsi="Consolas"/>
      <w:sz w:val="22"/>
      <w:shd w:val="clear" w:color="auto" w:fill="F1F3F5"/>
    </w:rPr>
  </w:style>
  <w:style w:type="paragraph" w:customStyle="1" w:styleId="SourceCode">
    <w:name w:val="Source Code"/>
    <w:basedOn w:val="Normal"/>
    <w:link w:val="VerbatimChar"/>
    <w:rsid w:val="00725BC4"/>
    <w:pPr>
      <w:shd w:val="clear" w:color="auto" w:fill="F1F3F5"/>
      <w:wordWrap w:val="0"/>
      <w:spacing w:after="200"/>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457850">
      <w:bodyDiv w:val="1"/>
      <w:marLeft w:val="0"/>
      <w:marRight w:val="0"/>
      <w:marTop w:val="0"/>
      <w:marBottom w:val="0"/>
      <w:divBdr>
        <w:top w:val="none" w:sz="0" w:space="0" w:color="auto"/>
        <w:left w:val="none" w:sz="0" w:space="0" w:color="auto"/>
        <w:bottom w:val="none" w:sz="0" w:space="0" w:color="auto"/>
        <w:right w:val="none" w:sz="0" w:space="0" w:color="auto"/>
      </w:divBdr>
      <w:divsChild>
        <w:div w:id="803083092">
          <w:marLeft w:val="480"/>
          <w:marRight w:val="0"/>
          <w:marTop w:val="0"/>
          <w:marBottom w:val="0"/>
          <w:divBdr>
            <w:top w:val="none" w:sz="0" w:space="0" w:color="auto"/>
            <w:left w:val="none" w:sz="0" w:space="0" w:color="auto"/>
            <w:bottom w:val="none" w:sz="0" w:space="0" w:color="auto"/>
            <w:right w:val="none" w:sz="0" w:space="0" w:color="auto"/>
          </w:divBdr>
          <w:divsChild>
            <w:div w:id="138617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0832">
      <w:bodyDiv w:val="1"/>
      <w:marLeft w:val="0"/>
      <w:marRight w:val="0"/>
      <w:marTop w:val="0"/>
      <w:marBottom w:val="0"/>
      <w:divBdr>
        <w:top w:val="none" w:sz="0" w:space="0" w:color="auto"/>
        <w:left w:val="none" w:sz="0" w:space="0" w:color="auto"/>
        <w:bottom w:val="none" w:sz="0" w:space="0" w:color="auto"/>
        <w:right w:val="none" w:sz="0" w:space="0" w:color="auto"/>
      </w:divBdr>
      <w:divsChild>
        <w:div w:id="553195646">
          <w:marLeft w:val="480"/>
          <w:marRight w:val="0"/>
          <w:marTop w:val="0"/>
          <w:marBottom w:val="0"/>
          <w:divBdr>
            <w:top w:val="none" w:sz="0" w:space="0" w:color="auto"/>
            <w:left w:val="none" w:sz="0" w:space="0" w:color="auto"/>
            <w:bottom w:val="none" w:sz="0" w:space="0" w:color="auto"/>
            <w:right w:val="none" w:sz="0" w:space="0" w:color="auto"/>
          </w:divBdr>
          <w:divsChild>
            <w:div w:id="2164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3074">
      <w:bodyDiv w:val="1"/>
      <w:marLeft w:val="0"/>
      <w:marRight w:val="0"/>
      <w:marTop w:val="0"/>
      <w:marBottom w:val="0"/>
      <w:divBdr>
        <w:top w:val="none" w:sz="0" w:space="0" w:color="auto"/>
        <w:left w:val="none" w:sz="0" w:space="0" w:color="auto"/>
        <w:bottom w:val="none" w:sz="0" w:space="0" w:color="auto"/>
        <w:right w:val="none" w:sz="0" w:space="0" w:color="auto"/>
      </w:divBdr>
      <w:divsChild>
        <w:div w:id="1341816038">
          <w:marLeft w:val="480"/>
          <w:marRight w:val="0"/>
          <w:marTop w:val="0"/>
          <w:marBottom w:val="0"/>
          <w:divBdr>
            <w:top w:val="none" w:sz="0" w:space="0" w:color="auto"/>
            <w:left w:val="none" w:sz="0" w:space="0" w:color="auto"/>
            <w:bottom w:val="none" w:sz="0" w:space="0" w:color="auto"/>
            <w:right w:val="none" w:sz="0" w:space="0" w:color="auto"/>
          </w:divBdr>
          <w:divsChild>
            <w:div w:id="13988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5457">
      <w:bodyDiv w:val="1"/>
      <w:marLeft w:val="0"/>
      <w:marRight w:val="0"/>
      <w:marTop w:val="0"/>
      <w:marBottom w:val="0"/>
      <w:divBdr>
        <w:top w:val="none" w:sz="0" w:space="0" w:color="auto"/>
        <w:left w:val="none" w:sz="0" w:space="0" w:color="auto"/>
        <w:bottom w:val="none" w:sz="0" w:space="0" w:color="auto"/>
        <w:right w:val="none" w:sz="0" w:space="0" w:color="auto"/>
      </w:divBdr>
      <w:divsChild>
        <w:div w:id="347492780">
          <w:marLeft w:val="480"/>
          <w:marRight w:val="0"/>
          <w:marTop w:val="0"/>
          <w:marBottom w:val="0"/>
          <w:divBdr>
            <w:top w:val="none" w:sz="0" w:space="0" w:color="auto"/>
            <w:left w:val="none" w:sz="0" w:space="0" w:color="auto"/>
            <w:bottom w:val="none" w:sz="0" w:space="0" w:color="auto"/>
            <w:right w:val="none" w:sz="0" w:space="0" w:color="auto"/>
          </w:divBdr>
          <w:divsChild>
            <w:div w:id="136335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3455">
      <w:bodyDiv w:val="1"/>
      <w:marLeft w:val="0"/>
      <w:marRight w:val="0"/>
      <w:marTop w:val="0"/>
      <w:marBottom w:val="0"/>
      <w:divBdr>
        <w:top w:val="none" w:sz="0" w:space="0" w:color="auto"/>
        <w:left w:val="none" w:sz="0" w:space="0" w:color="auto"/>
        <w:bottom w:val="none" w:sz="0" w:space="0" w:color="auto"/>
        <w:right w:val="none" w:sz="0" w:space="0" w:color="auto"/>
      </w:divBdr>
      <w:divsChild>
        <w:div w:id="875459460">
          <w:marLeft w:val="480"/>
          <w:marRight w:val="0"/>
          <w:marTop w:val="0"/>
          <w:marBottom w:val="0"/>
          <w:divBdr>
            <w:top w:val="none" w:sz="0" w:space="0" w:color="auto"/>
            <w:left w:val="none" w:sz="0" w:space="0" w:color="auto"/>
            <w:bottom w:val="none" w:sz="0" w:space="0" w:color="auto"/>
            <w:right w:val="none" w:sz="0" w:space="0" w:color="auto"/>
          </w:divBdr>
          <w:divsChild>
            <w:div w:id="210599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3690">
      <w:bodyDiv w:val="1"/>
      <w:marLeft w:val="0"/>
      <w:marRight w:val="0"/>
      <w:marTop w:val="0"/>
      <w:marBottom w:val="0"/>
      <w:divBdr>
        <w:top w:val="none" w:sz="0" w:space="0" w:color="auto"/>
        <w:left w:val="none" w:sz="0" w:space="0" w:color="auto"/>
        <w:bottom w:val="none" w:sz="0" w:space="0" w:color="auto"/>
        <w:right w:val="none" w:sz="0" w:space="0" w:color="auto"/>
      </w:divBdr>
      <w:divsChild>
        <w:div w:id="502550435">
          <w:marLeft w:val="480"/>
          <w:marRight w:val="0"/>
          <w:marTop w:val="0"/>
          <w:marBottom w:val="0"/>
          <w:divBdr>
            <w:top w:val="none" w:sz="0" w:space="0" w:color="auto"/>
            <w:left w:val="none" w:sz="0" w:space="0" w:color="auto"/>
            <w:bottom w:val="none" w:sz="0" w:space="0" w:color="auto"/>
            <w:right w:val="none" w:sz="0" w:space="0" w:color="auto"/>
          </w:divBdr>
          <w:divsChild>
            <w:div w:id="8314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8319">
      <w:bodyDiv w:val="1"/>
      <w:marLeft w:val="0"/>
      <w:marRight w:val="0"/>
      <w:marTop w:val="0"/>
      <w:marBottom w:val="0"/>
      <w:divBdr>
        <w:top w:val="none" w:sz="0" w:space="0" w:color="auto"/>
        <w:left w:val="none" w:sz="0" w:space="0" w:color="auto"/>
        <w:bottom w:val="none" w:sz="0" w:space="0" w:color="auto"/>
        <w:right w:val="none" w:sz="0" w:space="0" w:color="auto"/>
      </w:divBdr>
      <w:divsChild>
        <w:div w:id="1721318860">
          <w:marLeft w:val="480"/>
          <w:marRight w:val="0"/>
          <w:marTop w:val="0"/>
          <w:marBottom w:val="0"/>
          <w:divBdr>
            <w:top w:val="none" w:sz="0" w:space="0" w:color="auto"/>
            <w:left w:val="none" w:sz="0" w:space="0" w:color="auto"/>
            <w:bottom w:val="none" w:sz="0" w:space="0" w:color="auto"/>
            <w:right w:val="none" w:sz="0" w:space="0" w:color="auto"/>
          </w:divBdr>
          <w:divsChild>
            <w:div w:id="58006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94768">
      <w:bodyDiv w:val="1"/>
      <w:marLeft w:val="0"/>
      <w:marRight w:val="0"/>
      <w:marTop w:val="0"/>
      <w:marBottom w:val="0"/>
      <w:divBdr>
        <w:top w:val="none" w:sz="0" w:space="0" w:color="auto"/>
        <w:left w:val="none" w:sz="0" w:space="0" w:color="auto"/>
        <w:bottom w:val="none" w:sz="0" w:space="0" w:color="auto"/>
        <w:right w:val="none" w:sz="0" w:space="0" w:color="auto"/>
      </w:divBdr>
      <w:divsChild>
        <w:div w:id="102578300">
          <w:marLeft w:val="480"/>
          <w:marRight w:val="0"/>
          <w:marTop w:val="0"/>
          <w:marBottom w:val="0"/>
          <w:divBdr>
            <w:top w:val="none" w:sz="0" w:space="0" w:color="auto"/>
            <w:left w:val="none" w:sz="0" w:space="0" w:color="auto"/>
            <w:bottom w:val="none" w:sz="0" w:space="0" w:color="auto"/>
            <w:right w:val="none" w:sz="0" w:space="0" w:color="auto"/>
          </w:divBdr>
          <w:divsChild>
            <w:div w:id="92438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5611">
      <w:bodyDiv w:val="1"/>
      <w:marLeft w:val="0"/>
      <w:marRight w:val="0"/>
      <w:marTop w:val="0"/>
      <w:marBottom w:val="0"/>
      <w:divBdr>
        <w:top w:val="none" w:sz="0" w:space="0" w:color="auto"/>
        <w:left w:val="none" w:sz="0" w:space="0" w:color="auto"/>
        <w:bottom w:val="none" w:sz="0" w:space="0" w:color="auto"/>
        <w:right w:val="none" w:sz="0" w:space="0" w:color="auto"/>
      </w:divBdr>
      <w:divsChild>
        <w:div w:id="1724480323">
          <w:marLeft w:val="480"/>
          <w:marRight w:val="0"/>
          <w:marTop w:val="0"/>
          <w:marBottom w:val="0"/>
          <w:divBdr>
            <w:top w:val="none" w:sz="0" w:space="0" w:color="auto"/>
            <w:left w:val="none" w:sz="0" w:space="0" w:color="auto"/>
            <w:bottom w:val="none" w:sz="0" w:space="0" w:color="auto"/>
            <w:right w:val="none" w:sz="0" w:space="0" w:color="auto"/>
          </w:divBdr>
          <w:divsChild>
            <w:div w:id="134775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7CA75-A3F2-F44F-A02B-2BCB143D0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5805</Words>
  <Characters>33089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Sparks</dc:creator>
  <cp:keywords/>
  <dc:description/>
  <cp:lastModifiedBy>Nowlin, Matthew Christopher</cp:lastModifiedBy>
  <cp:revision>6</cp:revision>
  <dcterms:created xsi:type="dcterms:W3CDTF">2024-07-25T18:47:00Z</dcterms:created>
  <dcterms:modified xsi:type="dcterms:W3CDTF">2026-05-21T22:21:00Z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id="4JtlnozP"/&gt;&lt;style id="http://www.zotero.org/styles/american-political-science-association" locale="en-US" hasBibliography="1" bibliographyStyleHasBeenSet="0"/&gt;&lt;prefs&gt;&lt;pref name="fieldType" value=</vt:lpwstr>
  </property>
  <property fmtid="{D5CDD505-2E9C-101B-9397-08002B2CF9AE}" pid="3" name="ZOTERO_PREF_2">
    <vt:lpwstr>"Field"/&gt;&lt;pref name="automaticJournalAbbreviations" value="true"/&gt;&lt;/prefs&gt;&lt;/data&gt;</vt:lpwstr>
  </property>
</Properties>
</file>