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Beliefs about climate change form an interconnected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w:t>
      </w:r>
    </w:p>
    <w:p>
      <w:pPr>
        <w:pStyle w:val="BodyText"/>
      </w:pPr>
      <w:r>
        <w:t xml:space="preserve">In this paper, I use original survey data to examine the climate change belief system using measures of various types of beliefs not measured in previous research, including core beliefs (cultural worldviews, political ideology, partisanship, environment orientation), policy domain beliefs (views about climate change), and views on various policies to address climate change. By examining the climate change belief network, I can determine which beliefs are the most central within it. However, 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For example, hierarchical accounts of belief system structure point to deep core beliefs such as cultural worldviews and political identity. The</w:t>
      </w:r>
      <w:r>
        <w:t xml:space="preserve"> </w:t>
      </w:r>
      <w:r>
        <w:t xml:space="preserve">“gateway belief”</w:t>
      </w:r>
      <w:r>
        <w:t xml:space="preserve"> </w:t>
      </w:r>
      <w:r>
        <w:t xml:space="preserve">model points instead to perceived scientific consensus</w:t>
      </w:r>
      <w:r>
        <w:t xml:space="preserve"> </w:t>
      </w:r>
      <w:r>
        <w:t xml:space="preserve">(e.g., Van Der Linden 2021)</w:t>
      </w:r>
      <w:r>
        <w:t xml:space="preserve">, and solution-aversion accounts point to secondary beliefs and policy preferences. I use these three accounts as theoretical frameworks for interpreting which beliefs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To examine the climate change belief system network, I explore it first as an undirected network, using a Gaussian graphical model (GGM), then I use a directed Bayesian network. Analyzing both types of networks allows for comparisons of centrality across an undirected network and a directed network, the latter offering an estimated ordering among beliefs rather than a direct test of the theoretical, deep core/policy core/secondary hierarchy. Using common measures of network centrality, including strength, closeness, and betweenness, I find that in the GGM network cultural worldviews, specifically egalitarianism (a deep core belief), support for EPA regulations (a secondary belief), and perceptions of climate change risk (a policy core belief) have the highest point estimates for centrality in the network, though pairwise comparisons show these ranks are not always statistically distinguishable from other beliefs. The centrality of beliefs also varied across the different centrality measures, indicating that different types of beliefs serve different functions within a belief system network. For example, in the GGM egalitarianism had the highest betweenness and closeness centrality among all respondents, indicating that it served as a bridge connecting other beliefs in the network. Yet, support for EPA regulations, a policy preference, had the highest strength centrality, meaning that it had the strongest connections (i.e., highest partial correlations with other nodes) in the network. However, the Bayesian network, which estimates a directed structure over the same beliefs, complicates this picture as egalitarianism does not occupy an upstream,</w:t>
      </w:r>
      <w:r>
        <w:t xml:space="preserve"> </w:t>
      </w:r>
      <w:r>
        <w:t xml:space="preserve">“parent”</w:t>
      </w:r>
      <w:r>
        <w:t xml:space="preserve"> </w:t>
      </w:r>
      <w:r>
        <w:t xml:space="preserve">position in the directed network, rather support for an international climate agreement, a secondary/policy belief, has the highest out-degree of any node. Additionally, individualism (a deep core belief) and perceived climate risk (a policy core belief) rank highly by both approaches. Structural importance in the climate change belief network cuts across the deep core, policy core, and secondary belief hierarchy that theory predicts, as individualism, perceived climate risk, and support for an international agreement are robustly central regardless of whether the network is modeled as undirected or directed, while egalitarianism’s apparent centrality holds only in the undirected model. These findings suggest that conceptualizing and measuring belief systems as networks opens up the theoretical and empirical understanding of how different types of beliefs function. A network approach complements and does not displace a hierarchical one, but comparing the two reveals which beliefs’ structural importance depends on modeling assumptions and which does not. Such a distinction is one a hierarchical approach alone cannot make.</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a) the components of the belief system must be connected; b) these connections should be causal; and c) contain an accounting of the potential impacts of exogenous factors.</w:t>
      </w:r>
    </w:p>
    <w:p>
      <w:pPr>
        <w:pStyle w:val="BodyText"/>
      </w:pPr>
      <w:r>
        <w:t xml:space="preserve">Two approaches have developed to characterize how connections within belief systems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tradition instead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Beliefs can be categorized by type (i.e., deep core, policy core, and secondary) across the two approaches, but the function of those beliefs and how they constrain other beliefs differ, with a hierarchical approach positing top-down influences and a network approach allowing influence to be determined empirically by the structure of the network.</w:t>
      </w:r>
    </w:p>
    <w:p>
      <w:pPr>
        <w:pStyle w:val="BodyText"/>
      </w:pPr>
      <w:r>
        <w:t xml:space="preserve">As noted, belief types consist of deep core, policy core, and secondary beliefs. Deep core beliefs are foundational values that are sufficiently abstract that they can inform views on a variety of policy issues. They are,</w:t>
      </w:r>
    </w:p>
    <w:p>
      <w:pPr>
        <w:pStyle w:val="BlockText"/>
      </w:pPr>
      <w:r>
        <w:t xml:space="preserve">combinations of beliefs about broad societal norms concerning the role of government vs. the market in society, beliefs about the appropriate balance of expertise and centralized authority vs. communal or consensus-based decision making, and views about the relative priority of values such as liberty, equality, and security</w:t>
      </w:r>
      <w:r>
        <w:t xml:space="preserve"> </w:t>
      </w:r>
      <w:r>
        <w:t xml:space="preserve">(Jenkins-Smith et al. 2014, 492)</w:t>
      </w:r>
      <w:r>
        <w:t xml:space="preserve">.</w:t>
      </w:r>
    </w:p>
    <w:p>
      <w:pPr>
        <w:pStyle w:val="FirstParagraph"/>
      </w:pPr>
      <w:r>
        <w:t xml:space="preserve">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claim as a testable, empirical question rather than an assumption built into the model. Deep core beliefs are important not because of their position atop a hierarchy but only if they occupy central or structurally important positions among a network’s nodes. Several studies have found that they are.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 Notably, these findings come from belief networks that span several policy issues at once; whether ideology and partisanship play the same organizing role within a belief network built around a single issue is a separate, open question I return to in the Discussion.</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 beliefs</w:t>
      </w:r>
      <w:r>
        <w:t xml:space="preserve">, which involve beliefs about particular policy issues such as immigration, national security, or climate change and which the hierarchical view holds are influenced by deep core beliefs. Finally,</w:t>
      </w:r>
      <w:r>
        <w:t xml:space="preserve"> </w:t>
      </w:r>
      <w:r>
        <w:rPr>
          <w:i/>
          <w:iCs/>
        </w:rPr>
        <w:t xml:space="preserve">secondary beliefs</w:t>
      </w:r>
      <w:r>
        <w:t xml:space="preserve"> </w:t>
      </w:r>
      <w:r>
        <w:t xml:space="preserve">are beliefs regarding policy approaches, such as a carbon tax or Environmental Protection Agency (EPA) regulations, and are influenced by both deep core and policy core beliefs. A network approach retains this same vocabulary, as deep core, policy core, and secondary beliefs remain useful descriptive categories for types of nodes, but leaves open the possibility that belief centrality does not follow the specific deep core to policy core to secondary belief ordering. Instead, a belief’s centrality is a function of its connections to other nodes regardless of its type or category.</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For example, I treat environmental orientation as a deep core belief because it could conceivably shape beliefs about several environmental issues and policy areas (e.g., climate change, energy production, endangered species protection). However, other scholars could arguably treat environmental orientations as a policy core belief, with</w:t>
      </w:r>
      <w:r>
        <w:t xml:space="preserve"> </w:t>
      </w:r>
      <w:r>
        <w:t xml:space="preserve">“the environment”</w:t>
      </w:r>
      <w:r>
        <w:t xml:space="preserve"> </w:t>
      </w:r>
      <w:r>
        <w:t xml:space="preserve">being seen as a policy issue. Additionally, each type of belief has been measured in different ways, leading to different conclusions among scholars about belief systems</w:t>
      </w:r>
      <w:r>
        <w:t xml:space="preserve"> </w:t>
      </w:r>
      <w:r>
        <w:t xml:space="preserve">(Henry et al. 2022; Ripberger et al. 2014)</w:t>
      </w:r>
      <w:r>
        <w:t xml:space="preserve">. A network approach avoids this problem by not assuming the vertical, hierarchical relationship among types of beliefs, but instead a belief’s influence on other beliefs is based on measures of centrality rather than its place in a hierarchy.</w:t>
      </w:r>
    </w:p>
    <w:p>
      <w:pPr>
        <w:pStyle w:val="BodyText"/>
      </w:pPr>
      <w:r>
        <w:t xml:space="preserve">Within a belief system network, the components of the belief system – beliefs – are understood as</w:t>
      </w:r>
      <w:r>
        <w:t xml:space="preserve"> </w:t>
      </w:r>
      <w:r>
        <w:rPr>
          <w:i/>
          <w:iCs/>
        </w:rPr>
        <w:t xml:space="preserve">nodes</w:t>
      </w:r>
      <w:r>
        <w:t xml:space="preserve">, and the connections between beliefs are</w:t>
      </w:r>
      <w:r>
        <w:t xml:space="preserve"> </w:t>
      </w:r>
      <w:r>
        <w:rPr>
          <w:i/>
          <w:iCs/>
        </w:rPr>
        <w:t xml:space="preserve">edges</w:t>
      </w:r>
      <w:r>
        <w:t xml:space="preserve"> </w:t>
      </w:r>
      <w:r>
        <w:t xml:space="preserve">or</w:t>
      </w:r>
      <w:r>
        <w:t xml:space="preserve"> </w:t>
      </w:r>
      <w:r>
        <w:rPr>
          <w:i/>
          <w:iCs/>
        </w:rPr>
        <w:t xml:space="preserve">ties</w:t>
      </w:r>
      <w:r>
        <w:t xml:space="preserve">. This operationalizes belief systems consistent with how they are commonly defined, and belief system networks can be analyzed using centrality measures to determine which beliefs are prominent and influential in the network</w:t>
      </w:r>
      <w:r>
        <w:t xml:space="preserve"> </w:t>
      </w:r>
      <w:r>
        <w:t xml:space="preserve">(Brandt and Sleegers 2021; Camina et al. 2022; Epskamp, Borsboom, and Fried 2018; Fishman and Davis 2022; Keskintürk 2022; Turner-Zwinkels and Brandt 2022; Verschoor et al. 2020)</w:t>
      </w:r>
      <w:r>
        <w:t xml:space="preserve">. Beliefs that are more central in a belief system network keep an otherwise potentially disparate set of beliefs connected.</w:t>
      </w:r>
    </w:p>
    <w:p>
      <w:pPr>
        <w:pStyle w:val="BodyText"/>
      </w:pPr>
      <w:r>
        <w:t xml:space="preserve">A model of a belief system network can be built where:</w:t>
      </w:r>
    </w:p>
    <w:p>
      <w:pPr>
        <w:pStyle w:val="Compact"/>
        <w:numPr>
          <w:ilvl w:val="0"/>
          <w:numId w:val="1001"/>
        </w:numPr>
      </w:pPr>
      <w:r>
        <w:t xml:space="preserve">Individuals start with a single central belief … (b) This central belief is used to produce a number of broad stances …, which are then used to stochastically produce further beliefs. (c) Newly added sets of beliefs then form the basis for yet newer and more specific beliefs, repeating recursively to yield a center-periphery structure</w:t>
      </w:r>
      <w:r>
        <w:t xml:space="preserve"> </w:t>
      </w:r>
      <w:r>
        <w:t xml:space="preserve">(Boutyline and Vaisey 2017, 1378–79)</w:t>
      </w:r>
      <w:r>
        <w:t xml:space="preserve">.</w:t>
      </w:r>
    </w:p>
    <w:p>
      <w:pPr>
        <w:pStyle w:val="FirstParagraph"/>
      </w:pPr>
      <w:r>
        <w:t xml:space="preserve">As the belief system forms a center-periphery structure, some beliefs can begin to act as bridges, connecting beliefs in the periphery to other beliefs in the network. This is similar to the filtering role a hierarchical account attributes to deep core beliefs, but defined here by a belief’s position among its connections rather than its place in a hierarchy. Multiple measures of centrality are typically used to determine the prominence of various beliefs in a belief system network, including</w:t>
      </w:r>
      <w:r>
        <w:t xml:space="preserve"> </w:t>
      </w:r>
      <w:r>
        <w:rPr>
          <w:i/>
          <w:iCs/>
        </w:rPr>
        <w:t xml:space="preserve">betweenness</w:t>
      </w:r>
      <w:r>
        <w:t xml:space="preserve">,</w:t>
      </w:r>
      <w:r>
        <w:t xml:space="preserve"> </w:t>
      </w:r>
      <w:r>
        <w:rPr>
          <w:i/>
          <w:iCs/>
        </w:rPr>
        <w:t xml:space="preserve">closeness</w:t>
      </w:r>
      <w:r>
        <w:t xml:space="preserve">, and</w:t>
      </w:r>
      <w:r>
        <w:t xml:space="preserve"> </w:t>
      </w:r>
      <w:r>
        <w:rPr>
          <w:i/>
          <w:iCs/>
        </w:rPr>
        <w:t xml:space="preserve">degree (strength)</w:t>
      </w:r>
      <w:r>
        <w:t xml:space="preserve">. Each measure of centrality places distinct emphasis on what makes a node more or less important in the network, and that emphasis illustrates the function of the belief in the network.</w:t>
      </w:r>
    </w:p>
    <w:p>
      <w:pPr>
        <w:pStyle w:val="BodyText"/>
      </w:pPr>
      <w:r>
        <w:t xml:space="preserve">Betweenness centrality measures how beliefs in the core of the network connect to those in the periphery, or the extent to which a node lies on paths between other nodes. A node high in betweenness is thought to be important because it reduces the distance between other nodes and, therefore, becomes an important link, or gatekeeper, to the other nodes (beliefs).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 Beliefs that are high in betweenness centrality connect nodes in complex, center-periphery networks.</w:t>
      </w:r>
    </w:p>
    <w:p>
      <w:pPr>
        <w:pStyle w:val="BodyText"/>
      </w:pPr>
      <w:r>
        <w:t xml:space="preserve">Closeness centrality measures how close nodes are in a network. Nodes that are closer to several other nodes are thought to be influential because the path from them to other nodes is short, which allows the node to more readily influence other nodes through a direct effect.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Closeness centrality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 A larger value for closeness centrality indicates shorter distances to other nodes, which allows a belief to quickly influence other beliefs.</w:t>
      </w:r>
    </w:p>
    <w:p>
      <w:pPr>
        <w:pStyle w:val="BodyText"/>
      </w:pPr>
      <w:r>
        <w:t xml:space="preserve">Degree centrality measures the number of direct connections to a node, with more connections being indicating the node’s prominence and importance. Strength centrality is associated with degree centrality, but degree centrality is used in unweighted networks, or networks where connections are binary (i.e., yes or no), and strength centrality is used in weighted networks, where connections have a value, or weight, that denotes the strength of the connections. Specifically, strength centrality is calculated as the sum of the weights, rather than the sum of the connections, as in degree centrality. This means that nodes with high strength centrality are well-connected to other nodes.</w:t>
      </w:r>
    </w:p>
    <w:p>
      <w:pPr>
        <w:pStyle w:val="BodyText"/>
      </w:pPr>
      <w:r>
        <w:t xml:space="preserve">In the following analysis, I examine the network of beliefs about climate change of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which shape how they view the natural environment and the risks posed to it</w:t>
      </w:r>
      <w:r>
        <w:t xml:space="preserve"> </w:t>
      </w:r>
      <w:r>
        <w:t xml:space="preserve">(Thompson, Ellis, and Wildavsky 1990)</w:t>
      </w:r>
      <w:r>
        <w:t xml:space="preserve">. In brief, egalitarians tend to view nature as fragile and ephemeral, whereas individualists see nature as robust. Hierarchs tend to see nature as tolerant within limits that need to be carefully and expertly managed. Finally, fatalists see nature as random and unpredictable and therefore impossible for humans to manage</w:t>
      </w:r>
      <w:r>
        <w:t xml:space="preserve"> </w:t>
      </w:r>
      <w:r>
        <w:t xml:space="preserve">(Grendstad and Selle 2000)</w:t>
      </w:r>
      <w:r>
        <w:t xml:space="preserve">. The various myths of nature associated with cultural worldviews likely drive climate beliefs. Research has found that egalitarians are the most concerned about climate change, and individualists are the least concerned among the cultural types</w:t>
      </w:r>
      <w:r>
        <w:t xml:space="preserve"> </w:t>
      </w:r>
      <w:r>
        <w:t xml:space="preserve">(Jones 2011; Kahan et al. 2012; Kahan, Jenkins-Smith, and Braman 2011; Verweij et al. 2006)</w:t>
      </w:r>
      <w:r>
        <w:t xml:space="preserve">. Hierarchs tend to occupy a</w:t>
      </w:r>
      <w:r>
        <w:t xml:space="preserve"> </w:t>
      </w:r>
      <w:r>
        <w:t xml:space="preserve">“middle”</w:t>
      </w:r>
      <w:r>
        <w:t xml:space="preserve"> </w:t>
      </w:r>
      <w:r>
        <w:t xml:space="preserve">space between egalitarians and individualists on environmental issues broadly</w:t>
      </w:r>
      <w:r>
        <w:t xml:space="preserve"> </w:t>
      </w:r>
      <w:r>
        <w:t xml:space="preserve">(Ripberger et al. 2014)</w:t>
      </w:r>
      <w:r>
        <w:t xml:space="preserve"> </w:t>
      </w:r>
      <w:r>
        <w:t xml:space="preserve">and climate change specifically</w:t>
      </w:r>
      <w:r>
        <w:t xml:space="preserve"> </w:t>
      </w:r>
      <w:r>
        <w:t xml:space="preserve">(Nowlin and Rabovsky 2020)</w:t>
      </w:r>
      <w:r>
        <w:t xml:space="preserve">. Finally, given their views on the capriciousness of nature, fatalists tend not to have clearly defined beliefs about climate change</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Using the NEP scale, a pro-environmental orientation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it’s happening, it’s anthropogenic, and it’s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on both elites and the mass public is solution aversion</w:t>
      </w:r>
      <w:r>
        <w:t xml:space="preserve"> </w:t>
      </w:r>
      <w:r>
        <w:t xml:space="preserve">(Campbell and Kay 2014)</w:t>
      </w:r>
      <w:r>
        <w:t xml:space="preserve">. One of the underlying differences between Republicans/conservatives and Democrats/liberals is how they see the role of government, particularly the federal government, in addressing societal problems. Generally speaking, Republicans/conservatives are more skeptical of the government’s ability to address problems than Democrats/liberals. Much of the discussion around climate change centers on government action to address it, and when government action is presented as a solution, it is likely to trigger skepticism among Republicans/conservatives, which in turn broadens skepticism about the problem. In essence, the solution aversion hypothesis posits that secondary beliefs and/or policy preferences drive broader views of policy issues. This is evidenced by the finding that the debate over the Kyoto Protocol polarized views about climate change</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Additionally, support for regulating greenhouse gas emissions (secondary belief/policy preference) and beliefs about potential harm resulting from climate change (policy core belief) also scored high on measures of network centrality. Other studies found differences in the structure of climate change belief networks across groups, including those in global south who tended to have less density connected networks than those in the north</w:t>
      </w:r>
      <w:r>
        <w:t xml:space="preserve"> </w:t>
      </w:r>
      <w:r>
        <w:t xml:space="preserve">(Lee et al. 2025)</w:t>
      </w:r>
      <w:r>
        <w:t xml:space="preserve">, White, Black, and Hispanic respondents</w:t>
      </w:r>
      <w:r>
        <w:t xml:space="preserve"> </w:t>
      </w:r>
      <w:r>
        <w:t xml:space="preserve">(Stewart, Rivera-Kientz, and Dacey 2024)</w:t>
      </w:r>
      <w:r>
        <w:t xml:space="preserve">, Republicans and Democrats</w:t>
      </w:r>
      <w:r>
        <w:t xml:space="preserve"> </w:t>
      </w:r>
      <w:r>
        <w:t xml:space="preserve">(Lee et al. 2024)</w:t>
      </w:r>
      <w:r>
        <w:t xml:space="preserve">, and those on the political left vs the right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examined with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is theorized to serve as a causal entry point that shifts downstream climate beliefs. A third possibility, grounded in solution aversion, is that beliefs about specific policy approaches are most central, because resistance to a policy solution can influence how the underlying problem itself is perceived. The following analysis examines centrality across all three types of beliefs simultaneously, asking which beliefs, and which types of beliefs, occupy the most structurally important positions in the network, and whether that varies depending on how centrality is measured. Beliefs will likely vary in their importance in the network depending on the measurement of centrality.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20"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The data comes from a representative sample, based on quotas for age, gender, and race/ethnicity drawn from the US Census, of about 1200 US residents obtained through Survey Sampling International (SSI, now Dynata). The survey was administered online through Qualtrics. Respondents were asked questions regarding their views on climate change, support for policy approaches to address climate change, agreement with statements from the New Ecological Paradigm (NEP), questions to determine their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to current debates about the structure of climate change beliefs. As noted, deep core beliefs such as cultural worldviews are theorized to be especially resistant to change</w:t>
      </w:r>
      <w:r>
        <w:t xml:space="preserve"> </w:t>
      </w:r>
      <w:r>
        <w:t xml:space="preserve">(Converse 1964)</w:t>
      </w:r>
      <w:r>
        <w:t xml:space="preserve">, and the overall organization of the belief network, including which beliefs are central and which are peripheral should therefore likely be comparatively stable even as specific policy debates evolve. The network studies against which the present findings are compared also draw on data from a similar or earlier period</w:t>
      </w:r>
      <w:r>
        <w:t xml:space="preserve"> </w:t>
      </w:r>
      <w:r>
        <w:t xml:space="preserve">(e.g., Verschoor et al. 2020)</w:t>
      </w:r>
      <w:r>
        <w:t xml:space="preserve">. More directly,</w:t>
      </w:r>
      <w:r>
        <w:t xml:space="preserve"> </w:t>
      </w:r>
      <w:r>
        <w:t xml:space="preserve">Lee et al. (2024)</w:t>
      </w:r>
      <w:r>
        <w:t xml:space="preserve"> </w:t>
      </w:r>
      <w:r>
        <w:t xml:space="preserve">find that the structure of the climate change belief network is largely consistent over time, particularly among Republicans and Democrats. This suggests that belief networks are relatively stable and not highly sensitive to the specific time period in which they are measured. However, it remains an open question whether more recent shifts in polarization and climate discourse have altered the network’s structure. Future research should replicate this analysis with more recent data to establish whether the patterns reported here reflect an enduring feature of the climate change belief system.</w:t>
      </w:r>
    </w:p>
    <w:bookmarkStart w:id="16" w:name="belief-measures"/>
    <w:p>
      <w:pPr>
        <w:pStyle w:val="Heading2"/>
      </w:pPr>
      <w:r>
        <w:t xml:space="preserve">Belief Measures</w:t>
      </w:r>
    </w:p>
    <w:p>
      <w:pPr>
        <w:pStyle w:val="FirstParagraph"/>
      </w:pPr>
      <w:r>
        <w:t xml:space="preserve">Cultural theory, political ideology, partisanship, and the NEP scale were used to measure survey respondents’ deep core beliefs. Questions regarding the belief and certainty that climate change is happening, the risk posed by climate change. and whether or not a scientific consensus exists about climate change were used to measure the policy core beliefs of respondents. Finally, policy preferences, including support for several policy approaches to address climate change, including a carbon tax, cap-and-trade, EPA regulations, international agreements, geoengineering, and nuclear energy, were used to measure secondary beliefs.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Specifically, respondents rated their agreement with 12 statements on a 1 (strongly disagree) to 7 (strongly agree) scale, presented in random order. Of the 12 statements, three represented each of the four cultural types. The statements for each cultural worldview are presented below.</w:t>
      </w:r>
    </w:p>
    <w:p>
      <w:pPr>
        <w:pStyle w:val="BodyText"/>
      </w:pPr>
      <w:r>
        <w:t xml:space="preserve">The statements for the hierarchy worldview included:</w:t>
      </w:r>
    </w:p>
    <w:p>
      <w:pPr>
        <w:pStyle w:val="Compact"/>
        <w:numPr>
          <w:ilvl w:val="0"/>
          <w:numId w:val="1002"/>
        </w:numPr>
      </w:pPr>
      <w:r>
        <w:rPr>
          <w:i/>
          <w:iCs/>
        </w:rPr>
        <w:t xml:space="preserve">The best way to get ahead in life is to work hard to do what you are told to do</w:t>
      </w:r>
    </w:p>
    <w:p>
      <w:pPr>
        <w:pStyle w:val="Compact"/>
        <w:numPr>
          <w:ilvl w:val="0"/>
          <w:numId w:val="1002"/>
        </w:numPr>
      </w:pPr>
      <w:r>
        <w:rPr>
          <w:i/>
          <w:iCs/>
        </w:rPr>
        <w:t xml:space="preserve">Society is in trouble because people do not obey those in authority</w:t>
      </w:r>
    </w:p>
    <w:p>
      <w:pPr>
        <w:pStyle w:val="Compact"/>
        <w:numPr>
          <w:ilvl w:val="0"/>
          <w:numId w:val="1002"/>
        </w:numPr>
      </w:pPr>
      <w:r>
        <w:rPr>
          <w:i/>
          <w:iCs/>
        </w:rPr>
        <w:t xml:space="preserve">Society would be much better off if we imposed strict and swift punishment on those who break the rules</w:t>
      </w:r>
    </w:p>
    <w:p>
      <w:pPr>
        <w:pStyle w:val="FirstParagraph"/>
      </w:pPr>
      <w:r>
        <w:t xml:space="preserve">For egalitarianism, the statements included:</w:t>
      </w:r>
    </w:p>
    <w:p>
      <w:pPr>
        <w:pStyle w:val="Compact"/>
        <w:numPr>
          <w:ilvl w:val="0"/>
          <w:numId w:val="1003"/>
        </w:numPr>
      </w:pPr>
      <w:r>
        <w:rPr>
          <w:i/>
          <w:iCs/>
        </w:rPr>
        <w:t xml:space="preserve">What society needs is a fairness revolution to make the distribution of goods more equal</w:t>
      </w:r>
    </w:p>
    <w:p>
      <w:pPr>
        <w:pStyle w:val="Compact"/>
        <w:numPr>
          <w:ilvl w:val="0"/>
          <w:numId w:val="1003"/>
        </w:numPr>
      </w:pPr>
      <w:r>
        <w:rPr>
          <w:i/>
          <w:iCs/>
        </w:rPr>
        <w:t xml:space="preserve">Society works best if power is shared equally</w:t>
      </w:r>
    </w:p>
    <w:p>
      <w:pPr>
        <w:pStyle w:val="Compact"/>
        <w:numPr>
          <w:ilvl w:val="0"/>
          <w:numId w:val="1003"/>
        </w:numPr>
      </w:pPr>
      <w:r>
        <w:rPr>
          <w:i/>
          <w:iCs/>
        </w:rPr>
        <w:t xml:space="preserve">It is our responsibility to reduce differences in income between the rich and the poor</w:t>
      </w:r>
    </w:p>
    <w:p>
      <w:pPr>
        <w:pStyle w:val="FirstParagraph"/>
      </w:pPr>
      <w:r>
        <w:t xml:space="preserve">The individualism statements were:</w:t>
      </w:r>
    </w:p>
    <w:p>
      <w:pPr>
        <w:pStyle w:val="Compact"/>
        <w:numPr>
          <w:ilvl w:val="0"/>
          <w:numId w:val="1004"/>
        </w:numPr>
      </w:pPr>
      <w:r>
        <w:rPr>
          <w:i/>
          <w:iCs/>
        </w:rPr>
        <w:t xml:space="preserve">Even if some people are at a disadvantage, it is best for society to let people succeed or fail on their own</w:t>
      </w:r>
    </w:p>
    <w:p>
      <w:pPr>
        <w:pStyle w:val="Compact"/>
        <w:numPr>
          <w:ilvl w:val="0"/>
          <w:numId w:val="1004"/>
        </w:numPr>
      </w:pPr>
      <w:r>
        <w:rPr>
          <w:i/>
          <w:iCs/>
        </w:rPr>
        <w:t xml:space="preserve">Even the disadvantaged should have to make their own way in the world</w:t>
      </w:r>
    </w:p>
    <w:p>
      <w:pPr>
        <w:pStyle w:val="Compact"/>
        <w:numPr>
          <w:ilvl w:val="0"/>
          <w:numId w:val="1004"/>
        </w:numPr>
      </w:pPr>
      <w:r>
        <w:rPr>
          <w:i/>
          <w:iCs/>
        </w:rPr>
        <w:t xml:space="preserve">We are all better off when we compete as individuals</w:t>
      </w:r>
    </w:p>
    <w:p>
      <w:pPr>
        <w:pStyle w:val="FirstParagraph"/>
      </w:pPr>
      <w:r>
        <w:t xml:space="preserve">Finally, the fatalism statements included:</w:t>
      </w:r>
    </w:p>
    <w:p>
      <w:pPr>
        <w:pStyle w:val="Compact"/>
        <w:numPr>
          <w:ilvl w:val="0"/>
          <w:numId w:val="1005"/>
        </w:numPr>
      </w:pPr>
      <w:r>
        <w:rPr>
          <w:i/>
          <w:iCs/>
        </w:rPr>
        <w:t xml:space="preserve">The most important things that take place in life happen by chance</w:t>
      </w:r>
    </w:p>
    <w:p>
      <w:pPr>
        <w:pStyle w:val="Compact"/>
        <w:numPr>
          <w:ilvl w:val="0"/>
          <w:numId w:val="1005"/>
        </w:numPr>
      </w:pPr>
      <w:r>
        <w:rPr>
          <w:i/>
          <w:iCs/>
        </w:rPr>
        <w:t xml:space="preserve">No matter how hard we try, the course of our lives is largely determined by forces beyond our control</w:t>
      </w:r>
    </w:p>
    <w:p>
      <w:pPr>
        <w:pStyle w:val="Compact"/>
        <w:numPr>
          <w:ilvl w:val="0"/>
          <w:numId w:val="1005"/>
        </w:numPr>
      </w:pPr>
      <w:r>
        <w:rPr>
          <w:i/>
          <w:iCs/>
        </w:rPr>
        <w:t xml:space="preserve">For the most part, succeeding in life is a matter of chance</w:t>
      </w:r>
    </w:p>
    <w:p>
      <w:pPr>
        <w:pStyle w:val="FirstParagraph"/>
      </w:pPr>
      <w:r>
        <w:t xml:space="preserve">For analysis, I combined and averaged the three statements into a 1 to 7 scale for each worldview, with higher scores indicating greater agreement with the statements associated with that cultural type. The hierarchy scale has a mean (</w:t>
      </w:r>
      <w:r>
        <w:rPr>
          <w:i/>
          <w:iCs/>
        </w:rPr>
        <w:t xml:space="preserve">M</w:t>
      </w:r>
      <w:r>
        <w:t xml:space="preserve">) of 4.8 and a standard deviation (</w:t>
      </w:r>
      <w:r>
        <w:rPr>
          <w:i/>
          <w:iCs/>
        </w:rPr>
        <w:t xml:space="preserve">sd</w:t>
      </w:r>
      <w:r>
        <w:t xml:space="preserve">) of 1.4. In terms of reliability, the hierarchy scale has a Cronbach’s</w:t>
      </w:r>
      <w:r>
        <w:t xml:space="preserve"> </w:t>
      </w:r>
      <m:oMath>
        <m:r>
          <m:t>α</m:t>
        </m:r>
      </m:oMath>
      <w:r>
        <w:t xml:space="preserve"> </w:t>
      </w:r>
      <w:r>
        <w:t xml:space="preserve">= 0.74. The egalitarianism scale has a</w:t>
      </w:r>
      <w:r>
        <w:t xml:space="preserve"> </w:t>
      </w:r>
      <w:r>
        <w:rPr>
          <w:i/>
          <w:iCs/>
        </w:rPr>
        <w:t xml:space="preserve">M</w:t>
      </w:r>
      <w:r>
        <w:t xml:space="preserve"> </w:t>
      </w:r>
      <w:r>
        <w:t xml:space="preserve">= 4.68,</w:t>
      </w:r>
      <w:r>
        <w:t xml:space="preserve"> </w:t>
      </w:r>
      <w:r>
        <w:rPr>
          <w:i/>
          <w:iCs/>
        </w:rPr>
        <w:t xml:space="preserve">sd</w:t>
      </w:r>
      <w:r>
        <w:t xml:space="preserve"> </w:t>
      </w:r>
      <w:r>
        <w:t xml:space="preserve">= 1.59, and a Cronbach’s</w:t>
      </w:r>
      <w:r>
        <w:t xml:space="preserve"> </w:t>
      </w:r>
      <m:oMath>
        <m:r>
          <m:t>α</m:t>
        </m:r>
      </m:oMath>
      <w:r>
        <w:t xml:space="preserve"> </w:t>
      </w:r>
      <w:r>
        <w:t xml:space="preserve">= 0.82. For the individualism scale, the</w:t>
      </w:r>
      <w:r>
        <w:t xml:space="preserve"> </w:t>
      </w:r>
      <w:r>
        <w:rPr>
          <w:i/>
          <w:iCs/>
        </w:rPr>
        <w:t xml:space="preserve">M</w:t>
      </w:r>
      <w:r>
        <w:t xml:space="preserve"> </w:t>
      </w:r>
      <w:r>
        <w:t xml:space="preserve">= 4.48,</w:t>
      </w:r>
      <w:r>
        <w:t xml:space="preserve"> </w:t>
      </w:r>
      <w:r>
        <w:rPr>
          <w:i/>
          <w:iCs/>
        </w:rPr>
        <w:t xml:space="preserve">sd</w:t>
      </w:r>
      <w:r>
        <w:t xml:space="preserve"> </w:t>
      </w:r>
      <w:r>
        <w:t xml:space="preserve">= 1.44 and the Cronbach’s</w:t>
      </w:r>
      <w:r>
        <w:t xml:space="preserve"> </w:t>
      </w:r>
      <m:oMath>
        <m:r>
          <m:t>α</m:t>
        </m:r>
      </m:oMath>
      <w:r>
        <w:t xml:space="preserve"> </w:t>
      </w:r>
      <w:r>
        <w:t xml:space="preserve">= 0.76. Finally, the fatalism scale has a</w:t>
      </w:r>
      <w:r>
        <w:t xml:space="preserve"> </w:t>
      </w:r>
      <w:r>
        <w:rPr>
          <w:i/>
          <w:iCs/>
        </w:rPr>
        <w:t xml:space="preserve">M</w:t>
      </w:r>
      <w:r>
        <w:t xml:space="preserve"> </w:t>
      </w:r>
      <w:r>
        <w:t xml:space="preserve">= 4.04,</w:t>
      </w:r>
      <w:r>
        <w:t xml:space="preserve"> </w:t>
      </w:r>
      <w:r>
        <w:rPr>
          <w:i/>
          <w:iCs/>
        </w:rPr>
        <w:t xml:space="preserve">sd</w:t>
      </w:r>
      <w:r>
        <w:t xml:space="preserve"> </w:t>
      </w:r>
      <w:r>
        <w:t xml:space="preserve">= 1.6, and a Cronbach’s</w:t>
      </w:r>
      <w:r>
        <w:t xml:space="preserve"> </w:t>
      </w:r>
      <m:oMath>
        <m:r>
          <m:t>α</m:t>
        </m:r>
      </m:oMath>
      <w:r>
        <w:t xml:space="preserve"> </w:t>
      </w:r>
      <w:r>
        <w:t xml:space="preserve">= 0.8. Overall, the Cronbach’s</w:t>
      </w:r>
      <w:r>
        <w:t xml:space="preserve"> </w:t>
      </w:r>
      <m:oMath>
        <m:r>
          <m:t>α</m:t>
        </m:r>
      </m:oMath>
      <w:r>
        <w:t xml:space="preserve"> </w:t>
      </w:r>
      <w:r>
        <w:t xml:space="preserve">values show sufficient reliability for each of the cultural worldview scales.</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w:t>
      </w:r>
    </w:p>
    <w:p>
      <w:pPr>
        <w:pStyle w:val="Compact"/>
        <w:numPr>
          <w:ilvl w:val="0"/>
          <w:numId w:val="1006"/>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6"/>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t xml:space="preserve">To examine deep core beliefs related to the environment, I used three</w:t>
      </w:r>
      <w:r>
        <w:t xml:space="preserve"> </w:t>
      </w:r>
      <w:r>
        <w:t xml:space="preserve">“pro-environment”</w:t>
      </w:r>
      <w:r>
        <w:t xml:space="preserve"> </w:t>
      </w:r>
      <w:r>
        <w:t xml:space="preserve">statements from the NEP scale. As with the cultural worldview measures, respondents were asked to rate their agreement with the three statements on a 1 to 7 scale, and responses were averaged together into a single 1 to 7 scale. The combined scale has a</w:t>
      </w:r>
      <w:r>
        <w:t xml:space="preserve"> </w:t>
      </w:r>
      <w:r>
        <w:rPr>
          <w:i/>
          <w:iCs/>
        </w:rPr>
        <w:t xml:space="preserve">M</w:t>
      </w:r>
      <w:r>
        <w:t xml:space="preserve"> </w:t>
      </w:r>
      <w:r>
        <w:t xml:space="preserve">= 5.32,</w:t>
      </w:r>
      <w:r>
        <w:t xml:space="preserve"> </w:t>
      </w:r>
      <w:r>
        <w:rPr>
          <w:i/>
          <w:iCs/>
        </w:rPr>
        <w:t xml:space="preserve">sd</w:t>
      </w:r>
      <w:r>
        <w:t xml:space="preserve"> </w:t>
      </w:r>
      <w:r>
        <w:t xml:space="preserve">= 1.33, and a Cronbach’s</w:t>
      </w:r>
      <w:r>
        <w:t xml:space="preserve"> </w:t>
      </w:r>
      <m:oMath>
        <m:r>
          <m:t>α</m:t>
        </m:r>
      </m:oMath>
      <w:r>
        <w:t xml:space="preserve"> </w:t>
      </w:r>
      <w:r>
        <w:t xml:space="preserve">= 0.75. The statements are listed below, and they were randomized on the survey.</w:t>
      </w:r>
    </w:p>
    <w:p>
      <w:pPr>
        <w:pStyle w:val="Compact"/>
        <w:numPr>
          <w:ilvl w:val="0"/>
          <w:numId w:val="1007"/>
        </w:numPr>
      </w:pPr>
      <w:r>
        <w:rPr>
          <w:b/>
          <w:bCs/>
        </w:rPr>
        <w:t xml:space="preserve">New Ecological Paradigm Scale</w:t>
      </w:r>
      <w:r>
        <w:t xml:space="preserve">:</w:t>
      </w:r>
    </w:p>
    <w:p>
      <w:pPr>
        <w:pStyle w:val="Compact"/>
        <w:numPr>
          <w:ilvl w:val="1"/>
          <w:numId w:val="1008"/>
        </w:numPr>
      </w:pPr>
      <w:r>
        <w:rPr>
          <w:i/>
          <w:iCs/>
        </w:rPr>
        <w:t xml:space="preserve">The balance of nature is very delicate and easily upset</w:t>
      </w:r>
    </w:p>
    <w:p>
      <w:pPr>
        <w:pStyle w:val="Compact"/>
        <w:numPr>
          <w:ilvl w:val="1"/>
          <w:numId w:val="1008"/>
        </w:numPr>
      </w:pPr>
      <w:r>
        <w:rPr>
          <w:i/>
          <w:iCs/>
        </w:rPr>
        <w:t xml:space="preserve">Humans live on a planet with very limited room and resources</w:t>
      </w:r>
    </w:p>
    <w:p>
      <w:pPr>
        <w:pStyle w:val="Compact"/>
        <w:numPr>
          <w:ilvl w:val="1"/>
          <w:numId w:val="1008"/>
        </w:numPr>
      </w:pPr>
      <w:r>
        <w:rPr>
          <w:i/>
          <w:iCs/>
        </w:rPr>
        <w:t xml:space="preserve">Humans are seriously abusing the environment</w:t>
      </w:r>
    </w:p>
    <w:p>
      <w:pPr>
        <w:pStyle w:val="FirstParagraph"/>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with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 Exact question wordings and variable labels are below.</w:t>
      </w:r>
    </w:p>
    <w:p>
      <w:pPr>
        <w:pStyle w:val="Compact"/>
        <w:numPr>
          <w:ilvl w:val="0"/>
          <w:numId w:val="1009"/>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9"/>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9"/>
        </w:numPr>
      </w:pPr>
      <w:r>
        <w:rPr>
          <w:b/>
          <w:bCs/>
        </w:rPr>
        <w:t xml:space="preserve">sciconsensus</w:t>
      </w:r>
      <w:r>
        <w:t xml:space="preserve">:</w:t>
      </w:r>
      <w:r>
        <w:t xml:space="preserve"> </w:t>
      </w:r>
      <w:r>
        <w:rPr>
          <w:i/>
          <w:iCs/>
        </w:rPr>
        <w:t xml:space="preserve">Most scientists think climate change is happening</w:t>
      </w:r>
      <w:r>
        <w:rPr>
          <w:rStyle w:val="FootnoteReference"/>
        </w:rPr>
        <w:footnoteReference w:id="15"/>
      </w:r>
    </w:p>
    <w:p>
      <w:pPr>
        <w:pStyle w:val="FirstParagraph"/>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various policy approaches using a 1, strongly oppose to 7, strongly support scale. Policies were presented in random order.</w:t>
      </w:r>
    </w:p>
    <w:p>
      <w:pPr>
        <w:pStyle w:val="BlockText"/>
      </w:pP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10"/>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10"/>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10"/>
        </w:numPr>
      </w:pPr>
      <w:r>
        <w:rPr>
          <w:b/>
          <w:bCs/>
        </w:rPr>
        <w:t xml:space="preserve">Nuclear</w:t>
      </w:r>
      <w:r>
        <w:t xml:space="preserve">:</w:t>
      </w:r>
      <w:r>
        <w:t xml:space="preserve"> </w:t>
      </w:r>
      <w:r>
        <w:rPr>
          <w:i/>
          <w:iCs/>
        </w:rPr>
        <w:t xml:space="preserve">Expand the use of nuclear energy</w:t>
      </w:r>
    </w:p>
    <w:p>
      <w:pPr>
        <w:pStyle w:val="Compact"/>
        <w:numPr>
          <w:ilvl w:val="0"/>
          <w:numId w:val="1010"/>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10"/>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10"/>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10"/>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pPr>
        <w:pStyle w:val="FirstParagraph"/>
      </w:pPr>
      <w:r>
        <w:t xml:space="preserve">Overall, renewable energy has the highest mean at 5.89 (</w:t>
      </w:r>
      <w:r>
        <w:rPr>
          <w:i/>
          <w:iCs/>
        </w:rPr>
        <w:t xml:space="preserve">sd</w:t>
      </w:r>
      <w:r>
        <w:t xml:space="preserve"> </w:t>
      </w:r>
      <w:r>
        <w:t xml:space="preserve">= 1.39). The next highest level of support is for US Environmental Protection Agency (EPA) regulations at</w:t>
      </w:r>
      <w:r>
        <w:t xml:space="preserve"> </w:t>
      </w:r>
      <w:r>
        <w:rPr>
          <w:i/>
          <w:iCs/>
        </w:rPr>
        <w:t xml:space="preserve">M</w:t>
      </w:r>
      <w:r>
        <w:t xml:space="preserve"> </w:t>
      </w:r>
      <w:r>
        <w:t xml:space="preserve">= 5.35 (</w:t>
      </w:r>
      <w:r>
        <w:rPr>
          <w:i/>
          <w:iCs/>
        </w:rPr>
        <w:t xml:space="preserve">sd</w:t>
      </w:r>
      <w:r>
        <w:t xml:space="preserve"> </w:t>
      </w:r>
      <w:r>
        <w:t xml:space="preserve">= 1.66), followed by geoengineering at</w:t>
      </w:r>
      <w:r>
        <w:t xml:space="preserve"> </w:t>
      </w:r>
      <w:r>
        <w:rPr>
          <w:i/>
          <w:iCs/>
        </w:rPr>
        <w:t xml:space="preserve">M</w:t>
      </w:r>
      <w:r>
        <w:t xml:space="preserve"> </w:t>
      </w:r>
      <w:r>
        <w:t xml:space="preserve">= 5.32 (</w:t>
      </w:r>
      <w:r>
        <w:rPr>
          <w:i/>
          <w:iCs/>
        </w:rPr>
        <w:t xml:space="preserve">sd</w:t>
      </w:r>
      <w:r>
        <w:t xml:space="preserve"> </w:t>
      </w:r>
      <w:r>
        <w:t xml:space="preserve">= 1.55), and support for an international agreement at</w:t>
      </w:r>
      <w:r>
        <w:t xml:space="preserve"> </w:t>
      </w:r>
      <w:r>
        <w:rPr>
          <w:i/>
          <w:iCs/>
        </w:rPr>
        <w:t xml:space="preserve">M</w:t>
      </w:r>
      <w:r>
        <w:t xml:space="preserve"> </w:t>
      </w:r>
      <w:r>
        <w:t xml:space="preserve">= 5.07 (</w:t>
      </w:r>
      <w:r>
        <w:rPr>
          <w:i/>
          <w:iCs/>
        </w:rPr>
        <w:t xml:space="preserve">sd</w:t>
      </w:r>
      <w:r>
        <w:t xml:space="preserve"> </w:t>
      </w:r>
      <w:r>
        <w:t xml:space="preserve">= 1.73). For the two market-based approaches, support for a carbon tax has a</w:t>
      </w:r>
      <w:r>
        <w:t xml:space="preserve"> </w:t>
      </w:r>
      <w:r>
        <w:rPr>
          <w:i/>
          <w:iCs/>
        </w:rPr>
        <w:t xml:space="preserve">M</w:t>
      </w:r>
      <w:r>
        <w:t xml:space="preserve"> </w:t>
      </w:r>
      <w:r>
        <w:t xml:space="preserve">= 4.79 (</w:t>
      </w:r>
      <w:r>
        <w:rPr>
          <w:i/>
          <w:iCs/>
        </w:rPr>
        <w:t xml:space="preserve">sd</w:t>
      </w:r>
      <w:r>
        <w:t xml:space="preserve"> </w:t>
      </w:r>
      <w:r>
        <w:t xml:space="preserve">= 1.84), and support for cap-and-trade is</w:t>
      </w:r>
      <w:r>
        <w:t xml:space="preserve"> </w:t>
      </w:r>
      <w:r>
        <w:rPr>
          <w:i/>
          <w:iCs/>
        </w:rPr>
        <w:t xml:space="preserve">M</w:t>
      </w:r>
      <w:r>
        <w:t xml:space="preserve"> </w:t>
      </w:r>
      <w:r>
        <w:t xml:space="preserve">= 4.75 (</w:t>
      </w:r>
      <w:r>
        <w:rPr>
          <w:i/>
          <w:iCs/>
        </w:rPr>
        <w:t xml:space="preserve">sd</w:t>
      </w:r>
      <w:r>
        <w:t xml:space="preserve"> </w:t>
      </w:r>
      <w:r>
        <w:t xml:space="preserve">= 1.71). Finally, support for expanding nuclear energy has the lowest level of support at</w:t>
      </w:r>
      <w:r>
        <w:t xml:space="preserve"> </w:t>
      </w:r>
      <w:r>
        <w:rPr>
          <w:i/>
          <w:iCs/>
        </w:rPr>
        <w:t xml:space="preserve">M</w:t>
      </w:r>
      <w:r>
        <w:t xml:space="preserve"> </w:t>
      </w:r>
      <w:r>
        <w:t xml:space="preserve">= 4.09 (</w:t>
      </w:r>
      <w:r>
        <w:rPr>
          <w:i/>
          <w:iCs/>
        </w:rPr>
        <w:t xml:space="preserve">sd</w:t>
      </w:r>
      <w:r>
        <w:t xml:space="preserve"> </w:t>
      </w:r>
      <w:r>
        <w:t xml:space="preserve">= 1.92).</w:t>
      </w:r>
    </w:p>
    <w:bookmarkEnd w:id="16"/>
    <w:bookmarkStart w:id="19" w:name="belief-system-network-analysis"/>
    <w:p>
      <w:pPr>
        <w:pStyle w:val="Heading2"/>
      </w:pPr>
      <w:r>
        <w:t xml:space="preserve">Belief System Network Analysis</w:t>
      </w:r>
    </w:p>
    <w:p>
      <w:pPr>
        <w:pStyle w:val="FirstParagraph"/>
      </w:pPr>
      <w:r>
        <w:t xml:space="preserve">In a belief system network, nodes represent observed variables (i.e., beliefs), and edges represent the statistical relationships between them, weighted by the strength of that relationship</w:t>
      </w:r>
      <w:r>
        <w:t xml:space="preserve"> </w:t>
      </w:r>
      <w:r>
        <w:t xml:space="preserve">(Epskamp, Borsboom, and Fried 2018)</w:t>
      </w:r>
      <w:r>
        <w:t xml:space="preserve">. Belief system networks are typically exploratory and therefore often assumed to be undirected</w:t>
      </w:r>
      <w:r>
        <w:t xml:space="preserve"> </w:t>
      </w:r>
      <w:r>
        <w:t xml:space="preserve">(Costantini et al. 2015)</w:t>
      </w:r>
      <w:r>
        <w:t xml:space="preserve">. However, in the following analysis I examine both the undirected and directed networks.</w:t>
      </w:r>
    </w:p>
    <w:p>
      <w:pPr>
        <w:pStyle w:val="BodyText"/>
      </w:pPr>
      <w:r>
        <w:t xml:space="preserve">First,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of the network represent partial correlation coefficients that estimate the association between nodes while controlling for the other nodes in the network. The input for the GGM is a covariance matrix, but the network model is based on the inverse of the covariance matrix, which produces the partial correlation estimates</w:t>
      </w:r>
      <w:r>
        <w:t xml:space="preserve"> </w:t>
      </w:r>
      <w:r>
        <w:t xml:space="preserve">(Epskamp and Fried 2018)</w:t>
      </w:r>
      <w:r>
        <w:t xml:space="preserve">. Polychoric correlation is used when the data contain ordinal variables. The model is a weighted network, and it is weighted by the strength of the partial correlations. It is then regularized using the</w:t>
      </w:r>
      <w:r>
        <w:t xml:space="preserve"> </w:t>
      </w:r>
      <w:r>
        <w:t xml:space="preserve">“least absolute shrinkage and selection operator”</w:t>
      </w:r>
      <w:r>
        <w:t xml:space="preserve"> </w:t>
      </w:r>
      <w:r>
        <w:t xml:space="preserve">(LASSO), which reduces the possibility of spurious correlations by reducing small coefficients to essentially zero</w:t>
      </w:r>
      <w:r>
        <w:t xml:space="preserve"> </w:t>
      </w:r>
      <w:r>
        <w:t xml:space="preserve">(Brandt, Sibley, and Osborne 2019; J. Friedman, Hastie, and Tibshirani 2008)</w:t>
      </w:r>
      <w:r>
        <w:t xml:space="preserve">. This approach is common in psychological network analysis because of the small sample size relative to the data needed to estimate network models</w:t>
      </w:r>
      <w:r>
        <w:t xml:space="preserve"> </w:t>
      </w:r>
      <w:r>
        <w:t xml:space="preserve">(Epskamp and Fried 2018)</w:t>
      </w:r>
      <w:r>
        <w:t xml:space="preserve">. The LASSO requires a tuning parameter for regularization to manage the sparsity of the network. A common approach is to use an information criteria to select the appropriate parameter, such as the extended Bayesian Information Criterion (EBIC), which provides additional penalties for model complexity</w:t>
      </w:r>
      <w:r>
        <w:t xml:space="preserve"> </w:t>
      </w:r>
      <w:r>
        <w:t xml:space="preserve">(Epskamp 2017; Foygel and Drton 2010)</w:t>
      </w:r>
      <w:r>
        <w:t xml:space="preserve">. To estimate and illustrate the network, I use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The measures of centrality – betweenness, closeness, and strength – in the belief system network were calculated through a bootstrapping procedure using 1000 resamples of the data. The procedure was performed in</w:t>
      </w:r>
      <w:r>
        <w:t xml:space="preserve"> </w:t>
      </w:r>
      <w:r>
        <w:rPr>
          <w:rStyle w:val="VerbatimChar"/>
        </w:rPr>
        <w:t xml:space="preserve">R</w:t>
      </w:r>
      <w:r>
        <w:t xml:space="preserve"> </w:t>
      </w:r>
      <w:r>
        <w:t xml:space="preserve">using the</w:t>
      </w:r>
      <w:r>
        <w:t xml:space="preserve"> </w:t>
      </w:r>
      <w:r>
        <w:rPr>
          <w:rStyle w:val="VerbatimChar"/>
        </w:rPr>
        <w:t xml:space="preserve">bootnet</w:t>
      </w:r>
      <w:r>
        <w:t xml:space="preserve"> </w:t>
      </w:r>
      <w:r>
        <w:t xml:space="preserve">package</w:t>
      </w:r>
      <w:r>
        <w:t xml:space="preserve"> </w:t>
      </w:r>
      <w:r>
        <w:t xml:space="preserve">(see Epskamp and Fried 2023, 2018)</w:t>
      </w:r>
      <w:r>
        <w:t xml:space="preserve">. The bootstrap method results show the estimated centrality and the 95% confidence interval for each estimate.</w:t>
      </w:r>
    </w:p>
    <w:p>
      <w:pPr>
        <w:pStyle w:val="BodyText"/>
      </w:pPr>
      <w:r>
        <w:t xml:space="preserve">The GGM is an undirected model. It estimates whether two beliefs are conditionally related but not the direction of that relationship. This is the standard approach in exploratory belief-network research, where strong a priori commitments about which specific beliefs causally precede others are typically unavailable</w:t>
      </w:r>
      <w:r>
        <w:t xml:space="preserve"> </w:t>
      </w:r>
      <w:r>
        <w:t xml:space="preserve">(Epskamp, Borsboom, and Fried 2018)</w:t>
      </w:r>
      <w:r>
        <w:t xml:space="preserve">. However, because a central question in this paper is whether beliefs are better understood as organized hierarchically or as a network, it is useful to assess whether the network’s structure, and in particular, whether a belief is estimated to be highly central depends on this choice of an undirected model. I therefore estimate a companion Bayesian network (BN) using the same 17 belief nodes.</w:t>
      </w:r>
      <w:r>
        <w:rPr>
          <w:rStyle w:val="FootnoteReference"/>
        </w:rPr>
        <w:footnoteReference w:id="17"/>
      </w:r>
      <w:r>
        <w:t xml:space="preserve"> </w:t>
      </w:r>
      <w:r>
        <w:t xml:space="preserve">Unlike the GGM, a BN is a directed acyclic graph (DAG), in which edges represent an estimated ordering between beliefs</w:t>
      </w:r>
      <w:r>
        <w:t xml:space="preserve"> </w:t>
      </w:r>
      <w:r>
        <w:t xml:space="preserve">(Koller and Friedman 2010; Pearl 2014)</w:t>
      </w:r>
      <w:r>
        <w:t xml:space="preserve">. This offers a way to assess whether a given belief occupies an upstream position relative to others, which is the pattern a hierarchical account of belief systems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 position in the estimated graph) and the size of its Markov blanket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with no temporal ordering, experimental manipulation, or causal-identification assumption built into the analysis, so the estimated edge directions are not causally identified.</w:t>
      </w:r>
      <w:r>
        <w:rPr>
          <w:rStyle w:val="FootnoteReference"/>
        </w:rPr>
        <w:footnoteReference w:id="18"/>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w:t>
      </w:r>
      <w:r>
        <w:t xml:space="preserve"> </w:t>
      </w:r>
      <w:r>
        <w:rPr>
          <w:i/>
          <w:iCs/>
        </w:rPr>
        <w:t xml:space="preserve">causes</w:t>
      </w:r>
      <w:r>
        <w:t xml:space="preserve"> </w:t>
      </w:r>
      <w:r>
        <w:t xml:space="preserve">another.</w:t>
      </w:r>
    </w:p>
    <w:bookmarkEnd w:id="19"/>
    <w:bookmarkEnd w:id="20"/>
    <w:bookmarkStart w:id="36" w:name="results"/>
    <w:p>
      <w:pPr>
        <w:pStyle w:val="Heading1"/>
      </w:pPr>
      <w:r>
        <w:t xml:space="preserve">Results</w:t>
      </w:r>
    </w:p>
    <w:p>
      <w:pPr>
        <w:pStyle w:val="FirstParagraph"/>
      </w:pPr>
      <w:r>
        <w:t xml:space="preserve">The results for the GGM climate change belief network include deep core beliefs (cultural worldviews, ideology, partisanship, NEP scale), policy core beliefs (climate change is happening, climate change risk, scientific consensus), and secondary beliefs (support for various policy measures), and are shown in</w:t>
      </w:r>
      <w:r>
        <w:t xml:space="preserve"> </w:t>
      </w:r>
      <w:hyperlink w:anchor="fig-beliefNetNetwork">
        <w:r>
          <w:rPr>
            <w:rStyle w:val="Hyperlink"/>
          </w:rPr>
          <w:t xml:space="preserve">Figure 1</w:t>
        </w:r>
      </w:hyperlink>
      <w:r>
        <w:t xml:space="preserve">. Deep core beliefs are in black, policy core beliefs are in gray, and secondary beliefs are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4"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2" name="Picture"/>
                  <a:graphic>
                    <a:graphicData uri="http://schemas.openxmlformats.org/drawingml/2006/picture">
                      <pic:pic>
                        <pic:nvPicPr>
                          <pic:cNvPr descr="climate-beliefs_files/figure-docx/fig-beliefNetNetwork-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Overall, the network has 17 nodes and 85 (of 136) non-zero edges, or connections. Looking at the network overall, it seems that the cultural worldview measures are clustered together, the political belief measures are also clustered, the NEP scale is clustered with the policy core measures (i.e., climate change beliefs), and the secondary beliefs/policy preferences (i.e., climate policy measures) are clustered together, with the exception of nuclear energy. The directions of the relationships in the network are as expected, with deep core beliefs associated with climate beliefs, and both are associated with support for various climate policies. Finally, some of the stronger associations in the network are between partisanship (more Republican) and ideology (more conservative); beliefs that climate change is happening is strongly associated with beliefs about the scientific consensus as well as beliefs about the risks of climate change; the various policy measures (aside from nuclear energy) are also highly correlated, particularly support for renewable energy and geoengineering; and the cultural worldviews of hierarchy and individualism as well as egalitarian and fatalism are highly correlated. After visualizing the network, I next examine various centrality measures within it. The results of the bootstrap procedure for estimating the centrality measures and the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6" name="Picture"/>
                  <a:graphic>
                    <a:graphicData uri="http://schemas.openxmlformats.org/drawingml/2006/picture">
                      <pic:pic>
                        <pic:nvPicPr>
                          <pic:cNvPr descr="centralPlots.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with 61.89, followed by climate change risk perceptions (41.19), fatalism (40.11), individualism (35.62), and support for an international agreement (23.67). Nodes high in betweenness sit on the shortest path between other nodes in the network and act as a bridge between beliefs, so egalitarianism works to connect beliefs in the network. To assess whether these point estimates reflect statistically reliable rank differences, I conducted pairwise bootstrap difference tests for all 136 possible node pairs on each centrality measure</w:t>
      </w:r>
      <w:r>
        <w:t xml:space="preserve"> </w:t>
      </w:r>
      <w:r>
        <w:t xml:space="preserve">(see Epskamp and Fried 2023)</w:t>
      </w:r>
      <w:r>
        <w:t xml:space="preserve">. For betweenness, only 31 of the 136 comparisons were significant overall, and none of the 10 comparisons among these five top-ranked nodes reached significance. Egalitarianism’s rank as most central on betweenness is therefore a point estimate rather than a statistically significant difference from climate change risk, fatalism, individualism, or support for an international agreement.</w:t>
      </w:r>
    </w:p>
    <w:p>
      <w:pPr>
        <w:pStyle w:val="BodyText"/>
      </w:pPr>
      <w:r>
        <w:t xml:space="preserve">Egalitarianism also has the highest closeness centrality, with 0.00558, followed by support for an international agreement (0.00516), a carbon tax (0.00507), fatalism (0.00506), and climate change risk (0.00499). Beliefs high in closeness are more closely connected to other nodes, giving them shorter paths to the rest of the network and therefore greater potential influence. As with betweenness, most of these ranks are not statistically distinguishable: only 1 of the 10 comparisons among the top five closeness nodes reached significance. Egalitarianism’s closeness centrality was significantly higher only than fatalism’s, and not significantly different from that of support for an international agreement, a carbon tax, or climate change risk. Closeness did show a higher overall rate of significant differences than the other two measures (54 of 136 pairs), suggesting closeness centrality is more reliably differentiated across beliefs even though the top-ranked cluster itself remains largely indistinguishable.</w:t>
      </w:r>
    </w:p>
    <w:p>
      <w:pPr>
        <w:pStyle w:val="BodyText"/>
      </w:pPr>
      <w:r>
        <w:t xml:space="preserve">Turning to strength centrality, which reflects the sum of the absolute values of a node’s weighted connections, support for EPA regulations has the highest point estimate, with 1.25, followed by perceptions of climate change risk (1.21) and support for an international agreement (1.2). The EPA node’s strongest partial correlations were with the other policy support variables – international agreement (</w:t>
      </w:r>
      <w:r>
        <w:rPr>
          <w:i/>
          <w:iCs/>
        </w:rPr>
        <w:t xml:space="preserve">r</w:t>
      </w:r>
      <w:r>
        <w:t xml:space="preserve"> </w:t>
      </w:r>
      <w:r>
        <w:t xml:space="preserve">= 0.28), carbon tax (</w:t>
      </w:r>
      <w:r>
        <w:rPr>
          <w:i/>
          <w:iCs/>
        </w:rPr>
        <w:t xml:space="preserve">r</w:t>
      </w:r>
      <w:r>
        <w:t xml:space="preserve"> </w:t>
      </w:r>
      <w:r>
        <w:t xml:space="preserve">= 0.201), and renewable energy (</w:t>
      </w:r>
      <w:r>
        <w:rPr>
          <w:i/>
          <w:iCs/>
        </w:rPr>
        <w:t xml:space="preserve">r</w:t>
      </w:r>
      <w:r>
        <w:t xml:space="preserve"> </w:t>
      </w:r>
      <w:r>
        <w:t xml:space="preserve">= 0.201) – as well as the NEP scale (</w:t>
      </w:r>
      <w:r>
        <w:rPr>
          <w:i/>
          <w:iCs/>
        </w:rPr>
        <w:t xml:space="preserve">r</w:t>
      </w:r>
      <w:r>
        <w:t xml:space="preserve"> </w:t>
      </w:r>
      <w:r>
        <w:t xml:space="preserve">= 0.099). Support for an international agreement was likewise most strongly correlated with the other policy support measures, including EPA regulations (0.28), a carbon tax (0.216), cap-and-trade (0.172), and geoengineering (0.138), as well as climate change risk (0.127) and egalitarianism (0.104). Climate change risk, in turn, was most highly correlated with the other policy core beliefs, including whether climate change is happening and whether there is a scientific consensus on it. These rankings should also be read cautiously as 82 of 136 pairwise comparisons were significant for strength overall, but only 1 of 10 comparisons among the top five nodes reached significance. The strength ranking of EPA regulations, climate change risk, and support for an international agreement should be read with the same caution.</w:t>
      </w:r>
    </w:p>
    <w:bookmarkStart w:id="29" w:name="ggm-robustness-checks"/>
    <w:p>
      <w:pPr>
        <w:pStyle w:val="Heading2"/>
      </w:pPr>
      <w:r>
        <w:t xml:space="preserve">GGM Robustness Checks</w:t>
      </w:r>
    </w:p>
    <w:p>
      <w:pPr>
        <w:pStyle w:val="FirstParagraph"/>
      </w:pPr>
      <w:r>
        <w:t xml:space="preserve">To assess the stability of the reported network and its centrality estimates, I conducted three additional checks. First, a case-dropping bootstrap procedure estimated the correlation stability (CS) of each centrality measure as the proportion of cases that can be dropped while maintaining a correlation of at least 0.7 with the full-sample estimates. The CS coefficients for betweenness (0.52), closeness (0.75), and strength (0.75) all meet or exceed the 0.50 threshold Epskamp et al.</w:t>
      </w:r>
      <w:r>
        <w:t xml:space="preserve"> </w:t>
      </w:r>
      <w:r>
        <w:t xml:space="preserve">(2018)</w:t>
      </w:r>
      <w:r>
        <w:t xml:space="preserve"> </w:t>
      </w:r>
      <w:r>
        <w:t xml:space="preserve">consider stable.</w:t>
      </w:r>
    </w:p>
    <w:p>
      <w:pPr>
        <w:pStyle w:val="BodyText"/>
      </w:pPr>
      <w:r>
        <w:t xml:space="preserve">Second, I re-estimated the network across a range of EBIC tuning values (gamma = 0, 0.25, 0.5, 0.75, 1.0) to check whether the reported results depend on the tuning = 0.5 default used. The number of non-zero edges ranges from 79 to 105 across this range, but the node with the highest point-estimated strength, betweenness, and closeness centrality is unchanged at every value tested.</w:t>
      </w:r>
    </w:p>
    <w:p>
      <w:pPr>
        <w:pStyle w:val="BodyText"/>
      </w:pPr>
      <w:r>
        <w:t xml:space="preserve">Third, I compared the EBIC-selected network to one selected via cross-validation, using the</w:t>
      </w:r>
      <w:r>
        <w:t xml:space="preserve"> </w:t>
      </w:r>
      <w:r>
        <w:rPr>
          <w:rStyle w:val="VerbatimChar"/>
        </w:rPr>
        <w:t xml:space="preserve">huge</w:t>
      </w:r>
      <w:r>
        <w:t xml:space="preserve"> </w:t>
      </w:r>
      <w:r>
        <w:t xml:space="preserve">R package. The cross-validated network has 87 edges, compared to 85 from the EBIC-selected network, which is a materially similar level of sparsity.</w:t>
      </w:r>
    </w:p>
    <w:bookmarkEnd w:id="29"/>
    <w:bookmarkStart w:id="35"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3"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1" name="Picture"/>
                  <a:graphic>
                    <a:graphicData uri="http://schemas.openxmlformats.org/drawingml/2006/picture">
                      <pic:pic>
                        <pic:nvPicPr>
                          <pic:cNvPr descr="bn_dag.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bookmarkEnd w:id="33"/>
        </w:tc>
      </w:tr>
    </w:tbl>
    <w:p>
      <w:pPr>
        <w:pStyle w:val="BodyText"/>
      </w:pPr>
      <w:r>
        <w:t xml:space="preserve">As shown in</w:t>
      </w:r>
      <w:r>
        <w:t xml:space="preserve"> </w:t>
      </w:r>
      <w:hyperlink w:anchor="fig-bn-dag">
        <w:r>
          <w:rPr>
            <w:rStyle w:val="Hyperlink"/>
          </w:rPr>
          <w:t xml:space="preserve">Figure 3</w:t>
        </w:r>
      </w:hyperlink>
      <w:r>
        <w:t xml:space="preserve">, support for an international agreement is the node with no in-degree connections and the largest number of out-degree connections. Additionally,</w:t>
      </w:r>
      <w:r>
        <w:t xml:space="preserve"> </w:t>
      </w:r>
      <w:hyperlink w:anchor="fig-bn-dag">
        <w:r>
          <w:rPr>
            <w:rStyle w:val="Hyperlink"/>
          </w:rPr>
          <w:t xml:space="preserve">Figure 3</w:t>
        </w:r>
      </w:hyperlink>
      <w:r>
        <w:t xml:space="preserve"> </w:t>
      </w:r>
      <w:r>
        <w:t xml:space="preserve">shows that the network seems to move downward in layers rather than outward from a single node. This is an ordering estimated from arc direction, not a claim about the deep core/policy core/secondary hierarchy described above; however, this estimated layering places several secondary beliefs above deep core beliefs, inverting rather than confirming that theoretical hierarchy. Of note, other secondary beliefs, including support for a carbon tax, cap-and-trade, EPA regulations, renewable energy, and geoengineering sit just below support for an international agreement. Several of the secondary beliefs are in turn upstream of climate change risk, which sends arcs to four other nodes, including political ideology and the belief that climate change is happening. Egalitarianism, by contrast, occupies a comparatively peripheral position in the Bayesian network, as it receives a single arc, from EPA regulations, and sends a single arc, to fatalism. Perceived scientific consensus sits at the bottom of the graph as well, receiving arcs from climate change risk and the belief that climate change is happening but sending none of its own, a result similar to its low centrality in the undirected GGM.</w:t>
      </w:r>
    </w:p>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 belief, has the highest out-degree in the network. This means that it occupies more of an upstream position in the network relative to other beliefs, including several deep core and policy core beliefs. However,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either model. Egalitarianism, by contrast, had the highest betweenness and closeness centrality in the GGM, yet it ranks well outside the top nodes on every BN measure. Ideology and partisanship rank low on nearly every measure in both models as well: ideology’s highest GGM rank is 7th (on betweenness and strength), and partisanship never rises above 13th on any GGM measure, while partisanship also has the smallest Markov blanket and no outgoing arcs in the BN.</w:t>
      </w:r>
    </w:p>
    <w:tbl>
      <w:tblPr>
        <w:tblStyle w:val="Table"/>
        <w:tblW w:type="pct" w:w="5000"/>
        <w:tblLayout w:type="fixed"/>
        <w:tblLook w:firstRow="0" w:lastRow="0" w:firstColumn="0" w:lastColumn="0" w:noHBand="0" w:noVBand="0" w:val="0000"/>
      </w:tblPr>
      <w:tblGrid>
        <w:gridCol w:w="7920"/>
      </w:tblGrid>
      <w:tr>
        <w:tc>
          <w:tcPr/>
          <w:bookmarkStart w:id="34"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4"/>
          <w:p/>
        </w:tc>
      </w:tr>
    </w:tbl>
    <w:bookmarkEnd w:id="35"/>
    <w:bookmarkEnd w:id="36"/>
    <w:bookmarkStart w:id="37" w:name="discussion-and-conclusion"/>
    <w:p>
      <w:pPr>
        <w:pStyle w:val="Heading1"/>
      </w:pPr>
      <w:r>
        <w:t xml:space="preserve">Discussion and Conclusion</w:t>
      </w:r>
    </w:p>
    <w:p>
      <w:pPr>
        <w:pStyle w:val="FirstParagraph"/>
      </w:pPr>
      <w:r>
        <w:t xml:space="preserve">Climate change is a polarized issue among the US public, and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 To assess whether these patterns depend on treating the belief system as an undirected network, I also estimated a directed Bayesian network over the same beliefs and compared centrality rankings and estimated graph position across both models.</w:t>
      </w:r>
    </w:p>
    <w:p>
      <w:pPr>
        <w:pStyle w:val="BodyText"/>
      </w:pPr>
      <w:r>
        <w:t xml:space="preserve">Examining climate beliefs as a network allows an understanding of which beliefs are structurally important, rather than as a way to test specific hypotheses. The results showed that individualism, support for an international agreement, and perceived climate risk each occupy central positions on at least one measure of centrality across the undirected and directed networks. This pattern is broadly consistent with theoretical accounts that emphasize deep core beliefs and policy-specific solution aversion as organizing features of belief systems. At the same time, the pairwise comparisons show that many of these point-estimate differences are not statistically distinguishable from one another. For example, egalitarianism’s betweenness centrality is not significantly different from that of individualism, fatalism, perceived risk, or support for an international agreement. Structural importance in the climate change belief network is therefore likely concentrated among a cluster of beliefs spanning multiple theoretical categories, rather than residing in any single belief or type of belief. The cluster of beliefs that are central in both the GGM and the Bayesian network includes individualism (</w:t>
      </w:r>
      <w:r>
        <w:rPr>
          <w:rStyle w:val="VerbatimChar"/>
        </w:rPr>
        <w:t xml:space="preserve">indiv</w:t>
      </w:r>
      <w:r>
        <w:t xml:space="preserve">), perceived climate risk (</w:t>
      </w:r>
      <w:r>
        <w:rPr>
          <w:rStyle w:val="VerbatimChar"/>
        </w:rPr>
        <w:t xml:space="preserve">risk</w:t>
      </w:r>
      <w:r>
        <w:t xml:space="preserve">), and support for an international climate agreement (</w:t>
      </w:r>
      <w:r>
        <w:rPr>
          <w:rStyle w:val="VerbatimChar"/>
        </w:rPr>
        <w:t xml:space="preserve">IntAgree</w:t>
      </w:r>
      <w:r>
        <w:t xml:space="preserve">); egalitarianism, by contrast, is prominent only in the GGM.</w:t>
      </w:r>
    </w:p>
    <w:p>
      <w:pPr>
        <w:pStyle w:val="BodyText"/>
      </w:pPr>
      <w:r>
        <w:t xml:space="preserve">The results of the GGM also showed that centrality differed across measures, with egalitarianism ranking highest on betweenness and closeness, and EPA regulations ranking highest on strength, with climate risk and support for an international agreement close behind on both. Taken on its own, these findings seem consistent with a hierarchical account for egalitarianism, which, as a deep core belief, acts as a bridge that connects and constrains other beliefs. While the strength-centrality prominence of secondary beliefs like EPA regulations and support for an international agreement does not fit a hierarchical account, which would place such beliefs on the periphery rather than at the center, it is consistent with a solution-aversion account, in which opposition to policy solutions is central to how the underlying problem itself is perceived</w:t>
      </w:r>
      <w:r>
        <w:t xml:space="preserve"> </w:t>
      </w:r>
      <w:r>
        <w:t xml:space="preserve">(Campbell and Kay 2014)</w:t>
      </w:r>
      <w:r>
        <w:t xml:space="preserve">. The Bayesian network comparison complicates the egalitarianism reading further, and only partly corroborates the strength-centrality, solution-aversion reading. In the BN, egalitarianism has neither a notably high out-degree nor a large Markov blanket, which suggests it does not occupy an upstream position in the estimated graph, so its GGM betweenness centrality more likely reflects its role bridging the cluster of cultural worldview items to the rest of the network than the directional, constraining role a hierarchical account would attribute to a deep core belief. However, a stronger challenge to a hierarchical reading may come from the finding that support for an international climate agreement, a secondary/policy-level belief, has the highest out-degree of any node in the directed network and, tied with perceived climate risk, the largest Markov blanket. This implies a more upstream estimated position than every deep core and policy core belief, including egalitarianism. EPA regulations’ own directed-network position, by contrast, is comparatively modest (out-degree = 2, Markov blanket size = 4), so its GGM strength-centrality prominence is more evident in the undirected than the directed model. A hierarchical account offers no obvious explanation for why a specific climate policy preference would occupy the most upstream position in the directed network. At the same time, individualism and perceived climate risk are prominent by both approaches, so the evidence does not simply favor a network account over a hierarchical one. Whether a given belief’s position is consistent with a hierarchical account appears to depend on the specific belief and on the specific model used to estimate it, not on a general property of hierarchical versus network structure.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As noted earlier, this analysis examined a belief network built around a single issue, climate change – a scope choice with implications for the hierarchical approach and for deep core beliefs specifically. Prior belief network research, using networks that span multiple policy issues, has found the deep core beliefs of ideology and partisanship to be highly central:</w:t>
      </w:r>
      <w:r>
        <w:t xml:space="preserve"> </w:t>
      </w:r>
      <w:r>
        <w:t xml:space="preserve">Boutyline and Vaisey (2017)</w:t>
      </w:r>
      <w:r>
        <w:t xml:space="preserve"> </w:t>
      </w:r>
      <w:r>
        <w:t xml:space="preserve">found self-reported ideology occupies a central role in a network of beliefs spanning abortion, guns, immigration, and other issues, and</w:t>
      </w:r>
      <w:r>
        <w:t xml:space="preserve"> </w:t>
      </w:r>
      <w:r>
        <w:t xml:space="preserve">Brandt, Sibley, and Osborne (2019)</w:t>
      </w:r>
      <w:r>
        <w:t xml:space="preserve"> </w:t>
      </w:r>
      <w:r>
        <w:t xml:space="preserve">similarly find that deep core beliefs like ideology and partisanship are more central within belief system networks than issue-specific beliefs. As reported above, neither belief ranks among the most central beliefs on any measure in the climate change belief network, in either the GGM or the Bayesian network. This is likely a function of studying a single issue rather than a belief system spanning many issues. Deep core beliefs, such as ideology and partisanship, may organize belief systems that span multiple, otherwise unrelated policy domains, providing a common thread connecting views on abortion, guns, and immigration, for example, but do comparatively little organizing work within a single issue’s belief network, where more issue-specific beliefs are likely better positioned to serve that structuring role. This pattern is not uniform across every deep core belief in the present network, however: individualism, and to a lesser extent egalitarianism, are prominently central here despite the single-issue scope, suggesting that which deep core belief is doing the organizing – a cultural worldview versus a political identity like ideology or partisanship – may matter as much as how many issues a belief network spans. The absence of ideology and partisanship from the central cluster also suggests that a hierarchical account, in which deep core beliefs constrain policy core and secondary beliefs, may be more useful for understanding how beliefs about multiple issues are structured than for understanding the structure of beliefs about a single issue. Whether the centrality of deep core beliefs depends on how many issues a belief network spans, and whether a hierarchical account is correspondingly better suited to multi-issue belief systems, remains an empirical question for future research.</w:t>
      </w:r>
    </w:p>
    <w:p>
      <w:pPr>
        <w:pStyle w:val="BodyText"/>
      </w:pPr>
      <w:r>
        <w:t xml:space="preserve">Another theoretical anchor used in this paper was the gateway belief model, where agreement with the scientific consensus about climate change informs other climate beliefs. However, neither type of network indicated structural importance for the consensus belief. The implication of this finding deserves a careful interpretation. The gateway belief model is a causal, interventional framework. It is typically tested using experimental or longitudinal designs that trace how exposure to a consensus message shifts later beliefs</w:t>
      </w:r>
      <w:r>
        <w:t xml:space="preserve"> </w:t>
      </w:r>
      <w:r>
        <w:t xml:space="preserve">(Said, Frauhammer, and Huff 2022)</w:t>
      </w:r>
      <w:r>
        <w:t xml:space="preserve">. The present analysis estimates belief networks using cross-sectional data, and centrality in these types of networks reflects structural embeddedness, not causal influence. A belief can be a causal entry point for belief change without also being central to how beliefs are organized at a given point in time. Recent work also shows that the gateway belief model’s effects are conditional rather than universal, likely varying with respondents’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network analysis, then, does not contradict the gateway belief model. It is likely, instead, that consensus beliefs are not structurally embedded at the core of the broader climate belief system, even though they can still function as effective causal mechanisms under targeted informational interventions. This conclusion is reinforced by the Bayesian network, where perceived scientific consensus sits at the bottom of the estimated graph, sending no arcs of its own and receiving arcs only from climate risk and the belief that climate change is happening, which is similar to the peripheral position it occupies in the undirected model. Future research should combine network and experimental approaches to better understand the structural and causal accounts of the gateway belief model.</w:t>
      </w:r>
    </w:p>
    <w:p>
      <w:pPr>
        <w:pStyle w:val="BodyText"/>
      </w:pPr>
      <w:r>
        <w:t xml:space="preserve">While these results shed light on the structural importance of various beliefs within the climate change belief network, several avenues for future research remain. As briefly noted in the Results, the various climate policy measures are highly correlated, with the exception of nuclear energy, which was only weakly positively correlated with support for cap-and-trade and a carbon tax, and weakly negatively correlated with support for renewable energy. However, support for nuclear energy was strongly positively correlated with individualism and weakly positively correlated with fatalism. This follows other research that has shown that views about nuclear energy are not associated with concern about climate change, even though nuclear energy is a low-carbon energy source</w:t>
      </w:r>
      <w:r>
        <w:t xml:space="preserve"> </w:t>
      </w:r>
      <w:r>
        <w:t xml:space="preserve">(Feldman and Hart 2018; Hawes and Nowlin 2022; Ter-Mkrtchyan et al. 2022)</w:t>
      </w:r>
      <w:r>
        <w:t xml:space="preserve">. Additionally, the results shown here illustrate the centrality of beliefs across the entire sample; however, it is possible that some subgroups have distinct belief networks, with different beliefs being more (or less) central than in the aggregate. For example,</w:t>
      </w:r>
      <w:r>
        <w:t xml:space="preserve"> </w:t>
      </w:r>
      <w:r>
        <w:t xml:space="preserve">Camina et al. (2022)</w:t>
      </w:r>
      <w:r>
        <w:t xml:space="preserve"> </w:t>
      </w:r>
      <w:r>
        <w:t xml:space="preserve">found that the structure of belief system networks varied across different subgroups, including liberals and conservatives, younger and older, and male and female. Looking specifically at climate change,</w:t>
      </w:r>
      <w:r>
        <w:t xml:space="preserve"> </w:t>
      </w:r>
      <w:r>
        <w:t xml:space="preserve">Lee et al. (2024)</w:t>
      </w:r>
      <w:r>
        <w:t xml:space="preserve"> </w:t>
      </w:r>
      <w:r>
        <w:t xml:space="preserve">compared the belief system networks of Democrats and Republicans and found that they had a similar structure and density compared to independents and those with no party affiliation. Additionally,</w:t>
      </w:r>
      <w:r>
        <w:t xml:space="preserve"> </w:t>
      </w:r>
      <w:r>
        <w:t xml:space="preserve">Stewart, Rivera-Kientz, and Dacey (2024)</w:t>
      </w:r>
      <w:r>
        <w:t xml:space="preserve"> </w:t>
      </w:r>
      <w:r>
        <w:t xml:space="preserve">found differences in network structure and belief centrality across racial groups, including Whites, Blacks, and Hispanics. Additional research with a larger sample size should examine possible differences in networks across the various cultural types.</w:t>
      </w:r>
    </w:p>
    <w:p>
      <w:pPr>
        <w:pStyle w:val="BodyText"/>
      </w:pPr>
      <w:r>
        <w:t xml:space="preserve">These findings speak to scholars, most notably those doing policy process research, who have largely relied on a hierarchical conception of belief systems with deep core beliefs constraining policy core and secondary beliefs. The results here suggest a network approach offers some analytic leverage that the hierarchical framework alone may not capture. Structural importance in the climate change belief network does not track the deep core/policy core/secondary ordering a hierarchical account predicts. Indeed, individualism, perceived climate risk, and support for an international agreement are robustly central regardless of whether the network is modeled as undirected or directed. Support for an international agreement, a secondary/policy-level belief, occupies the most upstream position of any node in the directed network. Rather than replacing the hierarchical approach, these results suggest policy process scholars would benefit from treating belief systems as networks alongside the hierarchical framework they have traditionally relied on, particularly when the goal is to identify which beliefs are most structurally consequential rather than assuming that answer from belief type alone. This recommendation comes with a caveat of its own: as noted above, the absence of ideology and partisanship from the central cluster in this single-issue network raises the possibility that a hierarchical account may still be the more apt starting point for the multi-issue belief systems – spanning several policy domains at once – that much of policy process research, including the ACF, has traditionally examined. Network approaches may accordingly offer the most leverage for single-issue belief systems like the one examined here, while hierarchical and network approaches together may be needed to understand belief systems that span multiple issues. Applying a network approach also means pairing undirected and directed operationalizations, since the directed model missed egalitarianism’s bridging role, and the undirected model, in turn, has no way to express the kind of upstream, directional position support for an international agreement holds in the directed model. This is a feature of belief-system structure a purely undirected approach cannot represent at all.</w:t>
      </w:r>
    </w:p>
    <w:p>
      <w:pPr>
        <w:pStyle w:val="BodyText"/>
      </w:pPr>
      <w:r>
        <w:t xml:space="preserve">For climate communication and public opinion research, the finding that perceived scientific consensus is not structurally central, together with the reframing of the gateway belief model discussed above, suggests that consensus messaging campaigns may be better understood as targeted causal interventions than as efforts to shift a structurally central belief. This distinction could have direct implications for how such campaigns are designed and evaluated.</w:t>
      </w:r>
    </w:p>
    <w:p>
      <w:r>
        <w:br w:type="page"/>
      </w:r>
    </w:p>
    <w:bookmarkEnd w:id="37"/>
    <w:bookmarkStart w:id="39"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8"/>
          <w:p/>
        </w:tc>
      </w:tr>
    </w:tbl>
    <w:p>
      <w:r>
        <w:br w:type="page"/>
      </w:r>
    </w:p>
    <w:bookmarkEnd w:id="39"/>
    <w:bookmarkStart w:id="126" w:name="references"/>
    <w:p>
      <w:pPr>
        <w:pStyle w:val="Heading1"/>
      </w:pPr>
      <w:r>
        <w:t xml:space="preserve">References</w:t>
      </w:r>
    </w:p>
    <w:bookmarkStart w:id="125" w:name="refs"/>
    <w:bookmarkStart w:id="40"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40"/>
    <w:bookmarkStart w:id="41"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1"/>
    <w:bookmarkStart w:id="42"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2"/>
    <w:bookmarkStart w:id="43"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3"/>
    <w:bookmarkStart w:id="44"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4"/>
    <w:bookmarkStart w:id="45"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5"/>
    <w:bookmarkStart w:id="46"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6"/>
    <w:bookmarkStart w:id="47"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7"/>
    <w:bookmarkStart w:id="48"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8"/>
    <w:bookmarkStart w:id="49"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9"/>
    <w:bookmarkStart w:id="50"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50"/>
    <w:bookmarkStart w:id="51"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1"/>
    <w:bookmarkStart w:id="52"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2"/>
    <w:bookmarkStart w:id="53"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3"/>
    <w:bookmarkStart w:id="54"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4"/>
    <w:bookmarkStart w:id="55"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5"/>
    <w:bookmarkStart w:id="56"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6"/>
    <w:bookmarkStart w:id="57"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7"/>
    <w:bookmarkStart w:id="58"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8"/>
    <w:bookmarkStart w:id="59"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59"/>
    <w:bookmarkStart w:id="60"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60"/>
    <w:bookmarkStart w:id="61"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1"/>
    <w:bookmarkStart w:id="62"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2"/>
    <w:bookmarkStart w:id="63"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3"/>
    <w:bookmarkStart w:id="64"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4"/>
    <w:bookmarkStart w:id="65"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5"/>
    <w:bookmarkStart w:id="66"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6"/>
    <w:bookmarkStart w:id="67" w:name="ref-grendstadCulturalMythsHuman2000"/>
    <w:p>
      <w:pPr>
        <w:pStyle w:val="Bibliography"/>
      </w:pPr>
      <w:r>
        <w:t xml:space="preserve">Grendstad, Gunnar, and Per Selle.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7"/>
    <w:bookmarkStart w:id="68"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68"/>
    <w:bookmarkStart w:id="69"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69"/>
    <w:bookmarkStart w:id="70"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70"/>
    <w:bookmarkStart w:id="71"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71"/>
    <w:bookmarkStart w:id="72"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2"/>
    <w:bookmarkStart w:id="73"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3"/>
    <w:bookmarkStart w:id="74"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4"/>
    <w:bookmarkStart w:id="75"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5"/>
    <w:bookmarkStart w:id="76"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6"/>
    <w:bookmarkStart w:id="77"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7"/>
    <w:bookmarkStart w:id="78"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78"/>
    <w:bookmarkStart w:id="79"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79"/>
    <w:bookmarkStart w:id="80"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80"/>
    <w:bookmarkStart w:id="81"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81"/>
    <w:bookmarkStart w:id="82"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2"/>
    <w:bookmarkStart w:id="83"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3"/>
    <w:bookmarkStart w:id="84"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4"/>
    <w:bookmarkStart w:id="85"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5"/>
    <w:bookmarkStart w:id="86"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6"/>
    <w:bookmarkStart w:id="87"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7"/>
    <w:bookmarkStart w:id="88"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88"/>
    <w:bookmarkStart w:id="89"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89"/>
    <w:bookmarkStart w:id="90"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90"/>
    <w:bookmarkStart w:id="91"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91"/>
    <w:bookmarkStart w:id="92"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2"/>
    <w:bookmarkStart w:id="93"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3"/>
    <w:bookmarkStart w:id="94"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4"/>
    <w:bookmarkStart w:id="95"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5"/>
    <w:bookmarkStart w:id="96"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6"/>
    <w:bookmarkStart w:id="97"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7"/>
    <w:bookmarkStart w:id="98"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98"/>
    <w:bookmarkStart w:id="99"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99"/>
    <w:bookmarkStart w:id="100"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100"/>
    <w:bookmarkStart w:id="101"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101"/>
    <w:bookmarkStart w:id="102"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2"/>
    <w:bookmarkStart w:id="103"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3"/>
    <w:bookmarkStart w:id="104"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4"/>
    <w:bookmarkStart w:id="105"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5"/>
    <w:bookmarkStart w:id="106"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6"/>
    <w:bookmarkStart w:id="107"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07"/>
    <w:bookmarkStart w:id="108"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08"/>
    <w:bookmarkStart w:id="109"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09"/>
    <w:bookmarkStart w:id="110"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10"/>
    <w:bookmarkStart w:id="111"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11"/>
    <w:bookmarkStart w:id="112"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2"/>
    <w:bookmarkStart w:id="113"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3"/>
    <w:bookmarkStart w:id="114"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4"/>
    <w:bookmarkStart w:id="115"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5"/>
    <w:bookmarkStart w:id="116"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w:t>
      </w:r>
    </w:p>
    <w:bookmarkEnd w:id="116"/>
    <w:bookmarkStart w:id="117"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17"/>
    <w:bookmarkStart w:id="118"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18"/>
    <w:bookmarkStart w:id="119"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19"/>
    <w:bookmarkStart w:id="120"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20"/>
    <w:bookmarkStart w:id="121"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21"/>
    <w:bookmarkStart w:id="122"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22"/>
    <w:bookmarkStart w:id="123"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3"/>
    <w:bookmarkStart w:id="124"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reported in the Results section, all at or above the 0.50 threshold Epskamp et al.</w:t>
      </w:r>
      <w:r>
        <w:t xml:space="preserve"> </w:t>
      </w:r>
      <w:r>
        <w:t xml:space="preserve">(2018)</w:t>
      </w:r>
      <w:r>
        <w:t xml:space="preserve"> </w:t>
      </w:r>
      <w:r>
        <w:t xml:space="preserve">recommend, serve as a post hoc check that the sample size supports stable centrality estimates. The data and analysis code are organized in a version-controlled GitHub repository (hidden until publication), including the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 exact wording for the scientific consensus question was: Which of the following statements comes closest to your view? 1 – Most scientists think climate change is happening, 2 – There is disagreement among scientists, 3 – Most scientists think climate change is not happening, 4 – Don’t know. I then created the</w:t>
      </w:r>
      <w:r>
        <w:t xml:space="preserve"> </w:t>
      </w:r>
      <w:r>
        <w:rPr>
          <w:rStyle w:val="VerbatimChar"/>
        </w:rPr>
        <w:t xml:space="preserve">sciconsensus</w:t>
      </w:r>
      <w:r>
        <w:t xml:space="preserve"> </w:t>
      </w:r>
      <w:r>
        <w:t xml:space="preserve">dummy variable with 1 = Most scientists think climate change is happening, and 0 = all other responses.</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Additionally, a Gaussian approximation avoiding discretization was run as a sensitivity check.</w:t>
      </w:r>
    </w:p>
  </w:footnote>
  <w:footnote w:id="18">
    <w:p>
      <w:pPr>
        <w:pStyle w:val="FootnoteText"/>
      </w:pPr>
      <w:r>
        <w:rPr>
          <w:rStyle w:val="FootnoteReference"/>
        </w:rPr>
        <w:footnoteRef/>
      </w:r>
      <w:r>
        <w:t xml:space="preserve"> </w:t>
      </w:r>
      <w:r>
        <w:t xml:space="preserve">Score-based algorithms such as hill-climbing and tabu search return a DAG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2026-08-18T21:24:34Z</dcterms:created>
  <dcterms:modified xsi:type="dcterms:W3CDTF">2026-08-18T21:24:34Z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