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comments.xml" ContentType="application/vnd.openxmlformats-officedocument.wordprocessingml.comments+xml"/>
  <Override PartName="/word/theme/theme1.xml" ContentType="application/vnd.openxmlformats-officedocument.theme+xml"/>
  <Override PartName="/word/commentsExtended.xml" ContentType="application/vnd.openxmlformats-officedocument.wordprocessingml.commentsExtended+xml"/>
  <Override PartName="/word/footer2.xml" ContentType="application/vnd.openxmlformats-officedocument.wordprocessingml.footer+xml"/>
  <Override PartName="/word/header1.xml" ContentType="application/vnd.openxmlformats-officedocument.wordprocessingml.header+xml"/>
  <Override PartName="/word/footer4.xml" ContentType="application/vnd.openxmlformats-officedocument.wordprocessingml.footer+xml"/>
  <Override PartName="/word/header3.xml" ContentType="application/vnd.openxmlformats-officedocument.wordprocessingml.header+xml"/>
  <Override PartName="/word/endnotes.xml" ContentType="application/vnd.openxmlformats-officedocument.wordprocessingml.endnote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ackground w:color="FFFFFF"/>
  <w:body>
    <w:p>
      <w:pPr>
        <w:pBdr/>
        <w:pStyle w:val="Normal"/>
        <w:spacing/>
        <w:ind/>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 xml:space="preserve">Cultural Theory, Political Ideology, and Burden Tolerance: The Role of Core Belief Systems in Shaping Support for Administrative Burdens</w:t>
      </w:r>
      <w:r>
        <w:rPr>
          <w:rFonts w:ascii="Times New Roman" w:hAnsi="Times New Roman" w:cs="Times New Roman"/>
          <w:color w:val="000000"/>
        </w:rPr>
        <w:br/>
      </w:r>
      <w:r>
        <w:rPr>
          <w:rFonts w:ascii="Times New Roman" w:hAnsi="Times New Roman" w:cs="Times New Roman"/>
          <w:color w:val="000000"/>
        </w:rPr>
        <w:br/>
      </w:r>
      <w:r>
        <w:rPr>
          <w:rFonts w:ascii="Times New Roman" w:hAnsi="Times New Roman" w:cs="Times New Roman"/>
          <w:color w:val="000000"/>
        </w:rPr>
        <w:br/>
      </w:r>
      <w:r>
        <w:rPr>
          <w:rFonts w:ascii="Times New Roman" w:hAnsi="Times New Roman" w:cs="Times New Roman"/>
          <w:color w:val="000000"/>
        </w:rPr>
        <w:br/>
      </w:r>
      <w:r>
        <w:rPr>
          <w:rFonts w:ascii="Times New Roman" w:hAnsi="Times New Roman" w:cs="Times New Roman"/>
          <w:b/>
          <w:bCs/>
          <w:color w:val="000000"/>
          <w:sz w:val="24"/>
          <w:szCs w:val="24"/>
        </w:rPr>
        <w:t xml:space="preserve">Abstract</w:t>
      </w:r>
    </w:p>
    <w:p>
      <w:pPr>
        <w:pBdr/>
        <w:pStyle w:val="Normal"/>
        <w:spacing/>
        <w:ind/>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Administrative burdens embedded within many public policies are often politically contentious, such that core values and belief systems can drive support or opposition. In this paper, we use survey data of US respondents to both replicate and extend the administrative burden instrument developed by Baekgaard et al. First, we confirm the measure's validity by examining its effects on beliefs across policies that range from highly polarized to less politically contentious. Second, we test the relationship between tolerance of administrative burden and Cultural Theory (CT) variables that tap into worldview orientations related to hierarchy, egalitarianism, individualism, and fatalism, which previous research has found predictive of policy preferences across a wide range of domains, even after accounting for political ideology and partisanship. We hypothesize that egalitarians and individualists will generally be less tolerant of burdens, while hierarchs will be more accepting of burdensome requirements. However, this effect will vary depending on the nature of burdens and how they relate to perceived threats for each worldview.</w:t>
      </w:r>
    </w:p>
    <w:p>
      <w:pPr>
        <w:pBdr/>
        <w:pStyle w:val="Normal"/>
        <w:spacing/>
        <w:ind/>
        <w:rPr>
          <w:rFonts w:ascii="Times New Roman" w:eastAsia="Times New Roman" w:hAnsi="Times New Roman" w:cs="Times New Roman"/>
          <w:color w:val="000000"/>
          <w:sz w:val="24"/>
          <w:szCs w:val="24"/>
        </w:rPr>
      </w:pPr>
    </w:p>
    <w:p>
      <w:pPr>
        <w:pBdr/>
        <w:pStyle w:val="Normal"/>
        <w:spacing/>
        <w:ind/>
        <w:rPr>
          <w:rFonts w:ascii="Times New Roman" w:eastAsia="Times New Roman" w:hAnsi="Times New Roman" w:cs="Times New Roman"/>
          <w:color w:val="000000"/>
          <w:sz w:val="24"/>
          <w:szCs w:val="24"/>
        </w:rPr>
      </w:pPr>
    </w:p>
    <w:p>
      <w:pPr>
        <w:pBdr/>
        <w:pStyle w:val="Normal"/>
        <w:spacing/>
        <w:ind/>
        <w:rPr>
          <w:rFonts w:ascii="Times New Roman" w:eastAsia="Times New Roman" w:hAnsi="Times New Roman" w:cs="Times New Roman"/>
          <w:color w:val="000000"/>
          <w:sz w:val="24"/>
          <w:szCs w:val="24"/>
        </w:rPr>
      </w:pPr>
    </w:p>
    <w:p>
      <w:pPr>
        <w:pBdr/>
        <w:pStyle w:val="Normal"/>
        <w:spacing/>
        <w:ind/>
        <w:rPr>
          <w:rFonts w:ascii="Times New Roman" w:eastAsia="Times New Roman" w:hAnsi="Times New Roman" w:cs="Times New Roman"/>
          <w:color w:val="000000"/>
          <w:sz w:val="24"/>
          <w:szCs w:val="24"/>
        </w:rPr>
      </w:pPr>
    </w:p>
    <w:p>
      <w:pPr>
        <w:pBdr/>
        <w:pStyle w:val="Normal"/>
        <w:spacing/>
        <w:ind/>
        <w:rPr>
          <w:rFonts w:ascii="Times New Roman" w:eastAsia="Times New Roman" w:hAnsi="Times New Roman" w:cs="Times New Roman"/>
          <w:color w:val="000000"/>
          <w:sz w:val="24"/>
          <w:szCs w:val="24"/>
        </w:rPr>
      </w:pPr>
    </w:p>
    <w:p>
      <w:pPr>
        <w:pBdr/>
        <w:pStyle w:val="Normal"/>
        <w:spacing/>
        <w:ind/>
        <w:rPr>
          <w:rFonts w:ascii="Times New Roman" w:eastAsia="Times New Roman" w:hAnsi="Times New Roman" w:cs="Times New Roman"/>
          <w:color w:val="000000"/>
          <w:sz w:val="24"/>
          <w:szCs w:val="24"/>
        </w:rPr>
      </w:pPr>
    </w:p>
    <w:p>
      <w:pPr>
        <w:pBdr/>
        <w:pStyle w:val="Normal"/>
        <w:spacing/>
        <w:ind/>
        <w:rPr>
          <w:rFonts w:ascii="Times New Roman" w:eastAsia="Times New Roman" w:hAnsi="Times New Roman" w:cs="Times New Roman"/>
          <w:color w:val="000000"/>
          <w:sz w:val="24"/>
          <w:szCs w:val="24"/>
        </w:rPr>
      </w:pPr>
    </w:p>
    <w:p>
      <w:pPr>
        <w:pBdr/>
        <w:pStyle w:val="Normal"/>
        <w:spacing/>
        <w:ind/>
        <w:rPr>
          <w:rFonts w:ascii="Times New Roman" w:eastAsia="Times New Roman" w:hAnsi="Times New Roman" w:cs="Times New Roman"/>
          <w:color w:val="000000"/>
          <w:sz w:val="24"/>
          <w:szCs w:val="24"/>
        </w:rPr>
      </w:pPr>
    </w:p>
    <w:p>
      <w:pPr>
        <w:pBdr/>
        <w:pStyle w:val="Normal"/>
        <w:spacing/>
        <w:ind/>
        <w:rPr>
          <w:rFonts w:ascii="Times New Roman" w:eastAsia="Times New Roman" w:hAnsi="Times New Roman" w:cs="Times New Roman"/>
          <w:color w:val="000000"/>
          <w:sz w:val="24"/>
          <w:szCs w:val="24"/>
        </w:rPr>
      </w:pPr>
    </w:p>
    <w:p>
      <w:pPr>
        <w:pBdr/>
        <w:pStyle w:val="Normal"/>
        <w:spacing/>
        <w:ind/>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 xml:space="preserve">Keywords</w:t>
      </w:r>
    </w:p>
    <w:p>
      <w:pPr>
        <w:pBdr/>
        <w:pStyle w:val="Normal"/>
        <w:spacing/>
        <w:ind/>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Cultural theory, administrative burden, citizen worldviews, burden tolerance</w:t>
      </w:r>
    </w:p>
    <w:p>
      <w:pPr>
        <w:pBdr/>
        <w:pStyle w:val="Normal"/>
        <w:spacing/>
        <w:ind/>
        <w:rPr>
          <w:rFonts w:ascii="Times New Roman" w:eastAsia="Times New Roman" w:hAnsi="Times New Roman" w:cs="Times New Roman"/>
          <w:color w:val="000000"/>
          <w:sz w:val="24"/>
          <w:szCs w:val="24"/>
        </w:rPr>
      </w:pPr>
    </w:p>
    <w:p>
      <w:pPr>
        <w:pBdr/>
        <w:pStyle w:val="Normal"/>
        <w:spacing/>
        <w:ind/>
        <w:rPr>
          <w:rFonts w:ascii="Times New Roman" w:eastAsia="Times New Roman" w:hAnsi="Times New Roman" w:cs="Times New Roman"/>
          <w:b/>
          <w:bCs/>
          <w:color w:val="000000"/>
          <w:sz w:val="24"/>
          <w:szCs w:val="24"/>
        </w:rPr>
      </w:pPr>
    </w:p>
    <w:p>
      <w:pPr>
        <w:pBdr/>
        <w:pStyle w:val="Normal"/>
        <w:spacing/>
        <w:ind/>
        <w:rPr>
          <w:rFonts w:ascii="Times New Roman" w:eastAsia="Times New Roman" w:hAnsi="Times New Roman" w:cs="Times New Roman"/>
          <w:b/>
          <w:bCs/>
          <w:color w:val="000000"/>
          <w:sz w:val="24"/>
          <w:szCs w:val="24"/>
        </w:rPr>
      </w:pPr>
    </w:p>
    <w:p>
      <w:pPr>
        <w:pBdr/>
        <w:pStyle w:val="Normal"/>
        <w:spacing/>
        <w:ind/>
        <w:rPr>
          <w:rFonts w:ascii="Times New Roman" w:eastAsia="Times New Roman" w:hAnsi="Times New Roman" w:cs="Times New Roman"/>
          <w:b/>
          <w:bCs/>
          <w:color w:val="000000"/>
          <w:sz w:val="24"/>
          <w:szCs w:val="24"/>
        </w:rPr>
      </w:pPr>
    </w:p>
    <w:p>
      <w:pPr>
        <w:pBdr/>
        <w:pStyle w:val="Normal"/>
        <w:spacing/>
        <w:ind/>
        <w:rPr>
          <w:rFonts w:ascii="Times New Roman" w:eastAsia="Times New Roman" w:hAnsi="Times New Roman" w:cs="Times New Roman"/>
          <w:b/>
          <w:bCs/>
          <w:color w:val="000000"/>
          <w:sz w:val="24"/>
          <w:szCs w:val="24"/>
        </w:rPr>
      </w:pPr>
    </w:p>
    <w:p>
      <w:pPr>
        <w:pBdr/>
        <w:pStyle w:val="Normal"/>
        <w:spacing w:after="0" w:line="480" w:lineRule="auto"/>
        <w:ind/>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 xml:space="preserve">Introduction</w:t>
      </w:r>
    </w:p>
    <w:p>
      <w:pPr>
        <w:pBdr/>
        <w:pStyle w:val="Normal"/>
        <w:spacing w:after="0" w:line="480" w:lineRule="auto"/>
        <w:ind/>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b/>
      </w:r>
      <w:r>
        <w:rPr>
          <w:rFonts w:ascii="Times New Roman" w:eastAsia="Times New Roman" w:hAnsi="Times New Roman" w:cs="Times New Roman"/>
          <w:color w:val="000000"/>
          <w:sz w:val="24"/>
          <w:szCs w:val="24"/>
        </w:rPr>
        <w:t xml:space="preserve">Public management can be defined as the process by which government policies, which are essentially collections of words written on paper and codified into law, are converted into actions carried out by a variety of actors both inside and outside of government in the real world to accomplish some goal or task </w:t>
      </w:r>
      <w:r>
        <w:rPr>
          <w:rFonts w:ascii="Times New Roman" w:eastAsia="Times New Roman" w:hAnsi="Times New Roman" w:cs="Times New Roman"/>
          <w:color w:val="000000"/>
          <w:sz w:val="24"/>
          <w:szCs w:val="24"/>
        </w:rPr>
        <w:fldChar w:fldCharType="begin"/>
      </w:r>
      <w:r>
        <w:rPr>
          <w:rFonts w:ascii="Times New Roman" w:eastAsia="Times New Roman" w:hAnsi="Times New Roman" w:cs="Times New Roman"/>
          <w:color w:val="000000"/>
          <w:sz w:val="24"/>
          <w:szCs w:val="24"/>
        </w:rPr>
        <w:instrText xml:space="preserve"> ADDIN ZOTERO_ITEM CSL_CITATION {"citationID":"nababRlM","properties":{"formattedCitation":"(O\\uc0\\u8217{}Toole and Meier 2011)","plainCitation":"(O’Toole and Meier 2011)","noteIndex":0},"citationItems":[{"id":11209,"uris":["http://zotero.org/users/176612/items/IYSIKJKD"],"itemData":{"id":11209,"type":"book","abstract":"How effective are public managers as they seek to influence how public organizations deliver policy results? How, and how much, is management related to the performance of public programs? What aspects of management can be distinguished? Can their separable contributions to performance be estimated? The fate of public policies in today's world lies in the hands of public organizations, which in turn are often intertwined with others in latticed patterns of governance. Collectively, these organizations are expected to generate performance in terms of policy outputs and outcomes. In this book, two award-winning researchers investigate the effectiveness of management in the public sector. Firstly, they develop a systematic theory on how effective public managers are in shaping policy results. The rest of the book then tests this theory against a wide range of evidence, including a data set of 1,000 public organizations.","ISBN":"978-1-139-50287-0","language":"en","note":"Google-Books-ID: UsJNLe0tkAEC","number-of-pages":"333","publisher":"Cambridge University Press","source":"Google Books","title":"Public Management: Organizations, Governance, and Performance","title-short":"Public Management","author":[{"family":"O'Toole","given":"Laurence J."},{"family":"Meier","given":"Kenneth J."}],"issued":{"date-parts":[["2011",4,14]]}},"label":"page"}],"schema":"https://github.com/citation-style-language/schema/raw/master/csl-citation.json"} </w:instrText>
      </w:r>
      <w:r>
        <w:rPr>
          <w:rFonts w:ascii="Times New Roman" w:eastAsia="Times New Roman" w:hAnsi="Times New Roman" w:cs="Times New Roman"/>
          <w:color w:val="000000"/>
          <w:sz w:val="24"/>
          <w:szCs w:val="24"/>
        </w:rPr>
        <w:fldChar w:fldCharType="separate"/>
      </w:r>
      <w:r>
        <w:rPr>
          <w:rFonts w:ascii="Times New Roman" w:hAnsi="Times New Roman" w:cs="Times New Roman"/>
          <w:color w:val="000000"/>
          <w:sz w:val="24"/>
        </w:rPr>
        <w:t xml:space="preserve">(O’Toole and Meier 2011)</w:t>
      </w:r>
      <w:r>
        <w:rPr>
          <w:rFonts w:ascii="Times New Roman" w:eastAsia="Times New Roman" w:hAnsi="Times New Roman" w:cs="Times New Roman"/>
          <w:color w:val="000000"/>
          <w:sz w:val="24"/>
          <w:szCs w:val="24"/>
        </w:rPr>
        <w:fldChar w:fldCharType="end"/>
      </w:r>
      <w:r>
        <w:rPr>
          <w:rFonts w:ascii="Times New Roman" w:eastAsia="Times New Roman" w:hAnsi="Times New Roman" w:cs="Times New Roman"/>
          <w:color w:val="000000"/>
          <w:sz w:val="24"/>
          <w:szCs w:val="24"/>
        </w:rPr>
        <w:instrText xml:space="preserve">. Within this implementation of public policy, logistical details and administrative procedures, such as the mechanisms used to determine eligibility and prevent fraud or abuse, create burdens that recipients must navigate and overcome </w:instrText>
      </w:r>
      <w:r>
        <w:rPr>
          <w:rFonts w:ascii="Times New Roman" w:eastAsia="Times New Roman" w:hAnsi="Times New Roman" w:cs="Times New Roman"/>
          <w:color w:val="000000"/>
          <w:sz w:val="24"/>
          <w:szCs w:val="24"/>
        </w:rPr>
        <w:fldChar w:fldCharType="begin"/>
      </w:r>
      <w:r>
        <w:rPr>
          <w:rFonts w:ascii="Times New Roman" w:eastAsia="Times New Roman" w:hAnsi="Times New Roman" w:cs="Times New Roman"/>
          <w:color w:val="000000"/>
          <w:sz w:val="24"/>
          <w:szCs w:val="24"/>
        </w:rPr>
        <w:instrText xml:space="preserve"> ADDIN ZOTERO_ITEM CSL_CITATION {"citationID":"4R0lQf7c","properties":{"formattedCitation":"(Herd and Moynihan 2019)","plainCitation":"(Herd and Moynihan 2019)","noteIndex":0},"citationItems":[{"id":4405,"uris":["http://zotero.org/users/176612/items/M2E8IYMI"],"itemData":{"id":4405,"type":"book","abstract":"Winner of the 2020 Outstanding Book Award Presented by the Public and Nonprofit Section of the National Academy of Management Winner of the 2019 Louis Brownlow Book Award from the National Academy of Public Administration  Bureaucracy, confusing paperwork, and complex regulations—or what public policy scholars Pamela Herd and Donald Moynihan call administrative burdens—often introduce delay and frustration into our experiences with government agencies. Administrative burdens diminish the effectiveness of public programs and can even block individuals from fundamental rights like voting. In AdministrativeBurden, Herd and Moynihan document that the administrative burdens citizens regularly encounter in their interactions with the state are not simply unintended byproducts of governance, but the result of deliberate policy choices. Because burdens affect people’s perceptions of government and often perpetuate long-standing inequalities, understanding why administrative burdens exist and how they can be reduced is essential for maintaining a healthy public sector.  Through in-depth case studies of federal programs and controversial legislation, the authors show that administrative burdens are the nuts-and-bolts of policy design. Regarding controversial issues such as voter enfranchisement or abortion rights, lawmakers often use administrative burdens to limit access to rights or services they oppose. For instance, legislators have implemented administrative burdens such as complicated registration requirements and strict voter-identification laws to suppress turnout of African American voters. Similarly, the right to an abortion is legally protected, but many states require women seeking abortions to comply with burdens such as mandatory waiting periods, ultrasounds, and scripted counseling. As Herd and Moynihan demonstrate, administrative burdens often disproportionately affect the disadvantaged who lack the resources to deal with the financial and psychological costs of navigating these obstacles.  However, policymakers have sometimes reduced administrative burdens or shifted them away from citizens and onto the government. One example is Social Security, which early administrators of the program implemented in the 1930s with the goal of minimizing burdens for beneficiaries. As a result, the take-up rate is about 100 percent because the Social Security Administration keeps track of peoples’ earnings for them, automatically calculates benefits and eligibility, and simply requires an easy online enrollment or visiting one of 1,200 field offices. Making more programs and public services operate this efficiently, the authors argue, requires adoption of a nonpartisan, evidence-based metric for determining when and how to institute administrative burdens, with a bias toward reducing them. By ensuring that the public’s interaction with government is no more onerous than it need be, policymakers and administrators can reduce inequality, boost civic engagement, and build an efficient state that works for all citizens.","ISBN":"978-0-87154-444-5","language":"English","number-of-pages":"304","publisher":"Russell Sage Foundation","publisher-place":"New York","source":"Amazon","title":"Administrative Burden: Policymaking by Other Means","title-short":"Administrative Burden","author":[{"family":"Herd","given":"Pamela"},{"family":"Moynihan","given":"Donald P."}],"issued":{"date-parts":[["2019",1,9]]}}}],"schema":"https://github.com/citation-style-language/schema/raw/master/csl-citation.json"} </w:instrText>
      </w:r>
      <w:r>
        <w:rPr>
          <w:rFonts w:ascii="Times New Roman" w:eastAsia="Times New Roman" w:hAnsi="Times New Roman" w:cs="Times New Roman"/>
          <w:color w:val="000000"/>
          <w:sz w:val="24"/>
          <w:szCs w:val="24"/>
        </w:rPr>
        <w:fldChar w:fldCharType="separate"/>
      </w:r>
      <w:r>
        <w:rPr>
          <w:rFonts w:ascii="Times New Roman" w:hAnsi="Times New Roman" w:cs="Times New Roman"/>
          <w:color w:val="000000"/>
          <w:sz w:val="24"/>
        </w:rPr>
        <w:t xml:space="preserve">(Herd and Moynihan 2019)</w:t>
      </w:r>
      <w:r>
        <w:rPr>
          <w:rFonts w:ascii="Times New Roman" w:eastAsia="Times New Roman" w:hAnsi="Times New Roman" w:cs="Times New Roman"/>
          <w:color w:val="000000"/>
          <w:sz w:val="24"/>
          <w:szCs w:val="24"/>
        </w:rPr>
        <w:fldChar w:fldCharType="end"/>
      </w:r>
      <w:r>
        <w:rPr>
          <w:rFonts w:ascii="Times New Roman" w:eastAsia="Times New Roman" w:hAnsi="Times New Roman" w:cs="Times New Roman"/>
          <w:color w:val="000000"/>
          <w:sz w:val="24"/>
          <w:szCs w:val="24"/>
        </w:rPr>
        <w:instrText xml:space="preserve">. Because the costs these burdens impose can dramatically impact the extent to which services are accessible, the administrative procedures that create them are often highly politicized by those who either oppose or support a given policy or program. Thus, they have become increasingly contentious within broader policy debates. As a result of this heightened political salience, public opinion about the appropriateness and legitimacy of administrative burdens has taken on increased significance in recent years </w:instrText>
      </w:r>
      <w:r>
        <w:rPr>
          <w:rFonts w:ascii="Times New Roman" w:eastAsia="Times New Roman" w:hAnsi="Times New Roman" w:cs="Times New Roman"/>
          <w:color w:val="000000"/>
          <w:sz w:val="24"/>
          <w:szCs w:val="24"/>
        </w:rPr>
        <w:fldChar w:fldCharType="begin"/>
      </w:r>
      <w:r>
        <w:rPr>
          <w:rFonts w:ascii="Times New Roman" w:eastAsia="Times New Roman" w:hAnsi="Times New Roman" w:cs="Times New Roman"/>
          <w:color w:val="000000"/>
          <w:sz w:val="24"/>
          <w:szCs w:val="24"/>
        </w:rPr>
        <w:instrText xml:space="preserve"> ADDIN ZOTERO_ITEM CSL_CITATION {"citationID":"1JFEhEf6","properties":{"formattedCitation":"(Halling and Baekgaard 2024)","plainCitation":"(Halling and Baekgaard 2024)","noteIndex":0},"citationItems":[{"id":10712,"uris":["http://zotero.org/users/176612/items/PXKQZ6AV"],"itemData":{"id":10712,"type":"article-journal","abstract":"Based on a systematic review of 119 articles and working papers, we provide an overview of how administrative burdens in citizen–state interactions have been studied since the inception of the research agenda in 2012. We develop a new and comprehensive model of how key concepts in the framework are related, assess the evidence of the causal relationships proposed by the model, and discuss where more evidence is needed. Empirical research supports conventional claims that burdens are consequential, distributive, and constructed. However, the literature has moved further by (1) demonstrating that factors such as frontline service delivery and government communication influence experiences of burdens; (2) highlighting how factors beyond ideology influence constructions of burdens; (3) introducing the burden tolerance concept; (4) illustrating that experiences of burden influence policymakers’ and members of the publics’ burden tolerance. Based on the review, we propose an agenda for future administrative burden research. We call for studies linking experiences of burden to outcomes such as democratic behavior and take-up, and for studies connecting policymakers’ burden tolerance to actual state actions. Moreover, we argue that future studies should use qualitative methods to further explore the nature of burdens from the perspective of citizens, rely on experimental methods to establish causal links between state actions and experiences of burden, and compare burdens across contexts. Further, empirical studies should examine the tradeoffs between legitimacy and experiences of burden, and how actors outside the citizen–state interaction may influence experiences of administrative burden.","container-title":"Journal of Public Administration Research and Theory","DOI":"10.1093/jopart/muad023","ISSN":"1053-1858","issue":"2","journalAbbreviation":"Journal of Public Administration Research and Theory","page":"180-195","source":"Silverchair","title":"Administrative Burden in Citizen–State Interactions: A Systematic Literature Review","title-short":"Administrative Burden in Citizen–State Interactions","volume":"34","author":[{"family":"Halling","given":"Aske"},{"family":"Baekgaard","given":"Martin"}],"issued":{"date-parts":[["2024",4,1]]}}}],"schema":"https://github.com/citation-style-language/schema/raw/master/csl-citation.json"} </w:instrText>
      </w:r>
      <w:r>
        <w:rPr>
          <w:rFonts w:ascii="Times New Roman" w:eastAsia="Times New Roman" w:hAnsi="Times New Roman" w:cs="Times New Roman"/>
          <w:color w:val="000000"/>
          <w:sz w:val="24"/>
          <w:szCs w:val="24"/>
        </w:rPr>
        <w:fldChar w:fldCharType="separate"/>
      </w:r>
      <w:r>
        <w:rPr>
          <w:rFonts w:ascii="Times New Roman" w:hAnsi="Times New Roman" w:cs="Times New Roman"/>
          <w:color w:val="000000"/>
          <w:sz w:val="24"/>
        </w:rPr>
        <w:t xml:space="preserve">(Halling and Baekgaard 2024)</w:t>
      </w:r>
      <w:r>
        <w:rPr>
          <w:rFonts w:ascii="Times New Roman" w:eastAsia="Times New Roman" w:hAnsi="Times New Roman" w:cs="Times New Roman"/>
          <w:color w:val="000000"/>
          <w:sz w:val="24"/>
          <w:szCs w:val="24"/>
        </w:rPr>
        <w:fldChar w:fldCharType="end"/>
      </w:r>
      <w:r>
        <w:rPr>
          <w:rFonts w:ascii="Times New Roman" w:eastAsia="Times New Roman" w:hAnsi="Times New Roman" w:cs="Times New Roman"/>
          <w:color w:val="000000"/>
          <w:sz w:val="24"/>
          <w:szCs w:val="24"/>
        </w:rPr>
        <w:instrText xml:space="preserve">. </w:instrText>
      </w:r>
    </w:p>
    <w:p>
      <w:pPr>
        <w:pBdr/>
        <w:pStyle w:val="Normal"/>
        <w:spacing w:after="0" w:line="480" w:lineRule="auto"/>
        <w:ind/>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b/>
      </w:r>
      <w:r>
        <w:rPr>
          <w:rFonts w:ascii="Times New Roman" w:eastAsia="Times New Roman" w:hAnsi="Times New Roman" w:cs="Times New Roman"/>
          <w:color w:val="000000"/>
          <w:sz w:val="24"/>
          <w:szCs w:val="24"/>
        </w:rPr>
        <w:t xml:space="preserve">Drawing on a survey of 1210 adults living in the US, this study makes three notable contributions to the emerging body of research on citizen tolerance of administrative burdens. First, we draw on the worldview orientations specified by Cultural Theory (CT), which have previously been found to be an important predictor of policy beliefs across a range of politically polarized policy issues, to examine the impacts of deeply held beliefs and values, beyond political ideology, on burden tolerance. Second, we replicate and extend a measure of generalized burden tolerance developed by Baekgaard et al. </w:t>
      </w:r>
      <w:r>
        <w:rPr>
          <w:rFonts w:ascii="Times New Roman" w:eastAsia="Times New Roman" w:hAnsi="Times New Roman" w:cs="Times New Roman"/>
          <w:color w:val="000000"/>
          <w:sz w:val="24"/>
          <w:szCs w:val="24"/>
        </w:rPr>
        <w:fldChar w:fldCharType="begin"/>
      </w:r>
      <w:r>
        <w:rPr>
          <w:rFonts w:ascii="Times New Roman" w:eastAsia="Times New Roman" w:hAnsi="Times New Roman" w:cs="Times New Roman"/>
          <w:color w:val="000000"/>
          <w:sz w:val="24"/>
          <w:szCs w:val="24"/>
        </w:rPr>
        <w:instrText xml:space="preserve"> ADDIN ZOTERO_ITEM CSL_CITATION {"citationID":"yIMySW2L","properties":{"formattedCitation":"(2025)","plainCitation":"(2025)","noteIndex":0},"citationItems":[{"id":10724,"uris":["http://zotero.org/users/176612/items/JFK9FBZ4"],"itemData":{"id":10724,"type":"article-journal","abstract":"The emergence of the administrative burden literature has generated new theoretical, conceptual, and empirical knowledge. However, the accumulation of comparable knowledge is limited by the lack of validated measurement of core concepts. This article validates a four-item scale of burden tolerance, that is, people's acceptance of state actions that impose administrative burdens on citizens and residents interacting with government, using data from seven countries and 12 surveys. We illustrate the usefulness of the scale by examining its correlates. Burden tolerance varies substantially across the countries examined, but is generally higher for males, young adults, less well educated, those with good health, those who trust state actors more, and ideological conservatives. We demonstrate how the scale can be adapted to specific policy areas and that our generic scale correlates highly with the tolerance for burdens in such diverse domains as income supports, health insurance, passport renewals, and small business licensing.","container-title":"Public Administration Review","DOI":"10.1111/puar.13835","ISSN":"1540-6210","issue":"2","language":"en","license":"© 2024 The Authors. Public Administration Review published by Wiley Periodicals LLC on behalf of American Society for Public Administration.","note":"_eprint: https://onlinelibrary.wiley.com/doi/pdf/10.1111/puar.13835","page":"519-546","source":"Wiley Online Library","title":"Burden tolerance: Developing a validated measurement instrument across seven countries","title-short":"Burden tolerance","volume":"85","author":[{"family":"Baekgaard","given":"Martin"},{"family":"Halling","given":"Aske"},{"family":"Moynihan","given":"Donald P."}],"issued":{"date-parts":[["2025"]]}},"suppress-author":true}],"schema":"https://github.com/citation-style-language/schema/raw/master/csl-citation.json"} </w:instrText>
      </w:r>
      <w:r>
        <w:rPr>
          <w:rFonts w:ascii="Times New Roman" w:eastAsia="Times New Roman" w:hAnsi="Times New Roman" w:cs="Times New Roman"/>
          <w:color w:val="000000"/>
          <w:sz w:val="24"/>
          <w:szCs w:val="24"/>
        </w:rPr>
        <w:fldChar w:fldCharType="separate"/>
      </w:r>
      <w:r>
        <w:rPr>
          <w:rFonts w:ascii="Times New Roman" w:hAnsi="Times New Roman" w:cs="Times New Roman"/>
          <w:color w:val="000000"/>
          <w:sz w:val="24"/>
        </w:rPr>
        <w:t xml:space="preserve">(2025)</w:t>
      </w:r>
      <w:r>
        <w:rPr>
          <w:rFonts w:ascii="Times New Roman" w:eastAsia="Times New Roman" w:hAnsi="Times New Roman" w:cs="Times New Roman"/>
          <w:color w:val="000000"/>
          <w:sz w:val="24"/>
          <w:szCs w:val="24"/>
        </w:rPr>
        <w:fldChar w:fldCharType="end"/>
      </w:r>
      <w:r>
        <w:rPr>
          <w:rFonts w:ascii="Times New Roman" w:eastAsia="Times New Roman" w:hAnsi="Times New Roman" w:cs="Times New Roman"/>
          <w:color w:val="000000"/>
          <w:sz w:val="24"/>
          <w:szCs w:val="24"/>
        </w:rPr>
        <w:instrText xml:space="preserve"> to better understand variation in beliefs about the appropriateness of burdens in the abstract. Third, we analyze policy-</w:instrText>
      </w:r>
      <w:r>
        <w:rPr>
          <w:rFonts w:ascii="Times New Roman" w:eastAsia="Times New Roman" w:hAnsi="Times New Roman" w:cs="Times New Roman"/>
          <w:color w:val="000000"/>
          <w:sz w:val="24"/>
          <w:szCs w:val="24"/>
        </w:rPr>
        <w:t xml:space="preserve">specific beliefs about burdens across three domains (voting, SNAP benefits, and gun ownership) to evaluate how burden tolerance varies depending on the issue.</w:t>
      </w:r>
    </w:p>
    <w:p>
      <w:pPr>
        <w:pBdr/>
        <w:pStyle w:val="Normal"/>
        <w:spacing w:after="0" w:line="480" w:lineRule="auto"/>
        <w:ind w:right="-20"/>
        <w:rPr>
          <w:rFonts w:ascii="Times New Roman" w:hAnsi="Times New Roman" w:cs="Times New Roman"/>
          <w:b/>
          <w:bCs/>
          <w:color w:val="000000"/>
          <w:sz w:val="24"/>
          <w:szCs w:val="24"/>
        </w:rPr>
      </w:pPr>
      <w:r>
        <w:rPr>
          <w:rFonts w:ascii="Times New Roman" w:hAnsi="Times New Roman" w:cs="Times New Roman"/>
          <w:b/>
          <w:bCs/>
          <w:color w:val="000000"/>
          <w:sz w:val="24"/>
          <w:szCs w:val="24"/>
        </w:rPr>
        <w:t xml:space="preserve">Citizen Tolerance of Administrative Burdens</w:t>
      </w:r>
    </w:p>
    <w:p>
      <w:pPr>
        <w:pBdr/>
        <w:pStyle w:val="Normal"/>
        <w:spacing w:after="0" w:line="480" w:lineRule="auto"/>
        <w:ind w:left="-20" w:right="-20" w:firstLine="72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Administrative burdens, defined as an individual’s experience with policy implementation as onerous </w:t>
      </w:r>
      <w:r>
        <w:rPr>
          <w:rFonts w:ascii="Times New Roman" w:eastAsia="Times New Roman" w:hAnsi="Times New Roman" w:cs="Times New Roman"/>
          <w:color w:val="000000"/>
          <w:sz w:val="24"/>
          <w:szCs w:val="24"/>
        </w:rPr>
        <w:fldChar w:fldCharType="begin"/>
      </w:r>
      <w:r>
        <w:rPr>
          <w:rFonts w:ascii="Times New Roman" w:eastAsia="Times New Roman" w:hAnsi="Times New Roman" w:cs="Times New Roman"/>
          <w:color w:val="000000"/>
          <w:sz w:val="24"/>
          <w:szCs w:val="24"/>
        </w:rPr>
        <w:instrText xml:space="preserve"> ADDIN ZOTERO_ITEM CSL_CITATION {"citationID":"nsFSsqQ7","properties":{"formattedCitation":"(Herd and Moynihan 2019)","plainCitation":"(Herd and Moynihan 2019)","noteIndex":0},"citationItems":[{"id":4405,"uris":["http://zotero.org/users/176612/items/M2E8IYMI"],"itemData":{"id":4405,"type":"book","abstract":"Winner of the 2020 Outstanding Book Award Presented by the Public and Nonprofit Section of the National Academy of Management Winner of the 2019 Louis Brownlow Book Award from the National Academy of Public Administration  Bureaucracy, confusing paperwork, and complex regulations—or what public policy scholars Pamela Herd and Donald Moynihan call administrative burdens—often introduce delay and frustration into our experiences with government agencies. Administrative burdens diminish the effectiveness of public programs and can even block individuals from fundamental rights like voting. In AdministrativeBurden, Herd and Moynihan document that the administrative burdens citizens regularly encounter in their interactions with the state are not simply unintended byproducts of governance, but the result of deliberate policy choices. Because burdens affect people’s perceptions of government and often perpetuate long-standing inequalities, understanding why administrative burdens exist and how they can be reduced is essential for maintaining a healthy public sector.  Through in-depth case studies of federal programs and controversial legislation, the authors show that administrative burdens are the nuts-and-bolts of policy design. Regarding controversial issues such as voter enfranchisement or abortion rights, lawmakers often use administrative burdens to limit access to rights or services they oppose. For instance, legislators have implemented administrative burdens such as complicated registration requirements and strict voter-identification laws to suppress turnout of African American voters. Similarly, the right to an abortion is legally protected, but many states require women seeking abortions to comply with burdens such as mandatory waiting periods, ultrasounds, and scripted counseling. As Herd and Moynihan demonstrate, administrative burdens often disproportionately affect the disadvantaged who lack the resources to deal with the financial and psychological costs of navigating these obstacles.  However, policymakers have sometimes reduced administrative burdens or shifted them away from citizens and onto the government. One example is Social Security, which early administrators of the program implemented in the 1930s with the goal of minimizing burdens for beneficiaries. As a result, the take-up rate is about 100 percent because the Social Security Administration keeps track of peoples’ earnings for them, automatically calculates benefits and eligibility, and simply requires an easy online enrollment or visiting one of 1,200 field offices. Making more programs and public services operate this efficiently, the authors argue, requires adoption of a nonpartisan, evidence-based metric for determining when and how to institute administrative burdens, with a bias toward reducing them. By ensuring that the public’s interaction with government is no more onerous than it need be, policymakers and administrators can reduce inequality, boost civic engagement, and build an efficient state that works for all citizens.","ISBN":"978-0-87154-444-5","language":"English","number-of-pages":"304","publisher":"Russell Sage Foundation","publisher-place":"New York","source":"Amazon","title":"Administrative Burden: Policymaking by Other Means","title-short":"Administrative Burden","author":[{"family":"Herd","given":"Pamela"},{"family":"Moynihan","given":"Donald P."}],"issued":{"date-parts":[["2019",1,9]]}}}],"schema":"https://github.com/citation-style-language/schema/raw/master/csl-citation.json"} </w:instrText>
      </w:r>
      <w:r>
        <w:rPr>
          <w:rFonts w:ascii="Times New Roman" w:eastAsia="Times New Roman" w:hAnsi="Times New Roman" w:cs="Times New Roman"/>
          <w:color w:val="000000"/>
          <w:sz w:val="24"/>
          <w:szCs w:val="24"/>
        </w:rPr>
        <w:fldChar w:fldCharType="separate"/>
      </w:r>
      <w:r>
        <w:rPr>
          <w:rFonts w:ascii="Times New Roman" w:hAnsi="Times New Roman" w:cs="Times New Roman"/>
          <w:color w:val="000000"/>
          <w:sz w:val="24"/>
          <w:szCs w:val="24"/>
        </w:rPr>
        <w:t xml:space="preserve">(Herd and Moynihan 2019)</w:t>
      </w:r>
      <w:r>
        <w:rPr>
          <w:rFonts w:ascii="Times New Roman" w:eastAsia="Times New Roman" w:hAnsi="Times New Roman" w:cs="Times New Roman"/>
          <w:color w:val="000000"/>
          <w:sz w:val="24"/>
          <w:szCs w:val="24"/>
        </w:rPr>
        <w:fldChar w:fldCharType="end"/>
      </w:r>
      <w:r>
        <w:rPr>
          <w:rFonts w:ascii="Times New Roman" w:eastAsia="Times New Roman" w:hAnsi="Times New Roman" w:cs="Times New Roman"/>
          <w:color w:val="000000"/>
          <w:sz w:val="24"/>
          <w:szCs w:val="24"/>
        </w:rPr>
        <w:instrText xml:space="preserve">, impose costs (often classified into learning, compliance, and psychological costs) that effectively serve as barriers limiting access to services. Examples of burdens include the time and effort needed to learn about programs and benefits that are available, lengthy and complex paperwork that must be completed (often with arcane or confusing language), excessive and intrusive documentation requirements to demonstrate eligibility, and requirements that participants must submit to caseworker interviews or inspections to verify compliance (Herd and Moynihan 2019). Navigating such application requirements and the stigma (internalized or anticipated) sometimes associated with benefit take-up often induces mental or emotional stress related to participation (Lasky-Fink and Linos 2024). While politicians and bureaucrats may employ these burdens to limit fraud in program participation or improve targeting efficiency, they can also have counterproductive distributive consequences, imposing the harshest challenges on those with the lowest resources </w:instrText>
      </w:r>
      <w:r>
        <w:rPr>
          <w:rFonts w:ascii="Times New Roman" w:eastAsia="Times New Roman" w:hAnsi="Times New Roman" w:cs="Times New Roman"/>
          <w:color w:val="000000"/>
          <w:sz w:val="24"/>
          <w:szCs w:val="24"/>
        </w:rPr>
        <w:fldChar w:fldCharType="begin"/>
      </w:r>
      <w:r>
        <w:rPr>
          <w:rFonts w:ascii="Times New Roman" w:eastAsia="Times New Roman" w:hAnsi="Times New Roman" w:cs="Times New Roman"/>
          <w:color w:val="000000"/>
          <w:sz w:val="24"/>
          <w:szCs w:val="24"/>
        </w:rPr>
        <w:instrText xml:space="preserve"> ADDIN ZOTERO_ITEM CSL_CITATION {"citationID":"z6Yo4ngv","properties":{"formattedCitation":"(Herd and Moynihan 2019)","plainCitation":"(Herd and Moynihan 2019)","noteIndex":0},"citationItems":[{"id":4405,"uris":["http://zotero.org/users/176612/items/M2E8IYMI"],"itemData":{"id":4405,"type":"book","abstract":"Winner of the 2020 Outstanding Book Award Presented by the Public and Nonprofit Section of the National Academy of Management Winner of the 2019 Louis Brownlow Book Award from the National Academy of Public Administration  Bureaucracy, confusing paperwork, and complex regulations—or what public policy scholars Pamela Herd and Donald Moynihan call administrative burdens—often introduce delay and frustration into our experiences with government agencies. Administrative burdens diminish the effectiveness of public programs and can even block individuals from fundamental rights like voting. In AdministrativeBurden, Herd and Moynihan document that the administrative burdens citizens regularly encounter in their interactions with the state are not simply unintended byproducts of governance, but the result of deliberate policy choices. Because burdens affect people’s perceptions of government and often perpetuate long-standing inequalities, understanding why administrative burdens exist and how they can be reduced is essential for maintaining a healthy public sector.  Through in-depth case studies of federal programs and controversial legislation, the authors show that administrative burdens are the nuts-and-bolts of policy design. Regarding controversial issues such as voter enfranchisement or abortion rights, lawmakers often use administrative burdens to limit access to rights or services they oppose. For instance, legislators have implemented administrative burdens such as complicated registration requirements and strict voter-identification laws to suppress turnout of African American voters. Similarly, the right to an abortion is legally protected, but many states require women seeking abortions to comply with burdens such as mandatory waiting periods, ultrasounds, and scripted counseling. As Herd and Moynihan demonstrate, administrative burdens often disproportionately affect the disadvantaged who lack the resources to deal with the financial and psychological costs of navigating these obstacles.  However, policymakers have sometimes reduced administrative burdens or shifted them away from citizens and onto the government. One example is Social Security, which early administrators of the program implemented in the 1930s with the goal of minimizing burdens for beneficiaries. As a result, the take-up rate is about 100 percent because the Social Security Administration keeps track of peoples’ earnings for them, automatically calculates benefits and eligibility, and simply requires an easy online enrollment or visiting one of 1,200 field offices. Making more programs and public services operate this efficiently, the authors argue, requires adoption of a nonpartisan, evidence-based metric for determining when and how to institute administrative burdens, with a bias toward reducing them. By ensuring that the public’s interaction with government is no more onerous than it need be, policymakers and administrators can reduce inequality, boost civic engagement, and build an efficient state that works for all citizens.","ISBN":"978-0-87154-444-5","language":"English","number-of-pages":"304","publisher":"Russell Sage Foundation","publisher-place":"New York","source":"Amazon","title":"Administrative Burden: Policymaking by Other Means","title-short":"Administrative Burden","author":[{"family":"Herd","given":"Pamela"},{"family":"Moynihan","given":"Donald P."}],"issued":{"date-parts":[["2019",1,9]]}}}],"schema":"https://github.com/citation-style-language/schema/raw/master/csl-citation.json"} </w:instrText>
      </w:r>
      <w:r>
        <w:rPr>
          <w:rFonts w:ascii="Times New Roman" w:eastAsia="Times New Roman" w:hAnsi="Times New Roman" w:cs="Times New Roman"/>
          <w:color w:val="000000"/>
          <w:sz w:val="24"/>
          <w:szCs w:val="24"/>
        </w:rPr>
        <w:fldChar w:fldCharType="separate"/>
      </w:r>
      <w:r>
        <w:rPr>
          <w:rFonts w:ascii="Times New Roman" w:hAnsi="Times New Roman" w:cs="Times New Roman"/>
          <w:color w:val="000000"/>
          <w:sz w:val="24"/>
          <w:szCs w:val="24"/>
        </w:rPr>
        <w:t xml:space="preserve">(Herd and Moynihan 2019)</w:t>
      </w:r>
      <w:r>
        <w:rPr>
          <w:rFonts w:ascii="Times New Roman" w:eastAsia="Times New Roman" w:hAnsi="Times New Roman" w:cs="Times New Roman"/>
          <w:color w:val="000000"/>
          <w:sz w:val="24"/>
          <w:szCs w:val="24"/>
        </w:rPr>
        <w:fldChar w:fldCharType="end"/>
      </w:r>
      <w:r>
        <w:rPr>
          <w:rFonts w:ascii="Times New Roman" w:eastAsia="Times New Roman" w:hAnsi="Times New Roman" w:cs="Times New Roman"/>
          <w:color w:val="000000"/>
          <w:sz w:val="24"/>
          <w:szCs w:val="24"/>
        </w:rPr>
        <w:instrText xml:space="preserve">. Over the last several years, the adverse effects of administrative burdens on program take-up have been well documented across a wide range of policy areas and within numerous countries around the world </w:instrText>
      </w:r>
      <w:r>
        <w:rPr>
          <w:rFonts w:ascii="Times New Roman" w:eastAsia="Times New Roman" w:hAnsi="Times New Roman" w:cs="Times New Roman"/>
          <w:color w:val="000000"/>
          <w:sz w:val="24"/>
          <w:szCs w:val="24"/>
        </w:rPr>
        <w:fldChar w:fldCharType="begin"/>
      </w:r>
      <w:r>
        <w:rPr>
          <w:rFonts w:ascii="Times New Roman" w:eastAsia="Times New Roman" w:hAnsi="Times New Roman" w:cs="Times New Roman"/>
          <w:color w:val="000000"/>
          <w:sz w:val="24"/>
          <w:szCs w:val="24"/>
        </w:rPr>
        <w:instrText xml:space="preserve"> ADDIN ZOTERO_ITEM CSL_CITATION {"citationID":"xPJzzkcw","properties":{"formattedCitation":"(Daigneault et al. 2025; Halling and Baekgaard 2024)","plainCitation":"(Daigneault et al. 2025; Halling and Baekgaard 2024)","noteIndex":0},"citationItems":[{"id":10969,"uris":["http://zotero.org/users/176612/items/YTCX59N3"],"itemData":{"id":10969,"type":"article-journal","abstract":"Non-take-up of social benefits is a significant policy issue caused by factors such as lack of awareness, compliance costs, and stigma. While public information campaigns, default options, and in-person assistance are increasingly used, their effectiveness remains poorly understood. This study provides a systematic review of field experiments evaluating nudges and simple behavioral interventions on program take-up. We analyzed 93 interventions from 35 studies published over nearly 20 years, predominantly focusing on major U.S. programs. We compared study characteristics, including sample and intervention types, and assessed study quality. Due to high heterogeneity, we did not conduct a meta-analysis but used forest plots and thematic summaries instead. Most studies reported a positive impact on program take-up, but not on program application. Two types of interventions were notable for their impact on program application and take-up: 1) providing and framing information; and 2) providing assistance. We discuss the limitations of this review, including the cost and safety of nudges and the implications of focusing on field experiments. We conclude that further research is needed on simpler interventions outside the U.S., as well as on compliance and psychological costs. Additionally, improving the quality and transparency of field experiments is essential.","container-title":"Journal of Policy Analysis and Management","DOI":"10.1002/pam.70005","ISSN":"1520-6688","issue":"3","language":"en","note":"_eprint: https://onlinelibrary.wiley.com/doi/pdf/10.1002/pam.70005","page":"997-1059","source":"Wiley Online Library","title":"How effective are behavioral interventions to increase the take-up of social benefits? A systematic review of field experiments","title-short":"How effective are behavioral interventions to increase the take-up of social benefits?","volume":"44","author":[{"family":"Daigneault","given":"Pierre-Marc"},{"family":"Ouimet","given":"Mathieu"},{"family":"Fortier-Chouinard","given":"Alexandre"},{"family":"Tadida","given":"Eriole Zita Nonki"},{"family":"Baby-Bouchard","given":"Antoine"}],"issued":{"date-parts":[["2025"]]}},"label":"page"},{"id":10712,"uris":["http://zotero.org/users/176612/items/PXKQZ6AV"],"itemData":{"id":10712,"type":"article-journal","abstract":"Based on a systematic review of 119 articles and working papers, we provide an overview of how administrative burdens in citizen–state interactions have been studied since the inception of the research agenda in 2012. We develop a new and comprehensive model of how key concepts in the framework are related, assess the evidence of the causal relationships proposed by the model, and discuss where more evidence is needed. Empirical research supports conventional claims that burdens are consequential, distributive, and constructed. However, the literature has moved further by (1) demonstrating that factors such as frontline service delivery and government communication influence experiences of burdens; (2) highlighting how factors beyond ideology influence constructions of burdens; (3) introducing the burden tolerance concept; (4) illustrating that experiences of burden influence policymakers’ and members of the publics’ burden tolerance. Based on the review, we propose an agenda for future administrative burden research. We call for studies linking experiences of burden to outcomes such as democratic behavior and take-up, and for studies connecting policymakers’ burden tolerance to actual state actions. Moreover, we argue that future studies should use qualitative methods to further explore the nature of burdens from the perspective of citizens, rely on experimental methods to establish causal links between state actions and experiences of burden, and compare burdens across contexts. Further, empirical studies should examine the tradeoffs between legitimacy and experiences of burden, and how actors outside the citizen–state interaction may influence experiences of administrative burden.","container-title":"Journal of Public Administration Research and Theory","DOI":"10.1093/jopart/muad023","ISSN":"1053-1858","issue":"2","journalAbbreviation":"Journal of Public Administration Research and Theory","page":"180-195","source":"Silverchair","title":"Administrative Burden in Citizen–State Interactions: A Systematic Literature Review","title-short":"Administrative Burden in Citizen–State Interactions","volume":"34","author":[{"family":"Halling","given":"Aske"},{"family":"Baekgaard","given":"Martin"}],"issued":{"date-parts":[["2024",4,1]]}}}],"schema":"https://github.com/citation-style-language/schema/raw/master/csl-citation.json"} </w:instrText>
      </w:r>
      <w:r>
        <w:rPr>
          <w:rFonts w:ascii="Times New Roman" w:eastAsia="Times New Roman" w:hAnsi="Times New Roman" w:cs="Times New Roman"/>
          <w:color w:val="000000"/>
          <w:sz w:val="24"/>
          <w:szCs w:val="24"/>
        </w:rPr>
        <w:fldChar w:fldCharType="separate"/>
      </w:r>
      <w:r>
        <w:rPr>
          <w:rFonts w:ascii="Times New Roman" w:hAnsi="Times New Roman" w:cs="Times New Roman"/>
          <w:color w:val="000000"/>
          <w:sz w:val="24"/>
          <w:szCs w:val="24"/>
        </w:rPr>
        <w:t xml:space="preserve">(Daigneault et al. 2025; Halling and Baekgaard 2024)</w:t>
      </w:r>
      <w:r>
        <w:rPr>
          <w:rFonts w:ascii="Times New Roman" w:eastAsia="Times New Roman" w:hAnsi="Times New Roman" w:cs="Times New Roman"/>
          <w:color w:val="000000"/>
          <w:sz w:val="24"/>
          <w:szCs w:val="24"/>
        </w:rPr>
        <w:fldChar w:fldCharType="end"/>
      </w:r>
      <w:r>
        <w:rPr>
          <w:rFonts w:ascii="Times New Roman" w:eastAsia="Times New Roman" w:hAnsi="Times New Roman" w:cs="Times New Roman"/>
          <w:color w:val="000000"/>
          <w:sz w:val="24"/>
          <w:szCs w:val="24"/>
        </w:rPr>
        <w:instrText xml:space="preserve">.</w:instrText>
      </w:r>
    </w:p>
    <w:p>
      <w:pPr>
        <w:pBdr/>
        <w:pStyle w:val="Normal"/>
        <w:spacing w:after="0" w:line="480" w:lineRule="auto"/>
        <w:ind w:left="-20" w:right="-20" w:firstLine="72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Many burdens are a function of unintended consequences related to accountability pressures, cost efficiency, and fraud prevention, rather than a deliberate attempt to reduce access (Heinrich 2016), and thus efforts to remove or reduce them are largely uncontroversial amongst citizens and political leaders. In some cases, however, burdens are purposely and strategically employed as political tools, coined “hidden politics,” where policy preferences toward reducing government funding for programs serve as a motivation to increase the level of burden imposed through the implementation of such programs </w:t>
      </w:r>
      <w:r>
        <w:rPr>
          <w:rFonts w:ascii="Times New Roman" w:eastAsia="Times New Roman" w:hAnsi="Times New Roman" w:cs="Times New Roman"/>
          <w:color w:val="000000"/>
          <w:sz w:val="24"/>
          <w:szCs w:val="24"/>
        </w:rPr>
        <w:fldChar w:fldCharType="begin"/>
      </w:r>
      <w:r>
        <w:rPr>
          <w:rFonts w:ascii="Times New Roman" w:eastAsia="Times New Roman" w:hAnsi="Times New Roman" w:cs="Times New Roman"/>
          <w:color w:val="000000"/>
          <w:sz w:val="24"/>
          <w:szCs w:val="24"/>
        </w:rPr>
        <w:instrText xml:space="preserve"> ADDIN ZOTERO_ITEM CSL_CITATION {"citationID":"1r2SnNCO","properties":{"unsorted":false,"formattedCitation":"(Fording and Patton 2020; Herd and Moynihan 2019)","plainCitation":"(Fording and Patton 2020; Herd and Moynihan 2019)","noteIndex":0},"citationItems":[{"id":11715,"uris":["http://zotero.org/users/176612/items/X9SLLELD"],"itemData":{"id":11715,"type":"article-journal","abstract":"Over the last five years, many states have sought to limit access to Medicaid by adopting restrictive policies. How can we reconcile this development with studies that imply that Medicaid should be insulated from policy backlash? The answer lies in understanding the policy feedback effects that accompanied Medicaid expansion and how these effects created electoral pressure that led to policy modification. We situate our expectations within a policy diffusion framework that accounts for variation in both the content and timing of policy adoptions across states. We develop and test several hypotheses using survey data and an original dataset on gubernatorial support for Medicaid work requirements. Our hypotheses are generally supported and provide a more nuanced understanding of the policy feedback effects following Medicaid expansion.","container-title":"RSF: The Russell Sage Foundation Journal of the Social Sciences","DOI":"10.7758/RSF.2020.6.2.06","ISSN":"2377-8253, 2377-8261","issue":"2","language":"en","license":"© 2020 Russell Sage Foundation. Fording, Richard C., and Dana Patton. 2020. “The Affordable Care Act and the Diffusion of Policy Feedback: The Case of Medicaid Work Requirements.” RSF: The Russell Sage Foundation Journal of the Social Sciences 6(2): 131–53. DOI: 10.7758/RSF.2020.6.2.06. We thank the editors, anonymous reviewers, and conference participants for their helpful comments. Direct correspondence to: Richard C. Fording at rcfording{at}ua.edu, Department of Political Science, University of Alabama, Box 870212, Tuscaloosa, AL 35487; and Dana Patton at dana.patton{at}ua.edu, Department of Political Science, University of Alabama, Box 870212, Tuscaloosa, AL 35487.. Open Access Policy: RSF: The Russell Sage Foundation Journal of the Social Sciences is an open access journal. This article is published under a Creative Commons Attribution-NonCommercial-NoDerivs 3.0 Unported License.","note":"publisher: RSF: The Russell Sage Foundation Journal of the Social Sciences","page":"131-153","source":"www.rsfjournal.org","title":"The Affordable Care Act and the Diffusion of Policy Feedback: The Case of Medicaid Work Requirements","title-short":"The Affordable Care Act and the Diffusion of Policy Feedback","volume":"6","author":[{"family":"Fording","given":"Richard C."},{"family":"Patton","given":"Dana"}],"issued":{"date-parts":[["2020",7,1]]}}},{"id":4405,"uris":["http://zotero.org/users/176612/items/M2E8IYMI"],"itemData":{"id":4405,"type":"book","abstract":"Winner of the 2020 Outstanding Book Award Presented by the Public and Nonprofit Section of the National Academy of Management Winner of the 2019 Louis Brownlow Book Award from the National Academy of Public Administration  Bureaucracy, confusing paperwork, and complex regulations—or what public policy scholars Pamela Herd and Donald Moynihan call administrative burdens—often introduce delay and frustration into our experiences with government agencies. Administrative burdens diminish the effectiveness of public programs and can even block individuals from fundamental rights like voting. In AdministrativeBurden, Herd and Moynihan document that the administrative burdens citizens regularly encounter in their interactions with the state are not simply unintended byproducts of governance, but the result of deliberate policy choices. Because burdens affect people’s perceptions of government and often perpetuate long-standing inequalities, understanding why administrative burdens exist and how they can be reduced is essential for maintaining a healthy public sector.  Through in-depth case studies of federal programs and controversial legislation, the authors show that administrative burdens are the nuts-and-bolts of policy design. Regarding controversial issues such as voter enfranchisement or abortion rights, lawmakers often use administrative burdens to limit access to rights or services they oppose. For instance, legislators have implemented administrative burdens such as complicated registration requirements and strict voter-identification laws to suppress turnout of African American voters. Similarly, the right to an abortion is legally protected, but many states require women seeking abortions to comply with burdens such as mandatory waiting periods, ultrasounds, and scripted counseling. As Herd and Moynihan demonstrate, administrative burdens often disproportionately affect the disadvantaged who lack the resources to deal with the financial and psychological costs of navigating these obstacles.  However, policymakers have sometimes reduced administrative burdens or shifted them away from citizens and onto the government. One example is Social Security, which early administrators of the program implemented in the 1930s with the goal of minimizing burdens for beneficiaries. As a result, the take-up rate is about 100 percent because the Social Security Administration keeps track of peoples’ earnings for them, automatically calculates benefits and eligibility, and simply requires an easy online enrollment or visiting one of 1,200 field offices. Making more programs and public services operate this efficiently, the authors argue, requires adoption of a nonpartisan, evidence-based metric for determining when and how to institute administrative burdens, with a bias toward reducing them. By ensuring that the public’s interaction with government is no more onerous than it need be, policymakers and administrators can reduce inequality, boost civic engagement, and build an efficient state that works for all citizens.","ISBN":"978-0-87154-444-5","language":"English","number-of-pages":"304","publisher":"Russell Sage Foundation","publisher-place":"New York","source":"Amazon","title":"Administrative Burden: Policymaking by Other Means","title-short":"Administrative Burden","author":[{"family":"Herd","given":"Pamela"},{"family":"Moynihan","given":"Donald P."}],"issued":{"date-parts":[["2019",1,9]]}}}],"schema":"https://github.com/citation-style-language/schema/raw/master/csl-citation.json"} </w:instrText>
      </w:r>
      <w:r>
        <w:rPr>
          <w:rFonts w:ascii="Times New Roman" w:eastAsia="Times New Roman" w:hAnsi="Times New Roman" w:cs="Times New Roman"/>
          <w:color w:val="000000"/>
          <w:sz w:val="24"/>
          <w:szCs w:val="24"/>
        </w:rPr>
        <w:fldChar w:fldCharType="separate"/>
      </w:r>
      <w:r>
        <w:rPr>
          <w:rFonts w:ascii="Times New Roman" w:hAnsi="Times New Roman" w:cs="Times New Roman"/>
          <w:sz w:val="24"/>
        </w:rPr>
        <w:t xml:space="preserve">(Fording and Patton 2020; Herd and Moynihan </w:t>
      </w:r>
      <w:r>
        <w:rPr>
          <w:rFonts w:ascii="Times New Roman" w:hAnsi="Times New Roman" w:cs="Times New Roman"/>
          <w:sz w:val="24"/>
        </w:rPr>
        <w:t xml:space="preserve">2019)</w:t>
      </w:r>
      <w:r>
        <w:rPr>
          <w:rFonts w:ascii="Times New Roman" w:eastAsia="Times New Roman" w:hAnsi="Times New Roman" w:cs="Times New Roman"/>
          <w:color w:val="000000"/>
          <w:sz w:val="24"/>
          <w:szCs w:val="24"/>
        </w:rPr>
        <w:fldChar w:fldCharType="end"/>
      </w:r>
      <w:r>
        <w:rPr>
          <w:rFonts w:ascii="Times New Roman" w:eastAsia="Times New Roman" w:hAnsi="Times New Roman" w:cs="Times New Roman"/>
          <w:color w:val="000000"/>
          <w:sz w:val="24"/>
          <w:szCs w:val="24"/>
        </w:rPr>
        <w:instrText xml:space="preserve">. As a result, burdens in many domains have become salient issues that citizens and elected leaders view through a political lens as part of a broader set of policy goals and ideological agendas. </w:instrText>
      </w:r>
    </w:p>
    <w:p>
      <w:pPr>
        <w:pBdr/>
        <w:pStyle w:val="Normal"/>
        <w:spacing w:after="0" w:line="480" w:lineRule="auto"/>
        <w:ind w:firstLine="70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Given this increased political salience, scholars have explored the characteristics of citizens, bureaucrats, and policymakers to understand better how such individuals weigh the tradeoffs associated with administrative burdens. Previous work has explored individual-level variables such personality traits </w:t>
      </w:r>
      <w:r>
        <w:rPr>
          <w:rFonts w:ascii="Times New Roman" w:eastAsia="Times New Roman" w:hAnsi="Times New Roman" w:cs="Times New Roman"/>
          <w:color w:val="000000"/>
          <w:sz w:val="24"/>
          <w:szCs w:val="24"/>
        </w:rPr>
        <w:fldChar w:fldCharType="begin"/>
      </w:r>
      <w:r>
        <w:rPr>
          <w:rFonts w:ascii="Times New Roman" w:eastAsia="Times New Roman" w:hAnsi="Times New Roman" w:cs="Times New Roman"/>
          <w:color w:val="000000"/>
          <w:sz w:val="24"/>
          <w:szCs w:val="24"/>
        </w:rPr>
        <w:instrText xml:space="preserve"> ADDIN ZOTERO_ITEM CSL_CITATION {"citationID":"1HMKdnYG","properties":{"formattedCitation":"(Aar\\uc0\\u248{}e et al. 2021)","plainCitation":"(Aarøe et al. 2021)","noteIndex":0},"citationItems":[{"id":10600,"uris":["http://zotero.org/users/176612/items/YAPY4B2I"],"itemData":{"id":10600,"type":"article-journal","abstract":"While related fields have turned to personality to understand human behavior, we know relatively little about its role and impact in public administration. We review how personality has been studied in public administration and offer an empirical test of how it relates to policymaker attitudes about administrative arrangements. Using the “Big Five” framework and a sample of elected politicians, we conduct two studies showing how personality is associated with policymaker tolerance of the administrative burdens that social welfare recipients experience. Politicians with high conscientiousness are more tolerant of burdens, suggesting that they expect similar attention to detail from others. Conversely, politicians who score higher on the trait of openness to experience are less tolerant of burdens, implying that greater empathy toward the experience of others reduces burden tolerance. These relationships hold even after controlling for political ideology, the standard explanation for burden tolerance in welfare programs.","container-title":"Public Administration Review","DOI":"10.1111/puar.13381","ISSN":"1540-6210","issue":"4","language":"en","license":"© 2021 by The American Society for Public Administration","note":"_eprint: https://onlinelibrary.wiley.com/doi/pdf/10.1111/puar.13381","page":"652-663","source":"Wiley Online Library","title":"Personality and Public Administration: Policymaker Tolerance of Administrative Burdens in Welfare Services","title-short":"Personality and Public Administration","volume":"81","author":[{"family":"Aarøe","given":"Lene"},{"family":"Baekgaard","given":"Martin"},{"family":"Christensen","given":"Julian"},{"family":"Moynihan","given":"Donald P."}],"issued":{"date-parts":[["2021"]]}}}],"schema":"https://github.com/citation-style-language/schema/raw/master/csl-citation.json"} </w:instrText>
      </w:r>
      <w:r>
        <w:rPr>
          <w:rFonts w:ascii="Times New Roman" w:eastAsia="Times New Roman" w:hAnsi="Times New Roman" w:cs="Times New Roman"/>
          <w:color w:val="000000"/>
          <w:sz w:val="24"/>
          <w:szCs w:val="24"/>
        </w:rPr>
        <w:fldChar w:fldCharType="separate"/>
      </w:r>
      <w:r>
        <w:rPr>
          <w:rFonts w:ascii="Times New Roman" w:hAnsi="Times New Roman" w:cs="Times New Roman"/>
          <w:color w:val="000000"/>
          <w:sz w:val="24"/>
          <w:szCs w:val="24"/>
        </w:rPr>
        <w:t xml:space="preserve">(Aarøe et al. 2021)</w:t>
      </w:r>
      <w:r>
        <w:rPr>
          <w:rFonts w:ascii="Times New Roman" w:eastAsia="Times New Roman" w:hAnsi="Times New Roman" w:cs="Times New Roman"/>
          <w:color w:val="000000"/>
          <w:sz w:val="24"/>
          <w:szCs w:val="24"/>
        </w:rPr>
        <w:fldChar w:fldCharType="end"/>
      </w:r>
      <w:r>
        <w:rPr>
          <w:rFonts w:ascii="Times New Roman" w:eastAsia="Times New Roman" w:hAnsi="Times New Roman" w:cs="Times New Roman"/>
          <w:color w:val="000000"/>
          <w:sz w:val="24"/>
          <w:szCs w:val="24"/>
        </w:rPr>
        <w:instrText xml:space="preserve">, emotions, such as shame, anger, and fear, </w:instrText>
      </w:r>
      <w:r>
        <w:rPr>
          <w:rFonts w:ascii="Times New Roman" w:eastAsia="Times New Roman" w:hAnsi="Times New Roman" w:cs="Times New Roman"/>
          <w:color w:val="000000"/>
          <w:sz w:val="24"/>
          <w:szCs w:val="24"/>
        </w:rPr>
        <w:fldChar w:fldCharType="begin"/>
      </w:r>
      <w:r>
        <w:rPr>
          <w:rFonts w:ascii="Times New Roman" w:eastAsia="Times New Roman" w:hAnsi="Times New Roman" w:cs="Times New Roman"/>
          <w:color w:val="000000"/>
          <w:sz w:val="24"/>
          <w:szCs w:val="24"/>
        </w:rPr>
        <w:instrText xml:space="preserve"> ADDIN ZOTERO_ITEM CSL_CITATION {"citationID":"LgOUSkCb","properties":{"formattedCitation":"(Bell, Christensen, and Jessen Hansen 2022)","plainCitation":"(Bell, Christensen, and Jessen Hansen 2022)","noteIndex":0},"citationItems":[{"id":4192,"uris":["http://zotero.org/users/176612/items/C3ASPJ6S"],"itemData":{"id":4192,"type":"article-journal","abstract":"Public administration researchers have found that unfavorable state actions can trigger negative emotions in citizens, but the behavioral consequences of these emotions have been understudied. We draw on psychological insights to predict how discrete emotional responses to unfavorable interactions with the state (speciﬁcally: administrative decisions to deny access to public beneﬁts) will predict citizens’ coping behaviors, such as whether they voice grievances, ﬁle complaints, and seek information. We test our hypotheses using a survey of applicants of a notoriously burdensome, means-tested tuition-free college program in Oklahoma, USA. In line with our theoretical framework, we ﬁnd anger increases opposition behaviors in reaction to losses of access to the program, whereas shame reduces opposition among citizens. We also ﬁnd that fear increases information-seeking and resistance behaviors. The results demonstrate the role of discrete emotions in predicting state-directed citizen behaviors, but also provide the groundwork for applying the discrete emotions framework to other actors, such as public managers and street-level bureaucrats.","container-title":"The American Review of Public Administration","DOI":"10.1177/02750740221128554","ISSN":"0275-0740, 1552-3357","issue":"8","journalAbbreviation":"The American Review of Public Administration","language":"en","page":"535-557","source":"DOI.org (Crossref)","title":"Resistance or Capitulation? How Discrete Emotions Shape Citizens’ Interactions With the Administrative State","title-short":"Resistance or Capitulation?","volume":"52","author":[{"family":"Bell","given":"Elizabeth"},{"family":"Christensen","given":"Julian"},{"family":"Jessen Hansen","given":"Kristina"}],"issued":{"date-parts":[["2022",11]]}}}],"schema":"https://github.com/citation-style-language/schema/raw/master/csl-citation.json"} </w:instrText>
      </w:r>
      <w:r>
        <w:rPr>
          <w:rFonts w:ascii="Times New Roman" w:eastAsia="Times New Roman" w:hAnsi="Times New Roman" w:cs="Times New Roman"/>
          <w:color w:val="000000"/>
          <w:sz w:val="24"/>
          <w:szCs w:val="24"/>
        </w:rPr>
        <w:fldChar w:fldCharType="separate"/>
      </w:r>
      <w:r>
        <w:rPr>
          <w:rFonts w:ascii="Times New Roman" w:hAnsi="Times New Roman" w:cs="Times New Roman"/>
          <w:color w:val="000000"/>
          <w:sz w:val="24"/>
          <w:szCs w:val="24"/>
        </w:rPr>
        <w:t xml:space="preserve">(Bell, Christensen, and Jessen Hansen 2022)</w:t>
      </w:r>
      <w:r>
        <w:rPr>
          <w:rFonts w:ascii="Times New Roman" w:eastAsia="Times New Roman" w:hAnsi="Times New Roman" w:cs="Times New Roman"/>
          <w:color w:val="000000"/>
          <w:sz w:val="24"/>
          <w:szCs w:val="24"/>
        </w:rPr>
        <w:fldChar w:fldCharType="end"/>
      </w:r>
      <w:r>
        <w:rPr>
          <w:rFonts w:ascii="Times New Roman" w:eastAsia="Times New Roman" w:hAnsi="Times New Roman" w:cs="Times New Roman"/>
          <w:color w:val="000000"/>
          <w:sz w:val="24"/>
          <w:szCs w:val="24"/>
        </w:rPr>
        <w:instrText xml:space="preserve">, internal efficacy and social capital </w:instrText>
      </w:r>
      <w:r>
        <w:rPr>
          <w:rFonts w:ascii="Times New Roman" w:eastAsia="Times New Roman" w:hAnsi="Times New Roman" w:cs="Times New Roman"/>
          <w:color w:val="000000"/>
          <w:sz w:val="24"/>
          <w:szCs w:val="24"/>
        </w:rPr>
        <w:fldChar w:fldCharType="begin"/>
      </w:r>
      <w:r>
        <w:rPr>
          <w:rFonts w:ascii="Times New Roman" w:eastAsia="Times New Roman" w:hAnsi="Times New Roman" w:cs="Times New Roman"/>
          <w:color w:val="000000"/>
          <w:sz w:val="24"/>
          <w:szCs w:val="24"/>
        </w:rPr>
        <w:instrText xml:space="preserve"> ADDIN ZOTERO_ITEM CSL_CITATION {"citationID":"n0eUgflM","properties":{"formattedCitation":"(Christensen et al. 2020; D\\uc0\\u246{}ring and Madsen 2022; Gilad and Assouline 2024)","plainCitation":"(Christensen et al. 2020; Döring and Madsen 2022; Gilad and Assouline 2024)","noteIndex":0},"citationItems":[{"id":4248,"uris":["http://zotero.org/users/176612/items/6HLEKL9E"],"itemData":{"id":4248,"type":"article-journal","abstract":"One means by which the state reinforces inequality is by imposing administrative burdens that loom larger for citizens with lower levels of human capital. Integrating insights from various disciplines, this article focuses on one aspect of human capital: cognitive resources. The authors outline a model that explains how burdens and cognitive resources, especially executive functioning, interrelate. The article then presents illustrative examples, highlighting three common life factors—scarcity, health problems, and age-related cognitive decline. These factors create a human capital catch-22, increasing people's likelihood of needing state assistance while simultaneously undermining the cognitive resources required to negotiate the burdens they encounter while seeking such assistance. The result is to reduce access to state benefits and increase inequality. The article concludes by calling for scholars of behavioral public administration and public administration more generally to incorporate more attention to human capital into their research.","container-title":"Public Administration Review","DOI":"10.1111/puar.13134","ISSN":"1540-6210","issue":"1","language":"en","note":"_eprint: https://onlinelibrary.wiley.com/doi/pdf/10.1111/puar.13134","page":"127-136","source":"Wiley Online Library","title":"Human Capital and Administrative Burden: The Role of Cognitive Resources in Citizen-State Interactions","title-short":"Human Capital and Administrative Burden","volume":"80","author":[{"family":"Christensen","given":"Julian"},{"family":"Aarøe","given":"Lene"},{"family":"Baekgaard","given":"Martin"},{"family":"Herd","given":"Pamela"},{"family":"Moynihan","given":"Donald P."}],"issued":{"date-parts":[["2020"]]}}},{"id":10462,"uris":["http://zotero.org/users/176612/items/772NSNX6"],"itemData":{"id":10462,"type":"article-journal","abstract":"A key claim in the administrative burden framework is that citizens do not experience interactions with public programs as equally burdensome. Existing research has argued that citizens' generic human capital may influence the severity of these experiences. In this article, we argue that a specific form of human capital specific to interactions with public programs—administrative literacy—affects the psychological costs recipients are facing. Specifically, we propose that administrative literacy is positively associated with autonomy maintenance in the face of burdensome rules, and that autonomy maintenance is negatively associated with stress. In doing so, we investigate a theoretically founded differentiation of psychological costs. We test these propositions using structural equation modeling on a unique survey of 915 unemployment insurance recipients in Denmark. The findings support our arguments, suggesting that accumulation or training of program-specific human capital may help recipients to cope with the strains of unemployment.","container-title":"Public Administration Review","DOI":"10.1111/puar.13472","ISSN":"1540-6210","issue":"4","language":"en","license":"© 2022 The Authors. Public Administration Review published by Wiley Periodicals LLC on behalf of American Society for Public Administration.","note":"_eprint: https://onlinelibrary.wiley.com/doi/pdf/10.1111/puar.13472","page":"671-681","source":"Wiley Online Library","title":"Mitigating Psychological Costs—The Role of Citizens’ Administrative Literacy and Social Capital","volume":"82","author":[{"family":"Döring","given":"Matthias"},{"family":"Madsen","given":"Jonas Krogh"}],"issued":{"date-parts":[["2022"]]}}},{"id":11186,"uris":["http://zotero.org/users/176612/items/JAHR64XU"],"itemData":{"id":11186,"type":"article-journal","abstract":"Public-administration research analyzes the variation in citizens’ experiences of administrative burdens, yet it is almost silent regarding their propensity to challenge bureaucratic hurdles. This article analyzes welfare applicants’ inclination to provide a bureaucracy with critical feedback regarding their experience of administrative burdens. We demonstrate that citizens’ minority identity and its intersection with gender, and prior reliance on means-tested benefits reduce their inclination to convey criticism, whereas academic education enhances it. The concrete research setting indicates that citizens’ objective knowledge and skills cannot account for the variation that we find. Drawing on supplementary analysis, we suggest that citizens’ internal self-efficacy, as well as their internalization of their social standing vis-à-vis bureaucracy, shape their voice behavior. These findings imply that the feedback that bureaucracies receive, and the problems that they are therefore more likely to rectify, pertain to those of citizens who are objectively and subjectively less burdened than others.","container-title":"International Public Management Journal","DOI":"10.1080/10967494.2022.2072988","ISSN":"1096-7494","issue":"1","note":"_eprint: https://doi.org/10.1080/10967494.2022.2072988","page":"38-59","publisher":"Routledge","source":"Taylor and Francis+NEJM","title":"Citizens’ choice to voice in response to administrative burdens","volume":"27","author":[{"family":"Gilad","given":"Sharon"},{"family":"Assouline","given":"Michaela"}],"issued":{"date-parts":[["2024",1,2]]}}}],"schema":"https://github.com/citation-style-language/schema/raw/master/csl-citation.json"} </w:instrText>
      </w:r>
      <w:r>
        <w:rPr>
          <w:rFonts w:ascii="Times New Roman" w:eastAsia="Times New Roman" w:hAnsi="Times New Roman" w:cs="Times New Roman"/>
          <w:color w:val="000000"/>
          <w:sz w:val="24"/>
          <w:szCs w:val="24"/>
        </w:rPr>
        <w:fldChar w:fldCharType="separate"/>
      </w:r>
      <w:r>
        <w:rPr>
          <w:rFonts w:ascii="Times New Roman" w:hAnsi="Times New Roman" w:cs="Times New Roman"/>
          <w:color w:val="000000"/>
          <w:sz w:val="24"/>
          <w:szCs w:val="24"/>
        </w:rPr>
        <w:t xml:space="preserve">(Christensen et al. 2020; Döring and Madsen 2022; Gilad and Assouline 2024)</w:t>
      </w:r>
      <w:r>
        <w:rPr>
          <w:rFonts w:ascii="Times New Roman" w:eastAsia="Times New Roman" w:hAnsi="Times New Roman" w:cs="Times New Roman"/>
          <w:color w:val="000000"/>
          <w:sz w:val="24"/>
          <w:szCs w:val="24"/>
        </w:rPr>
        <w:fldChar w:fldCharType="end"/>
      </w:r>
      <w:r>
        <w:rPr>
          <w:rFonts w:ascii="Times New Roman" w:eastAsia="Times New Roman" w:hAnsi="Times New Roman" w:cs="Times New Roman"/>
          <w:color w:val="000000"/>
          <w:sz w:val="24"/>
          <w:szCs w:val="24"/>
        </w:rPr>
        <w:instrText xml:space="preserve">, racial bias </w:instrText>
      </w:r>
      <w:r>
        <w:rPr>
          <w:rFonts w:ascii="Times New Roman" w:eastAsia="Times New Roman" w:hAnsi="Times New Roman" w:cs="Times New Roman"/>
          <w:color w:val="000000"/>
          <w:sz w:val="24"/>
          <w:szCs w:val="24"/>
        </w:rPr>
        <w:fldChar w:fldCharType="begin"/>
      </w:r>
      <w:r>
        <w:rPr>
          <w:rFonts w:ascii="Times New Roman" w:eastAsia="Times New Roman" w:hAnsi="Times New Roman" w:cs="Times New Roman"/>
          <w:color w:val="000000"/>
          <w:sz w:val="24"/>
          <w:szCs w:val="24"/>
        </w:rPr>
        <w:instrText xml:space="preserve"> ADDIN ZOTERO_ITEM CSL_CITATION {"citationID":"8NhaEFAj","properties":{"formattedCitation":"(Bell, Wright, and Oh 2024; Haeder and Moynihan 2023; Haeder, Sylvester, and Callaghan 2021; Ray, Herd, and Moynihan 2023)","plainCitation":"(Bell, Wright, and Oh 2024; Haeder and Moynihan 2023; Haeder, Sylvester, and Callaghan 2021; Ray, Herd, and Moynihan 2023)","noteIndex":0},"citationItems":[{"id":10611,"uris":["http://zotero.org/users/176612/items/GL4EAHNN"],"itemData":{"id":10611,"type":"article-journal","abstract":"Public trust and civic predisposition are cornerstones of well-functioning democratic societies, and burdensome citizen-state encounters may undermine positive views of government, especially for racially minoritized clientele. Leveraging insights from policy feedback theory, we argue that administrative burden has the potential to undermine trust in government and civic predisposition through two mechanisms: (1) interpretive effects: burdensome experiences that induce negative emotional responses and (2) resource effects: experiences of losing access to public benefits. In our OLS regression analysis of survey data from applicants for a means-tested public benefit program in the US (n = 2,250), we find that clients who lost access to benefits were significantly less likely to trust government, and these findings were driven by racially minoritized clients rather than White clients. Our findings demonstrate that experiences of administrative burden that result in the loss of public benefits may result in racialized policy feedback, by disproportionately reducing trust in government and civic predisposition for racially minoritized clientele.","container-title":"Journal of Public Administration Research and Theory","DOI":"10.1093/jopart/muae004","ISSN":"1053-1858","journalAbbreviation":"Journal of Public Administration Research and Theory","page":"muae004","source":"Silverchair","title":"Does administrative burden create racialized policy feedback? How losing access to public benefits impacts beliefs about government","title-short":"Does administrative burden create racialized policy feedback?","author":[{"family":"Bell","given":"Elizabeth"},{"family":"Wright","given":"James E","suffix":"II"},{"family":"Oh","given":"Jeongmin"}],"issued":{"date-parts":[["2024",2,7]]}}},{"id":10807,"uris":["http://zotero.org/users/176612/items/38FP7FXB"],"itemData":{"id":10807,"type":"article-journal","abstract":"Safety-net programs do not reach all eligible Americans, partly because of administrative burden, or experiencing bureaucratic obstacles in obtaining and maintaining program benefits. This burden often disproportionately affects historically marginalized groups, adding concerns about equity. We used a national survey to examine public thinking about the acceptability of administrative burdens imposed by states when implementing Medicaid and the Supplemental Nutrition Assistance Program and the role of race in these considerations. We found that support for state actions associated with six types of burden was unchanged when respondents were informed about disparate effects by race. Neither racial identity nor prejudice toward other racial groups was associated with support for policies imposing higher burdens. However, non-Hispanic White respondents with higher levels of racial resentment were more supportive of policies that would create burden, whereas respondents who believed that burdens had disparate effects on historically disadvantaged groups favored less burdensome alternatives. Also associated with lower support for more burdensome policies were responses indicative of respondents’ empathy, concerns about ability to manage burdens, Democratic party identification, and program experience.","container-title":"Health Affairs","DOI":"10.1377/hlthaff.2023.00472","ISSN":"0278-2715","issue":"10","page":"1334-1343","publisher":"Health Affairs","source":"www-healthaffairs-org.proxyiub.uits.iu.edu (Atypon)","title":"Race And Racial Perceptions Shape Burden Tolerance For Medicaid And The Supplemental Nutrition Assistance Program","volume":"42","author":[{"family":"Haeder","given":"Simon F."},{"family":"Moynihan","given":"Donald P."}],"issued":{"date-parts":[["2023",10]]}}},{"id":10819,"uris":["http://zotero.org/users/176612/items/V596C9WT"],"itemData":{"id":10819,"type":"article-journal","abstract":"Context: This article provides a detailed picture of the mindset of Americans about Medicaid work requirements and the important roles that perception of deservingness and racial bias play in public attitudes.Methods: The authors conducted a large original survey to investigate public attitudes toward work requirements. They analyzed the predictors of overall support for work requirements, correlates of who should be exempt from them, and attitudes toward work supports that make compliance with work requirements easier.Findings: The authors found that public opinion is split relatively evenly when it comes to Medicaid work requirements in the abstract. When Americans are confronted with the complexities of the issue, important nuances emerge. The authors also found consistent evidence that support for work requirements is higher among conservatives, those who see Medicaid as a short-term program, and racially resentful non-Hispanic whites. They show that groups that have historically been framed as deserving see high levels of support for their exemption (e.g., the disabled and senior citizens). Finally, the authors found that Americans are supportive of policies that provide individuals with help when transitioning into the workforce.Conclusions: Americans' views of Medicaid and the populations it serves are complex and continue to be influenced by perceptions of deservingness and race.","container-title":"Journal of Health Politics, Policy and Law","DOI":"10.1215/03616878-8802198","ISSN":"0361-6878","issue":"2","journalAbbreviation":"Journal of Health Politics, Policy and Law","page":"305-355","source":"Silverchair","title":"Lingering Legacies: Public Attitudes about Medicaid Beneficiaries and Work Requirements","title-short":"Lingering Legacies","volume":"46","author":[{"family":"Haeder","given":"Simon F."},{"family":"Sylvester","given":"Steven M."},{"family":"Callaghan","given":"Timothy"}],"issued":{"date-parts":[["2021",4,1]]}}},{"id":4243,"uris":["http://zotero.org/users/176612/items/LZ5CIDUA"],"itemData":{"id":4243,"type":"article-journal","abstract":"This article develops the concept of racialized burdens as a means of examining the role of race in administrative practice. Racialized burdens are the experience of learning, compliance and psychological costs that serve as inequality reproducing mechanisms. To develop this concept, we examine administrative burdens in the US state from the theoretical perspective of racialized organizations. Using examples from attempts to access citizenship rights—via immigration, voting and the social safety net—we illustrate some key points. First, racialized burdens combine control of access to resources and ideas about racial groups in ways that typically disadvantage racially marginalized groups. Second, while still promising fair and equal treatment, racially disproportionate burdens can be laundered through facially neutral rules and via claims that burdens are necessary for unrelated reasons. Third, racialized burdens emerge when more explicit forms of racial bias in policies or administrative practices become illegal, politically untenable or culturally unacceptable. Racialized burdens neatly carry out the “how” in the production of racial inequality while concealing, or providing an alibi for, the “why.”","container-title":"Journal of Public Administration Research and Theory","DOI":"10.1093/jopart/muac001","ISSN":"1053-1858","issue":"1","journalAbbreviation":"Journal of Public Administration Research and Theory","page":"139-152","source":"Silverchair","title":"Racialized Burdens: Applying Racialized Organization Theory to the Administrative State","title-short":"Racialized Burdens","volume":"33","author":[{"family":"Ray","given":"Victor"},{"family":"Herd","given":"Pamela"},{"family":"Moynihan","given":"Donald"}],"issued":{"date-parts":[["2023",1,1]]}}}],"schema":"https://github.com/citation-style-language/schema/raw/master/csl-citation.json"} </w:instrText>
      </w:r>
      <w:r>
        <w:rPr>
          <w:rFonts w:ascii="Times New Roman" w:eastAsia="Times New Roman" w:hAnsi="Times New Roman" w:cs="Times New Roman"/>
          <w:color w:val="000000"/>
          <w:sz w:val="24"/>
          <w:szCs w:val="24"/>
        </w:rPr>
        <w:fldChar w:fldCharType="separate"/>
      </w:r>
      <w:r>
        <w:rPr>
          <w:rFonts w:ascii="Times New Roman" w:hAnsi="Times New Roman" w:cs="Times New Roman"/>
          <w:color w:val="000000"/>
          <w:sz w:val="24"/>
          <w:szCs w:val="24"/>
        </w:rPr>
        <w:t xml:space="preserve">(Bell, Wright, and Oh 2024; Haeder and Moynihan 2023; Haeder, Sylvester, and Callaghan 2021; Ray, Herd, and Moynihan 2023)</w:t>
      </w:r>
      <w:r>
        <w:rPr>
          <w:rFonts w:ascii="Times New Roman" w:eastAsia="Times New Roman" w:hAnsi="Times New Roman" w:cs="Times New Roman"/>
          <w:color w:val="000000"/>
          <w:sz w:val="24"/>
          <w:szCs w:val="24"/>
        </w:rPr>
        <w:fldChar w:fldCharType="end"/>
      </w:r>
      <w:r>
        <w:rPr>
          <w:rFonts w:ascii="Times New Roman" w:eastAsia="Times New Roman" w:hAnsi="Times New Roman" w:cs="Times New Roman"/>
          <w:color w:val="000000"/>
          <w:sz w:val="24"/>
          <w:szCs w:val="24"/>
        </w:rPr>
        <w:instrText xml:space="preserve">, deservingness and social construction of target populations </w:instrText>
      </w:r>
      <w:r>
        <w:rPr>
          <w:rFonts w:ascii="Times New Roman" w:eastAsia="Times New Roman" w:hAnsi="Times New Roman" w:cs="Times New Roman"/>
          <w:color w:val="000000"/>
          <w:sz w:val="24"/>
          <w:szCs w:val="24"/>
        </w:rPr>
        <w:fldChar w:fldCharType="begin"/>
      </w:r>
      <w:r>
        <w:rPr>
          <w:rFonts w:ascii="Times New Roman" w:eastAsia="Times New Roman" w:hAnsi="Times New Roman" w:cs="Times New Roman"/>
          <w:color w:val="000000"/>
          <w:sz w:val="24"/>
          <w:szCs w:val="24"/>
        </w:rPr>
        <w:instrText xml:space="preserve"> ADDIN ZOTERO_ITEM CSL_CITATION {"citationID":"mSgZA7V9","properties":{"unsorted":false,"formattedCitation":"(Haeder Forthcoming; Nicholson-Crotty, Miller, and Keiser 2021)","plainCitation":"(Haeder Forthcoming; Nicholson-Crotty, Miller, and Keiser 2021)","noteIndex":0},"citationItems":[{"id":12170,"uris":["http://zotero.org/users/176612/items/T7BCMMTM"],"itemData":{"id":12170,"type":"article-journal","abstract":"Beneficiaries of public programs must overcome several administrative challenges. Given what we know about the politics of the welfare state, it seems likely that the public's willingness to support reductions in burdens may be associated with the characteristics of potential policy targets including their life circumstances and their race/ethnicity. To learn more about how attitudes about burden reductions are affected by these factors, a survey (N = 4177) was fielded that used an experiment introducing respondents to four vignettes presenting a woman with disabilities, a single mother, an able-bodied single woman, and an individual with opioid addiction seeking enrollment in Medicaid. The experiment also used racially/ethnically identifiable names of White, Black, Hispanic, and Asian women. Respondents made clear distinctions based on individuals' life circumstances, favoring individuals with disabilities over single mothers, able-bodied single women, and individuals with opioid addiction, with the latter two consistently exhibiting the lowest levels of support. The race/ethnicity of the individual presented had very limited effects, and the effect of life circumstances consistently overshadowed those for race/ethnicity. Support for burden reductions was higher for re-enrollment than for initial enrollment. Future studies should further parse out the nuances between racial perceptions and burden tolerance.","container-title":"Policy Studies Journal","DOI":"10.1111/psj.70043","ISSN":"1541-0072","language":"en","license":"© 2025 The Author(s). Policy Studies Journal published by Wiley Periodicals LLC on behalf of Policy Studies Organization.","note":"_eprint: https://onlinelibrary.wiley.com/doi/pdf/10.1111/psj.70043","source":"Wiley Online Library","title":"Assessing the Effect of Deservingness Cues on Tolerance for Administrative Burdens","URL":"https://onlinelibrary.wiley.com/doi/abs/10.1111/psj.70043","author":[{"family":"Haeder","given":"Simon F."}],"accessed":{"date-parts":[["2026",1,14]]},"issued":{"literal":"Forthcoming"}}},{"id":1,"uris":["http://zotero.org/users/176612/items/33ZQHPID"],"itemData":{"id":1,"type":"article-journal","abstract":"Administrative burden imposes costs on citizens as they interact with government. A high level of administrative burden in programs is linked to negative outcomes for those engaging with the policy, such as reduced take-up. However, despite the negative effects, the mass public is often supportive of greater administrative burden for government programs, and research suggests that high levels of burden can increase favorability toward government social programs, at least for some individuals. However, research suggests that these attitudes may be affected by how target populations associated with programs are socially constructed. In this paper, we explore whether the effect of information about high and low administrative burden on program approval is influenced by the social construction of participants. Using a survey experiment, we examine how the relationship between burden and program attitudes differs across programs as well as across different types of applicants. Our results suggest the effect of burden on program approval varies by the social construction of program participants, providing insight into the role of social construction in the relationship between burden and support for government aid.","container-title":"Journal of Behavioral Public Administration","DOI":"10.30636/jbpa.41.193","ISSN":"2576-6465","issue":"1","journalAbbreviation":"JBPA","language":"en","license":"Copyright (c) 2021","note":"number: 1","source":"journal-bpa.org","title":"Administrative burden, social construction, and public support for government programs","URL":"https://journal-bpa.org","volume":"4","author":[{"family":"Nicholson-Crotty","given":"Jill"},{"family":"Miller","given":"Susan M."},{"family":"Keiser","given":"Lael R."}],"accessed":{"date-parts":[["2023",5,22]]},"issued":{"date-parts":[["2021",3,11]]}}}],"schema":"https://github.com/citation-style-language/schema/raw/master/csl-citation.json"} </w:instrText>
      </w:r>
      <w:r>
        <w:rPr>
          <w:rFonts w:ascii="Times New Roman" w:eastAsia="Times New Roman" w:hAnsi="Times New Roman" w:cs="Times New Roman"/>
          <w:color w:val="000000"/>
          <w:sz w:val="24"/>
          <w:szCs w:val="24"/>
        </w:rPr>
        <w:fldChar w:fldCharType="separate"/>
      </w:r>
      <w:r>
        <w:rPr>
          <w:rFonts w:ascii="Times New Roman" w:hAnsi="Times New Roman" w:cs="Times New Roman"/>
          <w:sz w:val="24"/>
          <w:szCs w:val="24"/>
        </w:rPr>
        <w:t xml:space="preserve">(Haeder Forthcoming; Nicholson-Crotty, Miller, and Keiser 2021)</w:t>
      </w:r>
      <w:r>
        <w:rPr>
          <w:rFonts w:ascii="Times New Roman" w:eastAsia="Times New Roman" w:hAnsi="Times New Roman" w:cs="Times New Roman"/>
          <w:color w:val="000000"/>
          <w:sz w:val="24"/>
          <w:szCs w:val="24"/>
        </w:rPr>
        <w:fldChar w:fldCharType="end"/>
      </w:r>
      <w:r>
        <w:rPr>
          <w:rFonts w:ascii="Times New Roman" w:eastAsia="Times New Roman" w:hAnsi="Times New Roman" w:cs="Times New Roman"/>
          <w:color w:val="000000"/>
          <w:sz w:val="24"/>
          <w:szCs w:val="24"/>
        </w:rPr>
        <w:instrText xml:space="preserve">, and trust in government </w:instrText>
      </w:r>
      <w:r>
        <w:rPr>
          <w:rFonts w:ascii="Times New Roman" w:eastAsia="Times New Roman" w:hAnsi="Times New Roman" w:cs="Times New Roman"/>
          <w:color w:val="000000"/>
          <w:sz w:val="24"/>
          <w:szCs w:val="24"/>
        </w:rPr>
        <w:fldChar w:fldCharType="begin"/>
      </w:r>
      <w:r>
        <w:rPr>
          <w:rFonts w:ascii="Times New Roman" w:eastAsia="Times New Roman" w:hAnsi="Times New Roman" w:cs="Times New Roman"/>
          <w:color w:val="000000"/>
          <w:sz w:val="24"/>
          <w:szCs w:val="24"/>
        </w:rPr>
        <w:instrText xml:space="preserve"> ADDIN ZOTERO_ITEM CSL_CITATION {"citationID":"w8VvHCE8","properties":{"formattedCitation":"(Baekgaard, Halling, and Moynihan 2025)","plainCitation":"(Baekgaard, Halling, and Moynihan 2025)","noteIndex":0},"citationItems":[{"id":10724,"uris":["http://zotero.org/users/176612/items/JFK9FBZ4"],"itemData":{"id":10724,"type":"article-journal","abstract":"The emergence of the administrative burden literature has generated new theoretical, conceptual, and empirical knowledge. However, the accumulation of comparable knowledge is limited by the lack of validated measurement of core concepts. This article validates a four-item scale of burden tolerance, that is, people's acceptance of state actions that impose administrative burdens on citizens and residents interacting with government, using data from seven countries and 12 surveys. We illustrate the usefulness of the scale by examining its correlates. Burden tolerance varies substantially across the countries examined, but is generally higher for males, young adults, less well educated, those with good health, those who trust state actors more, and ideological conservatives. We demonstrate how the scale can be adapted to specific policy areas and that our generic scale correlates highly with the tolerance for burdens in such diverse domains as income supports, health insurance, passport renewals, and small business licensing.","container-title":"Public Administration Review","DOI":"10.1111/puar.13835","ISSN":"1540-6210","issue":"2","language":"en","license":"© 2024 The Authors. Public Administration Review published by Wiley Periodicals LLC on behalf of American Society for Public Administration.","note":"_eprint: https://onlinelibrary.wiley.com/doi/pdf/10.1111/puar.13835","page":"519-546","source":"Wiley Online Library","title":"Burden tolerance: Developing a validated measurement instrument across seven countries","title-short":"Burden tolerance","volume":"85","author":[{"family":"Baekgaard","given":"Martin"},{"family":"Halling","given":"Aske"},{"family":"Moynihan","given":"Donald P."}],"issued":{"date-parts":[["2025"]]}}}],"schema":"https://github.com/citation-style-language/schema/raw/master/csl-citation.json"} </w:instrText>
      </w:r>
      <w:r>
        <w:rPr>
          <w:rFonts w:ascii="Times New Roman" w:eastAsia="Times New Roman" w:hAnsi="Times New Roman" w:cs="Times New Roman"/>
          <w:color w:val="000000"/>
          <w:sz w:val="24"/>
          <w:szCs w:val="24"/>
        </w:rPr>
        <w:fldChar w:fldCharType="separate"/>
      </w:r>
      <w:r>
        <w:rPr>
          <w:rFonts w:ascii="Times New Roman" w:hAnsi="Times New Roman" w:cs="Times New Roman"/>
          <w:color w:val="000000"/>
          <w:sz w:val="24"/>
          <w:szCs w:val="24"/>
        </w:rPr>
        <w:t xml:space="preserve">(Baekgaard, Halling, and Moynihan 2025)</w:t>
      </w:r>
      <w:r>
        <w:rPr>
          <w:rFonts w:ascii="Times New Roman" w:eastAsia="Times New Roman" w:hAnsi="Times New Roman" w:cs="Times New Roman"/>
          <w:color w:val="000000"/>
          <w:sz w:val="24"/>
          <w:szCs w:val="24"/>
        </w:rPr>
        <w:fldChar w:fldCharType="end"/>
      </w:r>
      <w:r>
        <w:rPr>
          <w:rFonts w:ascii="Times New Roman" w:eastAsia="Times New Roman" w:hAnsi="Times New Roman" w:cs="Times New Roman"/>
          <w:color w:val="000000"/>
          <w:sz w:val="24"/>
          <w:szCs w:val="24"/>
        </w:rPr>
        <w:instrText xml:space="preserve">. Additionally, prior work has consistently identified political ideology as important, with conservatives typically being more supportive of burdens while liberals are generally less accepting of them </w:instrText>
      </w:r>
      <w:r>
        <w:rPr>
          <w:rFonts w:ascii="Times New Roman" w:eastAsia="Times New Roman" w:hAnsi="Times New Roman" w:cs="Times New Roman"/>
          <w:color w:val="000000"/>
          <w:sz w:val="24"/>
          <w:szCs w:val="24"/>
        </w:rPr>
        <w:fldChar w:fldCharType="begin"/>
      </w:r>
      <w:r>
        <w:rPr>
          <w:rFonts w:ascii="Times New Roman" w:eastAsia="Times New Roman" w:hAnsi="Times New Roman" w:cs="Times New Roman"/>
          <w:color w:val="000000"/>
          <w:sz w:val="24"/>
          <w:szCs w:val="24"/>
        </w:rPr>
        <w:instrText xml:space="preserve"> ADDIN ZOTERO_ITEM CSL_CITATION {"citationID":"pTWRpJgk","properties":{"unsorted":false,"formattedCitation":"(Baekgaard, Halling, and Moynihan 2025; Baekgaard, Moynihan, and Thomsen 2021; Bell et al. 2021; Haeder and Moynihan 2025; Halling, Herd, and Moynihan 2023; Keiser and Miller 2020; Sievert and Bruder 2024; Stenderup and Pedersen 2025)","plainCitation":"(Baekgaard, Halling, and Moynihan 2025; Baekgaard, Moynihan, and Thomsen 2021; Bell et al. 2021; Haeder and Moynihan 2025; Halling, Herd, and Moynihan 2023; Keiser and Miller 2020; Sievert and Bruder 2024; Stenderup and Pedersen 2025)","noteIndex":0},"citationItems":[{"id":10724,"uris":["http://zotero.org/users/176612/items/JFK9FBZ4"],"itemData":{"id":10724,"type":"article-journal","abstract":"The emergence of the administrative burden literature has generated new theoretical, conceptual, and empirical knowledge. However, the accumulation of comparable knowledge is limited by the lack of validated measurement of core concepts. This article validates a four-item scale of burden tolerance, that is, people's acceptance of state actions that impose administrative burdens on citizens and residents interacting with government, using data from seven countries and 12 surveys. We illustrate the usefulness of the scale by examining its correlates. Burden tolerance varies substantially across the countries examined, but is generally higher for males, young adults, less well educated, those with good health, those who trust state actors more, and ideological conservatives. We demonstrate how the scale can be adapted to specific policy areas and that our generic scale correlates highly with the tolerance for burdens in such diverse domains as income supports, health insurance, passport renewals, and small business licensing.","container-title":"Public Administration Review","DOI":"10.1111/puar.13835","ISSN":"1540-6210","issue":"2","language":"en","license":"© 2024 The Authors. Public Administration Review published by Wiley Periodicals LLC on behalf of American Society for Public Administration.","note":"_eprint: https://onlinelibrary.wiley.com/doi/pdf/10.1111/puar.13835","page":"519-546","source":"Wiley Online Library","title":"Burden tolerance: Developing a validated measurement instrument across seven countries","title-short":"Burden tolerance","volume":"85","author":[{"family":"Baekgaard","given":"Martin"},{"family":"Halling","given":"Aske"},{"family":"Moynihan","given":"Donald P."}],"issued":{"date-parts":[["2025"]]}}},{"id":4392,"uris":["http://zotero.org/users/176612/items/U98CZT6U"],"itemData":{"id":4392,"type":"article-journal","abstract":"Abstract. Administrative burdens affect peoples’ experience of public administration but there is, to date, limited evidence to as why policymakers are willing","container-title":"Journal of Public Administration Research and Theory","DOI":"10.1093/jopart/muaa033","issue":"1","journalAbbreviation":"J Public Adm Res Theory","language":"en","page":"184-200","source":"academic-oup-com.proxyiub.uits.iu.edu","title":"Why Do Policymakers Support Administrative Burdens? The Roles of Deservingness, Political Ideology, and Personal Experience","title-short":"Why Do Policymakers Support Administrative Burdens?","volume":"31","author":[{"family":"Baekgaard","given":"Martin"},{"family":"Moynihan","given":"Donald P."},{"family":"Thomsen","given":"Mette Kjærgaard"}],"issued":{"date-parts":[["2021"]]}}},{"id":4399,"uris":["http://zotero.org/users/176612/items/6QCUANQQ"],"itemData":{"id":4399,"type":"article-journal","abstract":"Existing research finds that increases in administrative burden reduce client access, political efficacy, and equity. However, extant literature has yet to investigate how administrative burden policies are interpreted by street-level bureaucrats (SLBs), whose values and beliefs structure uses of discretion and client experiences of programs. In this article, we utilize quantitative and qualitative data to examine SLBs’ policy preferences regarding administrative burden in Oklahoma's Promise—a means-tested college access program. Our findings demonstrate that SLBs in our sample interpret administrative burden policies through the lens of political ideology. Conservative SLBs express significantly more support for administrative burden policies, arguing that these policies prevent fraud and demonstrate client deservingness. In contrast, predominantly liberal SLBs justify their opposition to administrative burden by arguing that the requirements undermine social equity. Together, our findings reveal that SLBs’ political ideology shapes interpretations of administrative burden and perceptions of client deservingness in Oklahoma's Promise. This article is protected by copyright. All rights reserved.","container-title":"Public Administration Review","DOI":"https://doi.org/10.1111/puar.13311","ISSN":"1540-6210","issue":"4","language":"en","license":"This article is protected by copyright. All rights reserved.","note":"_eprint: https://onlinelibrary.wiley.com/doi/pdf/10.1111/puar.13311","page":"610-624","source":"Wiley Online Library","title":"Just or Unjust? How Ideological Beliefs Shape Street-level Bureaucrats’ Perceptions of Administrative Burden","title-short":"Just or Unjust?","volume":"81","author":[{"family":"Bell","given":"Elizabeth"},{"family":"Mkrtchyan","given":"Ani Ter"},{"family":"Wehde","given":"Wesley"},{"family":"Smith","given":"Kylie"}],"issued":{"date-parts":[["2021"]]}}},{"id":10816,"uris":["http://zotero.org/users/176612/items/3EX63N7P"],"itemData":{"id":10816,"type":"article-journal","abstract":"The pandemic era ushered in a period of policy adaptation in how states deliver programs. One aspect of this experimentation is how burdensome safety net administrative processes should be. Using national surveys taken before and after the end of the public health emergency, we offer evidence of how tolerant the public is about burdens when allowed to choose between discrete policy implementation options. First, we show that burden tolerance beliefs are durable and largely unmovable, staying relatively consistent over time, and unaffected by experimental frames. Second, while there is varying support for specific strategies, the public is broadly supportive of tools that reduce burdens in Medicaid. Third, we find consistent predictors of burden tolerance: conservative beliefs and racial resentment are associated with support for burdens, while empathy toward others, belief in burdens as a form of systemic racism, and low administrative capital make people less tolerant of burdens.","container-title":"Public Administration Review","DOI":"10.1111/puar.13853","ISSN":"1540-6210","issue":"2","language":"en","license":"© 2024 The Author(s). Public Administration Review published by Wiley Periodicals LLC on behalf of American Society for Public Administration.","note":"_eprint: https://onlinelibrary.wiley.com/doi/pdf/10.1111/puar.13853","page":"547-566","source":"Wiley Online Library","title":"Assessing burden tolerance amid the Medicaid Great Unwinding","volume":"85","author":[{"family":"Haeder","given":"Simon F."},{"family":"Moynihan","given":"Donald P."}],"issued":{"date-parts":[["2025"]]}}},{"id":10743,"uris":["http://zotero.org/users/176612/items/UCJCIZ3R"],"itemData":{"id":10743,"type":"article-journal","abstract":"There is growing attention to how policymakers and bureaucrats think about administrative burdens, but we know less about public tolerance for burdens. We examine public burden tolerance in two major programmes (Medicaid and SNAP) using a representative sample of US residents. We show broad support for work requirements and weaker support for generally making it difficult to access benefits. People with conservative beliefs, greater opposition to social policies, and higher income are more tolerant of burdens in social policies. Those who have personal experience of welfare policies are less tolerant of burdens.","container-title":"Public Management Review","DOI":"10.1080/14719037.2022.2056910","ISSN":"1471-9037","issue":"11","note":"_eprint: https://doi.org/10.1080/14719037.2022.2056910","page":"2053–2072","publisher":"Routledge","source":"Taylor and Francis+NEJM","title":"How difficult should it be? Evidence of burden tolerance from a nationally representative sample","title-short":"How difficult should it be?","volume":"25","author":[{"family":"Halling","given":"Aske"},{"family":"Herd","given":"Pamela"},{"family":"Moynihan","given":"Donald"}],"issued":{"date-parts":[["2023",11,2]]}}},{"id":4400,"uris":["http://zotero.org/users/176612/items/RWDKDDKI"],"itemData":{"id":4400,"type":"article-journal","abstract":"Research indicates that administrative burden influences the behaviors and views of clients and potential clients of government programs. However, administrative burden may also shape mass attitudes toward government programs. Taking a behavioral public administration approach, the authors consider whether and how exposure to information about administrative burden embedded within eligibility-based programs influences citizen favorability toward those programs. It is hypothesized that if information about the existing screening mechanisms is highlighted and made salient, this will lead to greater approval of eligibility-based programs. This expectation is evaluated using a survey experiment that explores administrative burden in the Temporary Assistance for Needy Families (TANF) program. The evidence shows that being exposed to information about administrative burden increases favorability toward TANF and its recipients, though these effects are conditional on party identification. The results provide insight into a potential consequence of administrative burden, showing the way in which information regarding burden can shape citizens’ support for eligibility-based programs.","container-title":"Public Administration Review","DOI":"https://doi.org/10.1111/puar.13133","ISSN":"1540-6210","issue":"1","language":"en","license":"© 2019 by The American Society for Public Administration","note":"_eprint: https://onlinelibrary.wiley.com/doi/pdf/10.1111/puar.13133","page":"137-150","source":"Wiley Online Library","title":"Does Administrative Burden Influence Public Support for Government Programs? Evidence from a Survey Experiment","title-short":"Does Administrative Burden Influence Public Support for Government Programs?","volume":"80","author":[{"family":"Keiser","given":"Lael R."},{"family":"Miller","given":"Susan M."}],"issued":{"date-parts":[["2020"]]}}},{"id":10051,"uris":["http://zotero.org/users/176612/items/6V6NKL7H"],"itemData":{"id":10051,"type":"article-journal","abstract":"Administrative burdens appear to influence citizens' perceptions of welfare policies and attitudes toward beneficiaries. However, empirical evidence that has disentangled different state actions' effects on policy perceptions is scarce. We applied a 2 × 2 × 2 factorial survey experiment and manipulated the conceptually distinct state actions implemented in German unemployment benefits. We investigated whether and how exposure to learning demands, compliance demands, and sanctions affected citizens' prejudices against beneficiaries, policy support, and perceived legitimacy. The results from a sample of 1602 German citizens indicate that those confronted with program sanctions exhibit less policy support and expect higher policy spending. Similarly, sanctions decreased the Federal Employment Agency's perceived legitimacy. These results have implications for administrative burden and policy feedback research. Distinguishing different state actions provides nuances to assess policy feedback effects. Practitioners should consider whether program sanctions are necessary because they evoke unintended policy feedback effects.","container-title":"Public Administration","DOI":"10.1111/padm.12957","ISSN":"1467-9299","issue":"3","language":"en","license":"© 2023 The Authors. Public Administration published by John Wiley &amp; Sons Ltd.","note":"_eprint: https://onlinelibrary.wiley.com/doi/pdf/10.1111/padm.12957","page":"915-935","source":"Wiley Online Library","title":"Unpacking the effects of burdensome state actions on citizens' policy perceptions","volume":"102","author":[{"family":"Sievert","given":"Martin"},{"family":"Bruder","given":"Jonas"}],"issued":{"date-parts":[["2024"]]}}},{"id":11075,"uris":["http://zotero.org/users/176612/items/2CVBVAEA"],"itemData":{"id":11075,"type":"article-journal","abstract":"Public services often require formal documentation from citizens or public employees. Although these administrative requirements are commonly viewed as burdensome, they play a critical role in safeguarding program integrity. Drawing from a pre-registered survey experiment conducted among Danish residents (n = 2004), this article examines citizen attitudes toward policy reforms that either intensify or alleviate the burden of formal documentation requirements. We analyze how these contrasting types of policy reforms shape citizen support, with a particular emphasis on the trade-off between compliance burden and program integrity protection. Furthermore, the impact of whether these changes in requirements apply to citizens or public employees is explored. Our findings suggest a general preference among citizens for the removal of administrative documentation requirements aimed at protecting program integrity, regardless of whether they apply to citizens or public employees. These attitudes appear influenced by political ideology, personal experience, and the specific policy area context.","container-title":"Public Administration Review","DOI":"10.1111/puar.13919","ISSN":"1540-6210","issue":"5","language":"en","license":"© 2025 The Author(s). Public Administration Review published by Wiley Periodicals LLC on behalf of American Society for Public Administration.","note":"_eprint: https://onlinelibrary.wiley.com/doi/pdf/10.1111/puar.13919","page":"1512-1527","source":"Wiley Online Library","title":"Compliance burden versus program integrity protection: A survey experiment on citizen attitudes toward administrative documentation requirements in public service policy","title-short":"Compliance burden versus program integrity protection","volume":"85","author":[{"family":"Stenderup","given":"Rasmus"},{"family":"Pedersen","given":"Mogens Jin"}],"issued":{"date-parts":[["2025"]]}}}],"schema":"https://github.com/citation-style-language/schema/raw/master/csl-citation.json"} </w:instrText>
      </w:r>
      <w:r>
        <w:rPr>
          <w:rFonts w:ascii="Times New Roman" w:eastAsia="Times New Roman" w:hAnsi="Times New Roman" w:cs="Times New Roman"/>
          <w:color w:val="000000"/>
          <w:sz w:val="24"/>
          <w:szCs w:val="24"/>
        </w:rPr>
        <w:fldChar w:fldCharType="separate"/>
      </w:r>
      <w:r>
        <w:rPr>
          <w:rFonts w:ascii="Times New Roman" w:hAnsi="Times New Roman" w:cs="Times New Roman"/>
          <w:sz w:val="24"/>
          <w:szCs w:val="24"/>
        </w:rPr>
        <w:t xml:space="preserve">(Baekgaard, Halling, and Moynihan 2025; Baekgaard, Moynihan, and Thomsen 2021; Bell et al. 2021; Haeder and Moynihan 2025; Halling, Herd, and Moynihan 2023; Keiser and Miller 2020; Sievert and Bruder 2024; Stenderup and Pedersen 2025)</w:t>
      </w:r>
      <w:r>
        <w:rPr>
          <w:rFonts w:ascii="Times New Roman" w:eastAsia="Times New Roman" w:hAnsi="Times New Roman" w:cs="Times New Roman"/>
          <w:color w:val="000000"/>
          <w:sz w:val="24"/>
          <w:szCs w:val="24"/>
        </w:rPr>
        <w:fldChar w:fldCharType="end"/>
      </w:r>
      <w:r>
        <w:rPr>
          <w:rFonts w:ascii="Times New Roman" w:eastAsia="Times New Roman" w:hAnsi="Times New Roman" w:cs="Times New Roman"/>
          <w:color w:val="000000"/>
          <w:sz w:val="24"/>
          <w:szCs w:val="24"/>
        </w:rPr>
        <w:instrText xml:space="preserve">.</w:instrText>
      </w:r>
    </w:p>
    <w:p>
      <w:pPr>
        <w:pBdr/>
        <w:pStyle w:val="Normal"/>
        <w:spacing w:after="0" w:line="480" w:lineRule="auto"/>
        <w:ind w:firstLine="70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Although this emerging literature has made much progress in understanding the drivers of public opinion about burdens, significant gaps remain. One limitation is that previous work has primarily studied burdens related to social welfare safety net programs, such as healthcare, income assistance, job training, and education access. Because these are all policy areas where political liberals are generally in favor of increasing the role of government (see </w:t>
      </w:r>
      <w:r>
        <w:rPr>
          <w:rFonts w:ascii="Times New Roman" w:hAnsi="Times New Roman" w:cs="Times New Roman"/>
          <w:color w:val="000000"/>
          <w:sz w:val="24"/>
          <w:szCs w:val="24"/>
        </w:rPr>
        <w:t xml:space="preserve">Halling, Herd, and Moynihan 2023</w:t>
      </w:r>
      <w:r>
        <w:rPr>
          <w:rFonts w:ascii="Times New Roman" w:eastAsia="Times New Roman" w:hAnsi="Times New Roman" w:cs="Times New Roman"/>
          <w:color w:val="000000"/>
          <w:sz w:val="24"/>
          <w:szCs w:val="24"/>
        </w:rPr>
        <w:t xml:space="preserve"> for the cases of Medicaid and SNAP application burden tolerance), and thus </w:t>
      </w:r>
      <w:r>
        <w:rPr>
          <w:rFonts w:ascii="Times New Roman" w:eastAsia="Times New Roman" w:hAnsi="Times New Roman" w:cs="Times New Roman"/>
          <w:color w:val="000000"/>
          <w:sz w:val="24"/>
          <w:szCs w:val="24"/>
        </w:rPr>
        <w:t xml:space="preserve">expanding access, it is unclear whether the connection between political ideology and burden tolerance is due to a general orientation related to administrative procedures or to more proximate policy area specific preferences. To untangle these two distinct mechanisms, studies of policy areas where the ideological goals are reversed, such that liberals are opposed to greater access while conservatives push to expand it, are needed. In this paper, we seek to address this gap by examining burden tolerance in general as well as across three policy areas that vary in their political valence: voting procedures, SNAP benefits, and gun ownership.</w:t>
      </w:r>
    </w:p>
    <w:p>
      <w:pPr>
        <w:pBdr/>
        <w:pStyle w:val="Normal"/>
        <w:spacing w:after="0" w:line="480" w:lineRule="auto"/>
        <w:ind/>
        <w:rPr>
          <w:rFonts w:ascii="Times New Roman" w:hAnsi="Times New Roman" w:cs="Times New Roman"/>
          <w:color w:val="000000"/>
          <w:sz w:val="24"/>
          <w:szCs w:val="24"/>
        </w:rPr>
      </w:pPr>
      <w:r>
        <w:rPr>
          <w:rFonts w:ascii="Times New Roman" w:hAnsi="Times New Roman" w:cs="Times New Roman"/>
          <w:b/>
          <w:bCs/>
          <w:color w:val="000000"/>
          <w:sz w:val="24"/>
          <w:szCs w:val="24"/>
        </w:rPr>
        <w:tab/>
      </w:r>
      <w:r>
        <w:rPr>
          <w:rFonts w:ascii="Times New Roman" w:hAnsi="Times New Roman" w:cs="Times New Roman"/>
          <w:color w:val="000000"/>
          <w:sz w:val="24"/>
          <w:szCs w:val="24"/>
        </w:rPr>
        <w:t xml:space="preserve">In addition to better understanding variation in burden tolerance across policy areas, questions remain around the psychological and cognitive processes that shape these opinions. In particular, the role of deep core beliefs and values is still underexplored. How are preferences around administrative burdens related to broader belief systems that shape worldviews around the role of government, the proper balance between the autonomy of individuals and the need for collective action, and the extent to which power should be evenly distributed within society? While the approaches described above help explain some of these relationships, additional theoretical approaches drawn from public policy and public opinion research can further improve our understanding of how burden tolerance among individuals is formed.</w:t>
      </w:r>
    </w:p>
    <w:p>
      <w:pPr>
        <w:pBdr/>
        <w:pStyle w:val="Normal"/>
        <w:spacing w:after="0" w:line="480" w:lineRule="auto"/>
        <w:ind/>
        <w:rPr>
          <w:rFonts w:ascii="Times New Roman" w:hAnsi="Times New Roman" w:cs="Times New Roman"/>
          <w:b/>
          <w:bCs/>
          <w:color w:val="000000"/>
          <w:sz w:val="24"/>
          <w:szCs w:val="24"/>
        </w:rPr>
      </w:pPr>
      <w:r>
        <w:rPr>
          <w:rFonts w:ascii="Times New Roman" w:hAnsi="Times New Roman" w:cs="Times New Roman"/>
          <w:b/>
          <w:bCs/>
          <w:color w:val="000000"/>
          <w:sz w:val="24"/>
          <w:szCs w:val="24"/>
        </w:rPr>
        <w:t xml:space="preserve">Cultural Theory and Public Opinion About Administrative Burdens</w:t>
      </w:r>
    </w:p>
    <w:p>
      <w:pPr>
        <w:pBdr/>
        <w:pStyle w:val="Normal"/>
        <w:spacing w:after="0" w:line="480" w:lineRule="auto"/>
        <w:ind/>
        <w:rPr>
          <w:rFonts w:ascii="Times New Roman" w:hAnsi="Times New Roman" w:cs="Times New Roman"/>
          <w:color w:val="000000"/>
          <w:sz w:val="24"/>
          <w:szCs w:val="24"/>
        </w:rPr>
      </w:pPr>
      <w:r>
        <w:rPr>
          <w:rFonts w:ascii="Times New Roman" w:hAnsi="Times New Roman" w:cs="Times New Roman"/>
          <w:b/>
          <w:bCs/>
          <w:color w:val="000000"/>
          <w:sz w:val="24"/>
          <w:szCs w:val="24"/>
        </w:rPr>
        <w:tab/>
      </w:r>
      <w:r>
        <w:rPr>
          <w:rFonts w:ascii="Times New Roman" w:hAnsi="Times New Roman" w:cs="Times New Roman"/>
          <w:color w:val="000000"/>
          <w:sz w:val="24"/>
          <w:szCs w:val="24"/>
        </w:rPr>
        <w:t xml:space="preserve">Cultural theory (CT) posits that belief systems are fundamentally driven by preferences related to two dimensions of social structure and relationships: group and grid </w:t>
      </w:r>
      <w:r>
        <w:rPr>
          <w:rFonts w:ascii="Times New Roman" w:hAnsi="Times New Roman" w:cs="Times New Roman"/>
          <w:color w:val="000000"/>
          <w:sz w:val="24"/>
          <w:szCs w:val="24"/>
        </w:rPr>
        <w:fldChar w:fldCharType="begin"/>
      </w:r>
      <w:r>
        <w:rPr>
          <w:rFonts w:ascii="Times New Roman" w:hAnsi="Times New Roman" w:cs="Times New Roman"/>
          <w:color w:val="000000"/>
          <w:sz w:val="24"/>
          <w:szCs w:val="24"/>
        </w:rPr>
        <w:instrText xml:space="preserve"> ADDIN ZOTERO_ITEM CSL_CITATION {"citationID":"4M3woc0p","properties":{"formattedCitation":"(Douglas 1978)","plainCitation":"(Douglas 1978)","noteIndex":0},"citationItems":[{"id":3729,"uris":["http://zotero.org/users/176612/items/9QU5QRGN"],"itemData":{"id":3729,"type":"book","collection-number":"35","publisher":"Royal Anthropological Institute","source":"Google Scholar","title":"Cultural bias","author":[{"family":"Douglas","given":"Mary"}],"issued":{"date-parts":[["1978"]]}}}],"schema":"https://github.com/citation-style-language/schema/raw/master/csl-citation.json"} </w:instrText>
      </w:r>
      <w:r>
        <w:rPr>
          <w:rFonts w:ascii="Times New Roman" w:hAnsi="Times New Roman" w:cs="Times New Roman"/>
          <w:color w:val="000000"/>
          <w:sz w:val="24"/>
          <w:szCs w:val="24"/>
        </w:rPr>
        <w:fldChar w:fldCharType="separate"/>
      </w:r>
      <w:r>
        <w:rPr>
          <w:rFonts w:ascii="Times New Roman" w:hAnsi="Times New Roman" w:cs="Times New Roman"/>
          <w:color w:val="000000"/>
          <w:sz w:val="24"/>
        </w:rPr>
        <w:t xml:space="preserve">(Douglas 1978)</w:t>
      </w:r>
      <w:r>
        <w:rPr>
          <w:rFonts w:ascii="Times New Roman" w:hAnsi="Times New Roman" w:cs="Times New Roman"/>
          <w:color w:val="000000"/>
          <w:sz w:val="24"/>
          <w:szCs w:val="24"/>
        </w:rPr>
        <w:fldChar w:fldCharType="end"/>
      </w:r>
      <w:r>
        <w:rPr>
          <w:rFonts w:ascii="Times New Roman" w:hAnsi="Times New Roman" w:cs="Times New Roman"/>
          <w:color w:val="000000"/>
          <w:sz w:val="24"/>
          <w:szCs w:val="24"/>
        </w:rPr>
        <w:instrText xml:space="preserve">. The group dimension refers to the extent to which collective associations should bind decision-</w:instrText>
      </w:r>
      <w:r>
        <w:rPr>
          <w:rFonts w:ascii="Times New Roman" w:hAnsi="Times New Roman" w:cs="Times New Roman"/>
          <w:color w:val="000000"/>
          <w:sz w:val="24"/>
          <w:szCs w:val="24"/>
        </w:rPr>
        <w:t xml:space="preserve">making, while the grid dimension is the desired level of formality and rigid rules that govern interpersonal interactions. Together, these interact to produce four mutually exclusive and exhaustive “worldviews” that structure both how people perceive risks or threats as well as approval for strategies aimed at addressing those risks, shaping opinions around an extensive </w:t>
      </w:r>
      <w:r>
        <w:rPr>
          <w:rFonts w:ascii="Times New Roman" w:hAnsi="Times New Roman" w:cs="Times New Roman"/>
          <w:color w:val="000000"/>
          <w:sz w:val="24"/>
          <w:szCs w:val="24"/>
        </w:rPr>
        <w:t xml:space="preserve">range of political issues and policy debates </w:t>
      </w:r>
      <w:r>
        <w:rPr>
          <w:rFonts w:ascii="Times New Roman" w:hAnsi="Times New Roman" w:cs="Times New Roman"/>
          <w:color w:val="000000"/>
          <w:sz w:val="24"/>
          <w:szCs w:val="24"/>
        </w:rPr>
        <w:fldChar w:fldCharType="begin"/>
      </w:r>
      <w:r>
        <w:rPr>
          <w:rFonts w:ascii="Times New Roman" w:hAnsi="Times New Roman" w:cs="Times New Roman"/>
          <w:color w:val="000000"/>
          <w:sz w:val="24"/>
          <w:szCs w:val="24"/>
        </w:rPr>
        <w:instrText xml:space="preserve"> ADDIN ZOTERO_ITEM CSL_CITATION {"citationID":"L4Etlay8","properties":{"formattedCitation":"(Douglas and Wildavsky 1982; Thompson, Grendstad, and Selle 1999; Wildavsky 1987)","plainCitation":"(Douglas and Wildavsky 1982; Thompson, Grendstad, and Selle 1999; Wildavsky 1987)","noteIndex":0},"citationItems":[{"id":10585,"uris":["http://zotero.org/users/176612/items/AV6WQIBF"],"itemData":{"id":10585,"type":"book","abstract":"Can we know the risks we face, now or in the future? No, we cannot; but yes, we must act as if we do. Some dangers are unknown; others are known, but not by us because no one person can know everything. Most people cannot be aware of most dangers at most times. Hence, no one can calculate precisely the total risk to be faced. How, then, do people decide which risks to take and which to ignore? On what basis are certain dangers guarded against and others relegated to secondary status?  This book explores how we decide what risks to take and which to ignore, both as individuals and as a culture.","ISBN":"978-0-520-90739-3","language":"en","note":"Google-Books-ID: rXrGbnMg63YC","number-of-pages":"232","publisher":"University of California Press","publisher-place":"Berkeley, CA","source":"Google Books","title":"Risk and Culture: An Essay on the Selection of Technological and Environmental Dangers","title-short":"Risk and Culture","author":[{"family":"Douglas","given":"Mary"},{"family":"Wildavsky","given":"Aaron"}],"issued":{"date-parts":[["1982"]]}},"label":"page"},{"id":3722,"uris":["http://zotero.org/users/176612/items/68AHG26A"],"itemData":{"id":3722,"type":"book","abstract":"This is the first major European political science book to discuss the growing interdisciplinary field of 'cultural theory', proposing a coherent and viable alternative to mainstream political science. The authors argue that three elements - social relations, cultural bias and behavioural strategy - illuminate political questions at a level of analysis on any scale: from the household to the state; the international regime to the political party.","note":"Google-Books-ID: rhql6T7V3qEC","number-of-pages":"260","publisher":"Routledge","title":"Cultural Theory as Political Science","author":[{"family":"Thompson","given":"Michael"},{"family":"Grendstad","given":"Gunnar"},{"family":"Selle","given":"Per"}],"issued":{"date-parts":[["1999"]]}},"label":"page"},{"id":564,"uris":["http://zotero.org/users/176612/items/USKTDPDU"],"itemData":{"id":564,"type":"article-journal","abstract":"Preferences come from the most ubiquitous human activity: living with other people. Support for and opposition to different ways of life, the shared values legitimating social relations (here called cultures) are the generators of diverse preferences. After discussing why it is not helpful to conceive of interest as preferences or to dismiss preference formation as external to organized social life, I explain how people are able to develop many preferences from few clues by using their social relations to interrogate their environment. The social filter is the source of preferences. I then argue that culture is a more powerful construct than conceptual rivals: heuristics, schemas, ideologies. Two initial applications--to the ideology of the left-right distinctions and to perceptions of danger--test the claim that this theory of how individuals use political cultures to develop their preferences outperforms the alternatives.","container-title":"The American Political Science Review","ISSN":"00030554","issue":"1","note":"ArticleType: primary_article / Full publication date: Mar., 1987 / Copyright © 1987 American Political Science Association","page":"4-21","source":"JSTOR","title":"Choosing Preferences by Constructing Institutions: A Cultural Theory of Preference Formation","title-short":"Choosing Preferences by Constructing Institutions","volume":"81","author":[{"family":"Wildavsky","given":"Aaron"}],"issued":{"date-parts":[["1987",3]]}},"label":"page"}],"schema":"https://github.com/citation-style-language/schema/raw/master/csl-citation.json"} </w:instrText>
      </w:r>
      <w:r>
        <w:rPr>
          <w:rFonts w:ascii="Times New Roman" w:hAnsi="Times New Roman" w:cs="Times New Roman"/>
          <w:color w:val="000000"/>
          <w:sz w:val="24"/>
          <w:szCs w:val="24"/>
        </w:rPr>
        <w:fldChar w:fldCharType="separate"/>
      </w:r>
      <w:r>
        <w:rPr>
          <w:rFonts w:ascii="Times New Roman" w:hAnsi="Times New Roman" w:cs="Times New Roman"/>
          <w:color w:val="000000"/>
          <w:sz w:val="24"/>
        </w:rPr>
        <w:t xml:space="preserve">(Douglas and Wildavsky 1982; Thompson, Grendstad, and Selle 1999; Wildavsky 1987)</w:t>
      </w:r>
      <w:r>
        <w:rPr>
          <w:rFonts w:ascii="Times New Roman" w:hAnsi="Times New Roman" w:cs="Times New Roman"/>
          <w:color w:val="000000"/>
          <w:sz w:val="24"/>
          <w:szCs w:val="24"/>
        </w:rPr>
        <w:fldChar w:fldCharType="end"/>
      </w:r>
      <w:r>
        <w:rPr>
          <w:rFonts w:ascii="Times New Roman" w:hAnsi="Times New Roman" w:cs="Times New Roman"/>
          <w:color w:val="000000"/>
          <w:sz w:val="24"/>
          <w:szCs w:val="24"/>
        </w:rPr>
        <w:instrText xml:space="preserve">. </w:instrText>
      </w:r>
    </w:p>
    <w:p>
      <w:pPr>
        <w:pBdr/>
        <w:pStyle w:val="Normal"/>
        <w:spacing w:after="0" w:line="480" w:lineRule="auto"/>
        <w:ind/>
        <w:rPr>
          <w:rFonts w:ascii="Times New Roman" w:hAnsi="Times New Roman" w:cs="Times New Roman"/>
          <w:color w:val="000000"/>
          <w:sz w:val="24"/>
          <w:szCs w:val="24"/>
        </w:rPr>
      </w:pPr>
      <w:r>
        <w:rPr>
          <w:rFonts w:ascii="Times New Roman" w:hAnsi="Times New Roman" w:cs="Times New Roman"/>
          <w:color w:val="000000"/>
          <w:sz w:val="24"/>
          <w:szCs w:val="24"/>
        </w:rPr>
        <w:tab/>
      </w:r>
      <w:r>
        <w:rPr>
          <w:rFonts w:ascii="Times New Roman" w:hAnsi="Times New Roman" w:cs="Times New Roman"/>
          <w:color w:val="000000"/>
          <w:sz w:val="24"/>
          <w:szCs w:val="24"/>
        </w:rPr>
        <w:t xml:space="preserve">First, there are hierarchs, who are high on both grid and group, preferring strong collective memberships and associations and strict delineations of power and authority within the group. For hierarchs, the most harmful problems in society happen because irresponsible people disregard the advice of experts or break the rules, endangering the rule of law and creating chaos or confusion. Egalitarians, who are high on group but low on grid, share the desire for collective decision-</w:t>
      </w:r>
      <w:r>
        <w:rPr>
          <w:rFonts w:ascii="Times New Roman" w:hAnsi="Times New Roman" w:cs="Times New Roman"/>
          <w:color w:val="000000"/>
          <w:sz w:val="24"/>
          <w:szCs w:val="24"/>
        </w:rPr>
        <w:t xml:space="preserve">making, but they abhor unequal divisions of power. The most serious threats to the egalitarian worldview stem from inequalities between group members and potential exploitation of the vulnerable, which happens when resources become concentrated in a few key actors. Individualists, in contrast, are low on both group and grid, and they believe people should have autonomy to make their own choices and decisions. From this perspective, the most harmful threats are those related to overly prescriptive and paternalistic regulations, which stifle innovation and restrict personal freedoms and liberties. Individualists are also likely to see government programs as creating dependence on receipts, further limiting individual initiative and self-reliance. Relatedly, increasing individualism is associated with decreased trust in government (Nowlin, Anderson, and Reedy 2025). Finally, fatalists are low on group but high on grid. As the name implies, fatalists see the world as inherently chaotic and unpredictable. Thus, they are skeptical about an individual’s ability to alter their circumstances and the ability of any system of government to make life better for its people. </w:t>
      </w:r>
    </w:p>
    <w:p>
      <w:pPr>
        <w:pBdr/>
        <w:pStyle w:val="Normal"/>
        <w:spacing w:after="0" w:line="480" w:lineRule="auto"/>
        <w:ind w:firstLine="720"/>
        <w:rPr>
          <w:rFonts w:ascii="Times New Roman" w:hAnsi="Times New Roman" w:cs="Times New Roman"/>
          <w:color w:val="000000"/>
          <w:sz w:val="24"/>
          <w:szCs w:val="24"/>
        </w:rPr>
      </w:pPr>
      <w:r>
        <w:rPr>
          <w:rFonts w:ascii="Times New Roman" w:hAnsi="Times New Roman" w:cs="Times New Roman"/>
          <w:color w:val="000000"/>
          <w:sz w:val="24"/>
          <w:szCs w:val="24"/>
        </w:rPr>
        <w:t xml:space="preserve">CT has been widely used within the policy and public opinion literature to examine responses to a variety of contentious policy issues such as climate change and energy </w:t>
      </w:r>
      <w:r>
        <w:rPr>
          <w:rFonts w:ascii="Times New Roman" w:hAnsi="Times New Roman" w:cs="Times New Roman"/>
          <w:color w:val="000000"/>
          <w:sz w:val="24"/>
          <w:szCs w:val="24"/>
        </w:rPr>
        <w:fldChar w:fldCharType="begin"/>
      </w:r>
      <w:r>
        <w:rPr>
          <w:rFonts w:ascii="Times New Roman" w:hAnsi="Times New Roman" w:cs="Times New Roman"/>
          <w:color w:val="000000"/>
          <w:sz w:val="24"/>
          <w:szCs w:val="24"/>
        </w:rPr>
        <w:instrText xml:space="preserve"> ADDIN ZOTERO_ITEM CSL_CITATION {"citationID":"ENi9RIOm","properties":{"formattedCitation":"(Goebbert et al. 2012; Jones 2011; Jones and Song 2014; Kahan, Jenkins-Smith, et al. 2012; Kahan, Peters, et al. 2012; Lachapelle, Montpetit, and Gauvin 2014; Nowlin and Rabovsky 2020; Robinson 2016)","plainCitation":"(Goebbert et al. 2012; Jones 2011; Jones and Song 2014; Kahan, Jenkins-Smith, et al. 2012; Kahan, Peters, et al. 2012; Lachapelle, Montpetit, and Gauvin 2014; Nowlin and Rabovsky 2020; Robinson 2016)","noteIndex":0},"citationItems":[{"id":3738,"uris":["http://zotero.org/users/176612/items/26EBWD83"],"itemData":{"id":3738,"type":"article-journal","abstract":"This paper analyzes the changes Americans perceive to be taking place in their local weather and tests a series of hypotheses about why they hold these perceptions. Using data from annual nationwide surveys of the American public taken from 2008 to 2011, coupled with geographically specific measures of temperature and precipitation changes over that same period, the authors evaluate the relationship between perceptions of weather changes and actual changes in local weather. In addition, the survey data include measures of individual-level characteristics (age, education level, gender, and income) as well as cultural worldview and political ideology. Rival hypotheses about the origins of Americans’ perceptions of weather change are tested, and it is found that actual weather changes are less predictive of perceived changes in local temperatures, but better predictors of perceived flooding and droughts. Cultural biases and political ideology also shape perceptions of changes in local weather. Overall, the analysis herein indicates that beliefs about changes in local temperatures have been more heavily politicized than is true for beliefs about local precipitation patterns. Therefore, risk communications linking changes in local patterns of precipitation to broader changes in the climate are more likely to penetrate identity-protective cognitions about climate.","container-title":"Weather, Climate, and Society","DOI":"10.1175/WCAS-D-11-00044.1","ISSN":"1948-8327","issue":"2","journalAbbreviation":"Wea. Climate Soc.","page":"132-144","source":"journals.ametsoc.org (Atypon)","title":"Weather, Climate, and Worldviews: The Sources and Consequences of Public Perceptions of Changes in Local Weather Patterns","title-short":"Weather, Climate, and Worldviews","volume":"4","author":[{"family":"Goebbert","given":"Kevin"},{"family":"Jenkins-Smith","given":"Hank C."},{"family":"Klockow","given":"Kim"},{"family":"Nowlin","given":"Matthew C."},{"family":"Silva","given":"Carol L."}],"issued":{"date-parts":[["2012",4,1]]}},"label":"page"},{"id":296,"uris":["http://zotero.org/users/176612/items/XHSXCC9T"],"itemData":{"id":296,"type":"article-journal","container-title":"PS: Political Science &amp; Politics","DOI":"10.1017/S104909651100134X","issue":"04","page":"720-725","source":"Cambridge Journals Online","title":"Leading the Way to Compromise? Cultural Theory and Climate Change Opinion","title-short":"Leading the Way to Compromise?","volume":"44","author":[{"family":"Jones","given":"Michael D."}],"issued":{"date-parts":[["2011"]]}}},{"id":3736,"uris":["http://zotero.org/users/176612/items/BWSHG3SX"],"itemData":{"id":3736,"type":"article-journal","abstract":"In 2006, Adam J. Berinsky and Donald R. Kinder published findings in the Journal of Politics that demonstrated that framing news as a story influences how individuals cognitively organize concepts and information. The study presented here moves forward in this tradition. This research combines samples obtained in the springs of 2009 and 2010 while conducting online experiments. In these experiments, slightly over 2,000 respondents are asked to organize concepts presented in one of three culturally nuanced stories about climate change or where information is presented as a list. Hierarchical cluster analysis indicates that when respondents are exposed to culturally congruent stories, respondent organizational patterns are more likely to mirror the story. We discuss the implications of these findings.","container-title":"Political Psychology","DOI":"10.1111/pops.12057","ISSN":"1467-9221","issue":"4","journalAbbreviation":"Political Psychology","language":"en","page":"447-476","source":"Wiley Online Library","title":"Making Sense of Climate Change: How Story Frames Shape Cognition","title-short":"Making Sense of Climate Change","volume":"35","author":[{"family":"Jones","given":"Michael D."},{"family":"Song","given":"Geoboo"}],"issued":{"date-parts":[["2014",8,1]]}}},{"id":293,"uris":["http://zotero.org/users/176612/items/JX7FUDRW"],"itemData":{"id":293,"type":"article-journal","abstract":"We conducted a two-nation study (United States, n = 1500; England, n = 1500) to test a novel theory of science communication. The cultural cognition thesis posits that individuals make extensive reliance on cultural meanings in forming perceptions of risk. The logic of the cultural cognition thesis suggests the potential value of a distinctive two-channel science communication strategy that combines information content (“Channel 1”) with cultural meanings (“Channel 2”) selected to promote open-minded assessment of information across diverse communities. In the study, scientific information content on climate change was held constant while the cultural meaning of that information was experimentally manipulated. Consistent with the study hypotheses, we found that making citizens aware of the potential contribution of geoengineering as a supplement to restriction of CO2 emissions helps to offset cultural polarization over the validity of climate-change science. We also tested the hypothesis, derived from competing models of science communication, that exposure to information on geoengineering would provoke discounting of climate-change risks generally. Contrary to this hypothesis, we found that subjects exposed to information about geoengineering were slightly more concerned about climate change risks than those assigned to a control condition.","container-title":"SSRN eLibrary","source":"SSRN","title":"Geoengineering and the Science Communication Environment: A Cross-Cultural Experiment","title-short":"Geoengineering and the Science Communication Environment","URL":"http://papers.ssrn.com/sol3/papers.cfm?abstract_id=1981907","author":[{"family":"Kahan","given":"Dan M."},{"family":"Jenkins-Smith","given":"Hank C."},{"family":"Tarantola","given":"Tor"},{"family":"Silva","given":"Carol L"},{"family":"Braman","given":"Donald"}],"accessed":{"date-parts":[["2012",2,15]]},"issued":{"date-parts":[["2012",1,9]]}}},{"id":10543,"uris":["http://zotero.org/users/176612/items/32IYYYGX"],"itemData":{"id":10543,"type":"article-journal","abstract":"Public apathy over climate change is often attributed to a deficit in comprehension and to limits on technical reasoning. However, evidence suggests that individuals with the highest degrees of science literacy and technical reasoning capacity are not the most concerned about climate change and are the most culturally polarized.","container-title":"Nature Climate Change","DOI":"10.1038/nclimate1547","ISSN":"1758-6798","issue":"10","journalAbbreviation":"Nature Clim Change","language":"en","license":"2012 Springer Nature Limited","page":"732-735","publisher":"Nature Publishing Group","source":"www-nature-com.proxyiub.uits.iu.edu","title":"The polarizing impact of science literacy and numeracy on perceived climate change risks","volume":"2","author":[{"family":"Kahan","given":"Dan M."},{"family":"Peters","given":"Ellen"},{"family":"Wittlin","given":"Maggie"},{"family":"Slovic","given":"Paul"},{"family":"Ouellette","given":"Lisa Larrimore"},{"family":"Braman","given":"Donald"},{"family":"Mandel","given":"Gregory"}],"issued":{"date-parts":[["2012",10]]}}},{"id":3216,"uris":["http://zotero.org/users/176612/items/X8QQNRJ6"],"itemData":{"id":3216,"type":"article-journal","abstract":"How do individuals assess the credibility of experts in various policy domains? Under what conditions does the public interpret particular scientific knowledge claims as being trustworthy and credible? Using data collected from an online survey experiment, administered to 1,507 adult residents of Quebec, this paper seeks answers to these questions. Specifically, we examine variation in the way members of the public perceive the credibility of scientific experts in the areas of climate change, shale gas extraction, cell phones, and wind farms. Our results contribute to the existing literatures on public perceptions of policy experts, framing, and cultural theory. We find that individuals evaluate expert credibility based on the way in which experts frame issues, and on the congruity/dissonance between these expert communication frames and one's underlying worldview. However, we also identify limits to these framing effects. Our findings shed light on the interaction of framing and political worldviews in shaping public perceptions of expert credibility in various policymaking contexts.","container-title":"Policy Studies Journal","DOI":"10.1111/psj.12073","ISSN":"1541-0072","issue":"4","journalAbbreviation":"Policy Stud J","language":"en","license":"© 2014 Policy Studies Organization","page":"674-697","source":"Wiley Online Library","title":"Public Perceptions of Expert Credibility on Policy Issues: The Role of Expert Framing and Political Worldviews","title-short":"Public Perceptions of Expert Credibility on Policy Issues","volume":"42","author":[{"family":"Lachapelle","given":"Erick"},{"family":"Montpetit","given":"Éric"},{"family":"Gauvin","given":"Jean-Philippe"}],"issued":{"date-parts":[["2014",11,1]]}}},{"id":4383,"uris":["http://zotero.org/users/176612/items/YF3U6UHV"],"itemData":{"id":4383,"type":"article-journal","abstract":"Objective Political parties provide an important function for a public that is generally seen as not consistently ideological by guiding its thinking about policy issues. In this article, we examine whether the four cultural worldviews derived from grid-group cultural theory—hierarch, egalitarian, individualist, and fatalist—are predictive of partisan attachments and perceptions of climate change risk among the public. Methods Data come from an original survey of the U.S. public conducted in 2011 and 2012. We use regression analysis to examine partisanship and perceived climate change risk; ordered logit to examine party attachment; and mediation analysis to examine the mediating effect of partisanship on cultural worldviews and climate change risk. Results We find that the group-oriented cultural types (egalitarians and hierarchs) are more likely to have stronger party attachments than the nongroup-oriented cultural types (individualists and fatalists). In addition, we find that the mediation effect of party is more pronounced among the group-oriented types than the nongroup oriented. Conclusion Grid-group cultural theory is predictive of both partisanship and policy attitudes and partisanship mediates the influence of cultural worldviews on climate change risk, particularly for those types with group orientations.","container-title":"Social Science Quarterly","DOI":"https://doi.org/10.1111/ssqu.12750","ISSN":"1540-6237","issue":"2","language":"en","license":"© 2019 by the Southwestern Social Science Association","note":"_eprint: https://onlinelibrary.wiley.com/doi/pdf/10.1111/ssqu.12750","page":"878-892","source":"Wiley Online Library","title":"A Cultural Theory of Partisanship and Policy Attitudes","volume":"101","author":[{"family":"Nowlin","given":"Matthew C."},{"family":"Rabovsky","given":"Thomas M."}],"issued":{"date-parts":[["2020"]]}},"label":"page"},{"id":10565,"uris":["http://zotero.org/users/176612/items/GJHS52SH"],"itemData":{"id":10565,"type":"article-journal","abstract":"Baumgartner and Jones' theory of conflict expansion highlights the importance of policy imagery in the maintenance of policy subsystems, as a sharp increase in negative imagery can drive conflict expansion and subsystem dissolution. However, we still know relatively little about what drives rapid shifts in image valence. In this study, I examine how cultural change affects receptiveness to policy images, drawing on the cultural theory (CT) developed by Douglas and Wildavsky. Affecting both perception and risk assessment, cultural commitments impact how policy images are received. Returning to the policy subsystem anchored in the Atomic Energy Commission, I find that its imagery – well suited for an earlier cultural milieu – created negative associations for egalitarians, who were increasingly prevalent during this time frame. As my study shows, CT can add to the study of administration by helping us better understand, categorize, and predict which images and institutions may be endangered by specific cultural changes.","container-title":"Public Administration","DOI":"10.1111/padm.12215","ISSN":"1467-9299","issue":"4","language":"en","license":"© 2015 John Wiley &amp; Sons Ltd","note":"_eprint: https://onlinelibrary.wiley.com/doi/pdf/10.1111/padm.12215","page":"953-969","source":"Wiley Online Library","title":"Cultural Change and Policy Images in Policy Subsystems","volume":"94","author":[{"family":"Robinson","given":"Robert R."}],"issued":{"date-parts":[["2016"]]}}}],"schema":"https://github.com/citation-style-language/schema/raw/master/csl-citation.json"} </w:instrText>
      </w:r>
      <w:r>
        <w:rPr>
          <w:rFonts w:ascii="Times New Roman" w:hAnsi="Times New Roman" w:cs="Times New Roman"/>
          <w:color w:val="000000"/>
          <w:sz w:val="24"/>
          <w:szCs w:val="24"/>
        </w:rPr>
        <w:fldChar w:fldCharType="separate"/>
      </w:r>
      <w:r>
        <w:rPr>
          <w:rFonts w:ascii="Times New Roman" w:hAnsi="Times New Roman" w:cs="Times New Roman"/>
          <w:color w:val="000000"/>
          <w:sz w:val="24"/>
        </w:rPr>
        <w:t xml:space="preserve">(Goebbert et al. 2012; Jones 2011; Jones and Song 2014; Kahan, Jenkins-Smith, et al. 2012; Kahan, Peters, et al. 2012; Lachapelle, Montpetit, and Gauvin 2014; Nowlin and Rabovsky 2020; Robinson </w:t>
      </w:r>
      <w:r>
        <w:rPr>
          <w:rFonts w:ascii="Times New Roman" w:hAnsi="Times New Roman" w:cs="Times New Roman"/>
          <w:color w:val="000000"/>
          <w:sz w:val="24"/>
        </w:rPr>
        <w:t xml:space="preserve">2016)</w:t>
      </w:r>
      <w:r>
        <w:rPr>
          <w:rFonts w:ascii="Times New Roman" w:hAnsi="Times New Roman" w:cs="Times New Roman"/>
          <w:color w:val="000000"/>
          <w:sz w:val="24"/>
          <w:szCs w:val="24"/>
        </w:rPr>
        <w:fldChar w:fldCharType="end"/>
      </w:r>
      <w:r>
        <w:rPr>
          <w:rFonts w:ascii="Times New Roman" w:hAnsi="Times New Roman" w:cs="Times New Roman"/>
          <w:color w:val="000000"/>
          <w:sz w:val="24"/>
          <w:szCs w:val="24"/>
        </w:rPr>
        <w:instrText xml:space="preserve">, gun control </w:instrText>
      </w:r>
      <w:r>
        <w:rPr>
          <w:rFonts w:ascii="Times New Roman" w:hAnsi="Times New Roman" w:cs="Times New Roman"/>
          <w:color w:val="000000"/>
          <w:sz w:val="24"/>
          <w:szCs w:val="24"/>
        </w:rPr>
        <w:fldChar w:fldCharType="begin"/>
      </w:r>
      <w:r>
        <w:rPr>
          <w:rFonts w:ascii="Times New Roman" w:hAnsi="Times New Roman" w:cs="Times New Roman"/>
          <w:color w:val="000000"/>
          <w:sz w:val="24"/>
          <w:szCs w:val="24"/>
        </w:rPr>
        <w:instrText xml:space="preserve"> ADDIN ZOTERO_ITEM CSL_CITATION {"citationID":"RdOqspD7","properties":{"formattedCitation":"(Kahan and Braman 2003)","plainCitation":"(Kahan and Braman 2003)","noteIndex":0},"citationItems":[{"id":3712,"uris":["http://zotero.org/users/176612/items/J92TTFID"],"itemData":{"id":3712,"type":"article-journal","container-title":"University of Pennsylvania Law Review","DOI":"10.2307/3312930","ISSN":"0041-9907","issue":"4","page":"1291-1327","source":"JSTOR","title":"More Statistics, Less Persuasion: A Cultural Theory of Gun-Risk Perceptions","title-short":"More Statistics, Less Persuasion","volume":"151","author":[{"family":"Kahan","given":"Dan M."},{"family":"Braman","given":"Donald"}],"issued":{"date-parts":[["2003"]]}}}],"schema":"https://github.com/citation-style-language/schema/raw/master/csl-citation.json"} </w:instrText>
      </w:r>
      <w:r>
        <w:rPr>
          <w:rFonts w:ascii="Times New Roman" w:hAnsi="Times New Roman" w:cs="Times New Roman"/>
          <w:color w:val="000000"/>
          <w:sz w:val="24"/>
          <w:szCs w:val="24"/>
        </w:rPr>
        <w:fldChar w:fldCharType="separate"/>
      </w:r>
      <w:r>
        <w:rPr>
          <w:rFonts w:ascii="Times New Roman" w:hAnsi="Times New Roman" w:cs="Times New Roman"/>
          <w:color w:val="000000"/>
          <w:sz w:val="24"/>
          <w:szCs w:val="24"/>
        </w:rPr>
        <w:t xml:space="preserve">(Kahan and Braman 2003)</w:t>
      </w:r>
      <w:r>
        <w:rPr>
          <w:rFonts w:ascii="Times New Roman" w:hAnsi="Times New Roman" w:cs="Times New Roman"/>
          <w:color w:val="000000"/>
          <w:sz w:val="24"/>
          <w:szCs w:val="24"/>
        </w:rPr>
        <w:fldChar w:fldCharType="end"/>
      </w:r>
      <w:r>
        <w:rPr>
          <w:rFonts w:ascii="Times New Roman" w:hAnsi="Times New Roman" w:cs="Times New Roman"/>
          <w:color w:val="000000"/>
          <w:sz w:val="24"/>
          <w:szCs w:val="24"/>
        </w:rPr>
        <w:instrText xml:space="preserve">, vaccines </w:instrText>
      </w:r>
      <w:r>
        <w:rPr>
          <w:rFonts w:ascii="Times New Roman" w:hAnsi="Times New Roman" w:cs="Times New Roman"/>
          <w:color w:val="000000"/>
          <w:sz w:val="24"/>
          <w:szCs w:val="24"/>
        </w:rPr>
        <w:fldChar w:fldCharType="begin"/>
      </w:r>
      <w:r>
        <w:rPr>
          <w:rFonts w:ascii="Times New Roman" w:hAnsi="Times New Roman" w:cs="Times New Roman"/>
          <w:color w:val="000000"/>
          <w:sz w:val="24"/>
          <w:szCs w:val="24"/>
        </w:rPr>
        <w:instrText xml:space="preserve"> ADDIN ZOTERO_ITEM CSL_CITATION {"citationID":"st7imeQk","properties":{"formattedCitation":"(Kahan et al. 2010; Song, Silva, and Jenkins-Smith 2014)","plainCitation":"(Kahan et al. 2010; Song, Silva, and Jenkins-Smith 2014)","noteIndex":0},"citationItems":[{"id":3196,"uris":["http://zotero.org/users/176612/items/VKMSF35Z"],"itemData":{"id":3196,"type":"article-journal","container-title":"Law and human behavior","issue":"6","page":"501","source":"Google Scholar","title":"Who fears the HPV vaccine, who doesn’t, and why? An experimental study of the mechanisms of cultural cognition.","title-short":"Who fears the HPV vaccine, who doesn’t, and why?","volume":"34","author":[{"family":"Kahan","given":"Dan M."},{"family":"Braman","given":"Donald"},{"family":"Cohen","given":"Geoffrey L."},{"family":"Gastil","given":"John"},{"family":"Slovic","given":"Paul"}],"issued":{"date-parts":[["2010"]]}}},{"id":3714,"uris":["http://zotero.org/users/176612/items/K2JA6CDI"],"itemData":{"id":3714,"type":"article-journal","abstract":"In the face of the reemerging threat of preventable diseases and the simultaneous vaccine risk controversy, what explains variations in Americans’ policy preferences regarding childhood vaccinations? Using original data from a recent nationwide Internet survey of 1,213 American adults, this research seeks to explain differing public opinions on childhood vaccination policies and related issues of governance. As Mary Douglas and Aaron Wildavsky's grid-group cultural theory of policy preference formation suggests, cultural biases have a significant impact on the formation of preferences toward various vaccination policies. Hierarchs are in support of mandatory vaccination, oppose religious and philosophical exemption, and believe the government should preside over vaccination-related decisions. Fatalists strike a bold contrast in their opposition to mandatory vaccination policy and support for religious and philosophical exemptions and the role of parents in deciding on vaccinations. Falling between hierarchs and fatalists, egalitarian support for vaccinations is stronger than individualists‘.","container-title":"Policy Studies Journal","DOI":"10.1111/psj.12076","ISSN":"1541-0072","issue":"4","journalAbbreviation":"Policy Stud J","language":"en","page":"528-554","source":"Wiley Online Library","title":"Cultural Worldview and Preference for Childhood Vaccination Policy","volume":"42","author":[{"family":"Song","given":"Geoboo"},{"family":"Silva","given":"Carol L."},{"family":"Jenkins-Smith","given":"Hank C."}],"issued":{"date-parts":[["2014",11,1]]}}}],"schema":"https://github.com/citation-style-language/schema/raw/master/csl-citation.json"} </w:instrText>
      </w:r>
      <w:r>
        <w:rPr>
          <w:rFonts w:ascii="Times New Roman" w:hAnsi="Times New Roman" w:cs="Times New Roman"/>
          <w:color w:val="000000"/>
          <w:sz w:val="24"/>
          <w:szCs w:val="24"/>
        </w:rPr>
        <w:fldChar w:fldCharType="separate"/>
      </w:r>
      <w:r>
        <w:rPr>
          <w:rFonts w:ascii="Times New Roman" w:hAnsi="Times New Roman" w:cs="Times New Roman"/>
          <w:color w:val="000000"/>
          <w:sz w:val="24"/>
          <w:szCs w:val="24"/>
        </w:rPr>
        <w:t xml:space="preserve">(Kahan et al. 2010; Song, Silva, and Jenkins-Smith 2014)</w:t>
      </w:r>
      <w:r>
        <w:rPr>
          <w:rFonts w:ascii="Times New Roman" w:hAnsi="Times New Roman" w:cs="Times New Roman"/>
          <w:color w:val="000000"/>
          <w:sz w:val="24"/>
          <w:szCs w:val="24"/>
        </w:rPr>
        <w:fldChar w:fldCharType="end"/>
      </w:r>
      <w:r>
        <w:rPr>
          <w:rFonts w:ascii="Times New Roman" w:hAnsi="Times New Roman" w:cs="Times New Roman"/>
          <w:color w:val="000000"/>
          <w:sz w:val="24"/>
          <w:szCs w:val="24"/>
        </w:rPr>
        <w:instrText xml:space="preserve">, immigration </w:instrText>
      </w:r>
      <w:r>
        <w:rPr>
          <w:rFonts w:ascii="Times New Roman" w:hAnsi="Times New Roman" w:cs="Times New Roman"/>
          <w:color w:val="000000"/>
          <w:sz w:val="24"/>
          <w:szCs w:val="24"/>
        </w:rPr>
        <w:fldChar w:fldCharType="begin"/>
      </w:r>
      <w:r>
        <w:rPr>
          <w:rFonts w:ascii="Times New Roman" w:hAnsi="Times New Roman" w:cs="Times New Roman"/>
          <w:color w:val="000000"/>
          <w:sz w:val="24"/>
          <w:szCs w:val="24"/>
        </w:rPr>
        <w:instrText xml:space="preserve"> ADDIN ZOTERO_ITEM CSL_CITATION {"citationID":"z1fxpz0B","properties":{"formattedCitation":"(Jackson 2014)","plainCitation":"(Jackson 2014)","noteIndex":0},"citationItems":[{"id":3219,"uris":["http://zotero.org/users/176612/items/9RBX9GIT"],"itemData":{"id":3219,"type":"article-journal","abstract":"Objective\n\nThis article addresses the differences in belief systems that drive how moderates and ideologues form their policy preferences. The model put forth posits that while ideologues rely on ideological and partisan cues to form their preferences and respond to survey questions, moderates default to a more primitive source of their worldviews.\n\n\nMethods\n\nThis project uses an anthropological operationalization of cultural worldview to test the model by analyzing the relationships between culture, ideology, and policy preferences for moderates and ideologues separately.\n\n\nResults\n\nResults indicate that the model is supported: moderates rely more heavily on their cultural views while forming and reporting their policy preferences, whereas ideologues rely primarily on their ideological views to form and report policy preferences.\n\n\nConclusion\n\nThere is evidence that partisans and moderates think about their views in fundamentally different ways, which is not fully accounted for in typical models of political behavior.","container-title":"Social Science Quarterly","DOI":"10.1111/ssqu.12136","ISSN":"1540-6237","journalAbbreviation":"Social Science Quarterly","language":"en","license":"© 2014 by the Southwestern Social Science Association","source":"Wiley Online Library","title":"A Theory of Preference Formation Among Ideologues and Nonideologues*","URL":"http://onlinelibrary.wiley.com.ezproxy.lib.ou.edu/doi/10.1111/ssqu.12136/abstract","author":[{"family":"Jackson","given":"Natalie M."}],"accessed":{"date-parts":[["2014",11,24]]},"issued":{"date-parts":[["2014",10,1]]}}}],"schema":"https://github.com/citation-style-language/schema/raw/master/csl-citation.json"} </w:instrText>
      </w:r>
      <w:r>
        <w:rPr>
          <w:rFonts w:ascii="Times New Roman" w:hAnsi="Times New Roman" w:cs="Times New Roman"/>
          <w:color w:val="000000"/>
          <w:sz w:val="24"/>
          <w:szCs w:val="24"/>
        </w:rPr>
        <w:fldChar w:fldCharType="separate"/>
      </w:r>
      <w:r>
        <w:rPr>
          <w:rFonts w:ascii="Times New Roman" w:hAnsi="Times New Roman" w:cs="Times New Roman"/>
          <w:color w:val="000000"/>
          <w:sz w:val="24"/>
          <w:szCs w:val="24"/>
        </w:rPr>
        <w:t xml:space="preserve">(Jackson 2014)</w:t>
      </w:r>
      <w:r>
        <w:rPr>
          <w:rFonts w:ascii="Times New Roman" w:hAnsi="Times New Roman" w:cs="Times New Roman"/>
          <w:color w:val="000000"/>
          <w:sz w:val="24"/>
          <w:szCs w:val="24"/>
        </w:rPr>
        <w:fldChar w:fldCharType="end"/>
      </w:r>
      <w:r>
        <w:rPr>
          <w:rFonts w:ascii="Times New Roman" w:hAnsi="Times New Roman" w:cs="Times New Roman"/>
          <w:color w:val="000000"/>
          <w:sz w:val="24"/>
          <w:szCs w:val="24"/>
        </w:rPr>
        <w:instrText xml:space="preserve">, and abortion </w:instrText>
      </w:r>
      <w:r>
        <w:rPr>
          <w:rFonts w:ascii="Times New Roman" w:hAnsi="Times New Roman" w:cs="Times New Roman"/>
          <w:color w:val="000000"/>
          <w:sz w:val="24"/>
          <w:szCs w:val="24"/>
        </w:rPr>
        <w:fldChar w:fldCharType="begin"/>
      </w:r>
      <w:r>
        <w:rPr>
          <w:rFonts w:ascii="Times New Roman" w:hAnsi="Times New Roman" w:cs="Times New Roman"/>
          <w:color w:val="000000"/>
          <w:sz w:val="24"/>
          <w:szCs w:val="24"/>
        </w:rPr>
        <w:instrText xml:space="preserve"> ADDIN ZOTERO_ITEM CSL_CITATION {"citationID":"3k9v3PIS","properties":{"formattedCitation":"(Stenvoll 2002)","plainCitation":"(Stenvoll 2002)","noteIndex":0},"citationItems":[{"id":3727,"uris":["http://zotero.org/users/176612/items/HNZP8ZAD"],"itemData":{"id":3727,"type":"article-journal","abstract":"Grid-group cultural theory is applied to an empirical analysis of five debates on abortion in the Norwegian Parliament between 1992 and 1996. Policy arguments concerning selective abortion and abortion in general are compared. In the cultural–theoretical literature, restrictive policy arguments towards abortion have been connected to the hierarchical cultural bias, whereas permissive policy arguments have been associated with egalitarian and individualistic worldviews. The empirical analysis, however, shows that there are various different connections between abortion policy arguments and cultural biases. The possibly contradictory situation that arises when parties switch between cultural biases is discussed, and the article concludes that grid-group cultural theory proves useful in relating the various abortion policy arguments to broader worldviews that transcend this particular policy issue.","container-title":"Journal of Comparative Policy Analysis","DOI":"10.1023/A:1020354518437","ISSN":"1387-6988, 1572-5448","issue":"3","journalAbbreviation":"Journal of Comparative Policy Analysis","language":"en","page":"287-304","source":"link.springer.com","title":"Norwegian Politics of Abortion: Perspectives, Arguments, and Values","title-short":"Norwegian Politics of Abortion","volume":"4","author":[{"family":"Stenvoll","given":"Dag"}],"issued":{"date-parts":[["2002",11,1]]}}}],"schema":"https://github.com/citation-style-language/schema/raw/master/csl-citation.json"} </w:instrText>
      </w:r>
      <w:r>
        <w:rPr>
          <w:rFonts w:ascii="Times New Roman" w:hAnsi="Times New Roman" w:cs="Times New Roman"/>
          <w:color w:val="000000"/>
          <w:sz w:val="24"/>
          <w:szCs w:val="24"/>
        </w:rPr>
        <w:fldChar w:fldCharType="separate"/>
      </w:r>
      <w:r>
        <w:rPr>
          <w:rFonts w:ascii="Times New Roman" w:hAnsi="Times New Roman" w:cs="Times New Roman"/>
          <w:color w:val="000000"/>
          <w:sz w:val="24"/>
          <w:szCs w:val="24"/>
        </w:rPr>
        <w:t xml:space="preserve">(Stenvoll 2002)</w:t>
      </w:r>
      <w:r>
        <w:rPr>
          <w:rFonts w:ascii="Times New Roman" w:hAnsi="Times New Roman" w:cs="Times New Roman"/>
          <w:color w:val="000000"/>
          <w:sz w:val="24"/>
          <w:szCs w:val="24"/>
        </w:rPr>
        <w:fldChar w:fldCharType="end"/>
      </w:r>
      <w:r>
        <w:rPr>
          <w:rFonts w:ascii="Times New Roman" w:hAnsi="Times New Roman" w:cs="Times New Roman"/>
          <w:color w:val="000000"/>
          <w:sz w:val="24"/>
          <w:szCs w:val="24"/>
        </w:rPr>
        <w:instrText xml:space="preserve">, as well as the broader policy process theories literature </w:instrText>
      </w:r>
      <w:r>
        <w:rPr>
          <w:rFonts w:ascii="Times New Roman" w:hAnsi="Times New Roman" w:cs="Times New Roman"/>
          <w:color w:val="000000"/>
          <w:sz w:val="24"/>
          <w:szCs w:val="24"/>
        </w:rPr>
        <w:fldChar w:fldCharType="begin"/>
      </w:r>
      <w:r>
        <w:rPr>
          <w:rFonts w:ascii="Times New Roman" w:hAnsi="Times New Roman" w:cs="Times New Roman"/>
          <w:color w:val="000000"/>
          <w:sz w:val="24"/>
          <w:szCs w:val="24"/>
        </w:rPr>
        <w:instrText xml:space="preserve"> ADDIN ZOTERO_ITEM CSL_CITATION {"citationID":"EoUzbGrk","properties":{"formattedCitation":"(Jenkins-Smith et al. 2014; Robinson 2016; Weare, Lichterman, and Esparza 2014)","plainCitation":"(Jenkins-Smith et al. 2014; Robinson 2016; Weare, Lichterman, and Esparza 2014)","noteIndex":0},"citationItems":[{"id":3218,"uris":["http://zotero.org/users/176612/items/ANA8Q5PP"],"itemData":{"id":3218,"type":"article-journal","abstract":"This paper evaluates the prospects for application of the “grid/group” cultural theory (CT), as advanced by Mary Douglas and Aaron Wildavsky, to the Advocacy Coalition Theory (ACF). CT would seem to be relevant to several key aspects of the ACF: the content of the core beliefs that provide the “glue” that binds coalitions; the resilience of core beliefs and associated implications for belief change and learning; and the structure of coalitions and the mechanisms for coordination and control within them. The paper considers the compatibility of the ACF's account of deep core beliefs and coalition structure with that of CT; surveys an array of empirical studies based on variations of CT; and extends accounts of change in cultural identities from CT to the ACF. In addition, we highlight some of the ways in which the ACF may offer important theoretical insights for scholars of CT, potentially clarifying hypotheses concerning the relationships among basic worldviews, more specific beliefs, and behaviors.","container-title":"Policy Studies Journal","DOI":"10.1111/psj.12071","ISSN":"1541-0072","issue":"4","journalAbbreviation":"Policy Stud J","language":"en","license":"© 2014 Policy Studies Organization","page":"484-508","source":"Wiley Online Library","title":"Belief System Continuity and Change in Policy Advocacy Coalitions: Using Cultural Theory to Specify Belief Systems, Coalitions, and Sources of Change","title-short":"Belief System Continuity and Change in Policy Advocacy Coalitions","volume":"42","author":[{"family":"Jenkins-Smith","given":"Hank C."},{"family":"Silva","given":"Carol L."},{"family":"Gupta","given":"Kuhika"},{"family":"Ripberger","given":"Joseph T."}],"issued":{"date-parts":[["2014",11,1]]}}},{"id":10565,"uris":["http://zotero.org/users/176612/items/GJHS52SH"],"itemData":{"id":10565,"type":"article-journal","abstract":"Baumgartner and Jones' theory of conflict expansion highlights the importance of policy imagery in the maintenance of policy subsystems, as a sharp increase in negative imagery can drive conflict expansion and subsystem dissolution. However, we still know relatively little about what drives rapid shifts in image valence. In this study, I examine how cultural change affects receptiveness to policy images, drawing on the cultural theory (CT) developed by Douglas and Wildavsky. Affecting both perception and risk assessment, cultural commitments impact how policy images are received. Returning to the policy subsystem anchored in the Atomic Energy Commission, I find that its imagery – well suited for an earlier cultural milieu – created negative associations for egalitarians, who were increasingly prevalent during this time frame. As my study shows, CT can add to the study of administration by helping us better understand, categorize, and predict which images and institutions may be endangered by specific cultural changes.","container-title":"Public Administration","DOI":"10.1111/padm.12215","ISSN":"1467-9299","issue":"4","language":"en","license":"© 2015 John Wiley &amp; Sons Ltd","note":"_eprint: https://onlinelibrary.wiley.com/doi/pdf/10.1111/padm.12215","page":"953-969","source":"Wiley Online Library","title":"Cultural Change and Policy Images in Policy Subsystems","volume":"94","author":[{"family":"Robinson","given":"Robert R."}],"issued":{"date-parts":[["2016"]]}}},{"id":3214,"uris":["http://zotero.org/users/176612/items/TXVU6GGT"],"itemData":{"id":3214,"type":"article-journal","abstract":"This paper presents a theory of the role of culture in collaborative policy networks. It builds on the literature that analyzes the factors related to the formation, maintenance, and dissolution of collaborative arrangements by demonstrating the importance of hitherto undertheorized cultural factors. Cultural theory indicates that actors with different cultural viewpoints have distinct and predictable biases in terms of their expectations of collaboration and their preferences concerning how collaborative policy networks are structured. These biases, in turn, shape how collaborative partners are chosen and how collaborative relationships are maintained over time. The theory is illustrated with a case study of the rise and dissolution of a coalition within a housing policy network in Los Angeles. The case illustrates that cultural differences can impede collaboration even when organizations share similar policy goals.","container-title":"Policy Studies Journal","DOI":"10.1111/psj.12077","ISSN":"1541-0072","issue":"4","journalAbbreviation":"Policy Stud J","language":"en","license":"© 2014 Policy Studies Organization","page":"590-619","source":"Wiley Online Library","title":"Collaboration and Culture: Organizational Culture and the Dynamics of Collaborative Policy Networks","title-short":"Collaboration and Culture","volume":"42","author":[{"family":"Weare","given":"Christopher"},{"family":"Lichterman","given":"Paul"},{"family":"Esparza","given":"Nicole"}],"issued":{"date-parts":[["2014",11,1]]}}}],"schema":"https://github.com/citation-style-language/schema/raw/master/csl-citation.json"} </w:instrText>
      </w:r>
      <w:r>
        <w:rPr>
          <w:rFonts w:ascii="Times New Roman" w:hAnsi="Times New Roman" w:cs="Times New Roman"/>
          <w:color w:val="000000"/>
          <w:sz w:val="24"/>
          <w:szCs w:val="24"/>
        </w:rPr>
        <w:fldChar w:fldCharType="separate"/>
      </w:r>
      <w:r>
        <w:rPr>
          <w:rFonts w:ascii="Times New Roman" w:hAnsi="Times New Roman" w:cs="Times New Roman"/>
          <w:color w:val="000000"/>
          <w:sz w:val="24"/>
        </w:rPr>
        <w:t xml:space="preserve">(Jenkins-Smith et al. 2014; Robinson 2016; Weare, Lichterman, and Esparza 2014)</w:t>
      </w:r>
      <w:r>
        <w:rPr>
          <w:rFonts w:ascii="Times New Roman" w:hAnsi="Times New Roman" w:cs="Times New Roman"/>
          <w:color w:val="000000"/>
          <w:sz w:val="24"/>
          <w:szCs w:val="24"/>
        </w:rPr>
        <w:fldChar w:fldCharType="end"/>
      </w:r>
      <w:r>
        <w:rPr>
          <w:rFonts w:ascii="Times New Roman" w:hAnsi="Times New Roman" w:cs="Times New Roman"/>
          <w:color w:val="000000"/>
          <w:sz w:val="24"/>
          <w:szCs w:val="24"/>
        </w:rPr>
        <w:instrText xml:space="preserve">. Further, while there are some similarities between CT and political ideology, several studies have demonstrated that CT is a distinct concept that interacts with and works alongside ideology to produce policy preferences within the public, and that including CT improves the explanatory power of empirical models </w:instrText>
      </w:r>
      <w:r>
        <w:rPr>
          <w:rFonts w:ascii="Times New Roman" w:hAnsi="Times New Roman" w:cs="Times New Roman"/>
          <w:color w:val="000000"/>
          <w:sz w:val="24"/>
          <w:szCs w:val="24"/>
        </w:rPr>
        <w:fldChar w:fldCharType="begin"/>
      </w:r>
      <w:r>
        <w:rPr>
          <w:rFonts w:ascii="Times New Roman" w:hAnsi="Times New Roman" w:cs="Times New Roman"/>
          <w:color w:val="000000"/>
          <w:sz w:val="24"/>
          <w:szCs w:val="24"/>
        </w:rPr>
        <w:instrText xml:space="preserve"> ADDIN ZOTERO_ITEM CSL_CITATION {"citationID":"9KZaoV7f","properties":{"formattedCitation":"(Jackson 2014; Michaud, Carlisle, and Smith 2009; Nowlin and Rabovsky 2020; Ripberger et al. 2012; Swedlow and Johnson 2019)","plainCitation":"(Jackson 2014; Michaud, Carlisle, and Smith 2009; Nowlin and Rabovsky 2020; Ripberger et al. 2012; Swedlow and Johnson 2019)","noteIndex":0},"citationItems":[{"id":3219,"uris":["http://zotero.org/users/176612/items/9RBX9GIT"],"itemData":{"id":3219,"type":"article-journal","abstract":"Objective\n\nThis article addresses the differences in belief systems that drive how moderates and ideologues form their policy preferences. The model put forth posits that while ideologues rely on ideological and partisan cues to form their preferences and respond to survey questions, moderates default to a more primitive source of their worldviews.\n\n\nMethods\n\nThis project uses an anthropological operationalization of cultural worldview to test the model by analyzing the relationships between culture, ideology, and policy preferences for moderates and ideologues separately.\n\n\nResults\n\nResults indicate that the model is supported: moderates rely more heavily on their cultural views while forming and reporting their policy preferences, whereas ideologues rely primarily on their ideological views to form and report policy preferences.\n\n\nConclusion\n\nThere is evidence that partisans and moderates think about their views in fundamentally different ways, which is not fully accounted for in typical models of political behavior.","container-title":"Social Science Quarterly","DOI":"10.1111/ssqu.12136","ISSN":"1540-6237","journalAbbreviation":"Social Science Quarterly","language":"en","license":"© 2014 by the Southwestern Social Science Association","source":"Wiley Online Library","title":"A Theory of Preference Formation Among Ideologues and Nonideologues*","URL":"http://onlinelibrary.wiley.com.ezproxy.lib.ou.edu/doi/10.1111/ssqu.12136/abstract","author":[{"family":"Jackson","given":"Natalie M."}],"accessed":{"date-parts":[["2014",11,24]]},"issued":{"date-parts":[["2014",10,1]]}}},{"id":3195,"uris":["http://zotero.org/users/176612/items/RGE5TRNX"],"itemData":{"id":3195,"type":"article-journal","abstract":"Cultural theory maintains that four worldviews—egalitarianism, individualism, hierarchicalism, and fatalism—can be used to describe people and societies. We examine survey measures of two of those worldviews—egalitarianism and individualism—to understand their relationship with belief systems. Contrary to what one might expect based on the cultural theory literature, we find that people with low levels of political knowledge seem not to have coherent worldviews regarding these issues. In contrast, people with high levels of political knowledge respond to egalitarianism and individualism questions as if they were opposite ends of a single, liberal-conservative continuum, rather than two of four distinct worldviews. We conclude that cultural theory researchers should take account of the influence of political knowledge whenever they investigate worldviews.","container-title":"Political Psychology","DOI":"10.1111/j.1467-9221.2008.00679.x","ISSN":"1467-9221","issue":"1","language":"en","license":"© 2009 International Society of Political Psychology","page":"27-42","source":"Wiley Online Library","title":"The Relationship between Cultural Values and Political Ideology, and the Role of Political Knowledge","volume":"30","author":[{"family":"Michaud","given":"Kristy E. H."},{"family":"Carlisle","given":"Juliet E."},{"family":"Smith","given":"Eric R. A. N."}],"issued":{"date-parts":[["2009",2,1]]}}},{"id":4383,"uris":["http://zotero.org/users/176612/items/YF3U6UHV"],"itemData":{"id":4383,"type":"article-journal","abstract":"Objective Political parties provide an important function for a public that is generally seen as not consistently ideological by guiding its thinking about policy issues. In this article, we examine whether the four cultural worldviews derived from grid-group cultural theory—hierarch, egalitarian, individualist, and fatalist—are predictive of partisan attachments and perceptions of climate change risk among the public. Methods Data come from an original survey of the U.S. public conducted in 2011 and 2012. We use regression analysis to examine partisanship and perceived climate change risk; ordered logit to examine party attachment; and mediation analysis to examine the mediating effect of partisanship on cultural worldviews and climate change risk. Results We find that the group-oriented cultural types (egalitarians and hierarchs) are more likely to have stronger party attachments than the nongroup-oriented cultural types (individualists and fatalists). In addition, we find that the mediation effect of party is more pronounced among the group-oriented types than the nongroup oriented. Conclusion Grid-group cultural theory is predictive of both partisanship and policy attitudes and partisanship mediates the influence of cultural worldviews on climate change risk, particularly for those types with group orientations.","container-title":"Social Science Quarterly","DOI":"https://doi.org/10.1111/ssqu.12750","ISSN":"1540-6237","issue":"2","language":"en","license":"© 2019 by the Southwestern Social Science Association","note":"_eprint: https://onlinelibrary.wiley.com/doi/pdf/10.1111/ssqu.12750","page":"878-892","source":"Wiley Online Library","title":"A Cultural Theory of Partisanship and Policy Attitudes","volume":"101","author":[{"family":"Nowlin","given":"Matthew C."},{"family":"Rabovsky","given":"Thomas M."}],"issued":{"date-parts":[["2020"]]}}},{"id":3193,"uris":["http://zotero.org/users/176612/items/A8C8P77W"],"itemData":{"id":3193,"type":"article-journal","abstract":"Objective\n\nSocial scientists from a variety of disciplines have employed concepts drawn from cultural theory (CT) to explain preferences across an array of issues. Recent research has challenged key elements of CT in a number of ways, perhaps most importantly by arguing that cultural types are simply another formulation of political ideology, and that only politically knowledgeable respondents reliably utilize either cultural or ideological categories in formulating preferences. This study reconsiders and expands upon this contention.\n\n\nMethods\n\nPrincipal component analyses of responses to a U.S. national survey of 4,387 people.\n\n\nResults\n\nOur findings are threefold: (1) people with low levels of political knowledge are able to sort egalitarianism and individualism into coherent worldviews; (2) people with high levels of knowledge do not collapse egalitarianism and individualism onto a single scale of political ideology; and (3) regardless of levels of knowledge, survey respondents are able to recognize all four of the value orientations proposed by CT.\n\n\nConclusion\n\nCT, which is related to but different than political ideology, offers a robust system of worldviews that both high- and low-knowledge individuals might draw upon to formulate opinions and make decisions.","container-title":"Social Science Quarterly","DOI":"10.1111/j.1540-6237.2012.00884.x","ISSN":"1540-6237","issue":"3","journalAbbreviation":"Social Science Quarterly","language":"en","license":"© 2012 by the Southwestern Social Science Association","page":"713-731","source":"Wiley Online Library","title":"Reconsidering the Relationship Between Cultural Theory, Political Ideology, and Political Knowledge","volume":"93","author":[{"family":"Ripberger","given":"Joseph T."},{"family":"Song","given":"Geoboo"},{"family":"Nowlin","given":"Matthew C."},{"family":"Jones","given":"Michael D."},{"family":"Jenkins-Smith","given":"Hank C."}],"issued":{"date-parts":[["2012",9,1]]}}},{"id":10822,"uris":["http://zotero.org/users/176612/items/IKFLZHWC"],"itemData":{"id":10822,"type":"article","abstract":"Political values are a central motivation for political behavior, prompting significant research programs in political science and public opinion research, but rigorous efforts to compare any two such research programs are rare, which creates barriers to developing theory and improved explanations. Accordingly, we investigate whether two cultural theories incorporating political values – the cultural theory (CT) developed by Mary Douglas, Aaron Wildavsky, and others and the cultural cognition theory (CCT) developed by Dan Kahan and colleagues – explain variation in political behavior beyond ideology and partisanship and if so which of these cultural theories explains more. We find that while ideology and partisanship explain significant variation in political behavior (here attitudes called risk perceptions regarding abortion, gun control, and the environment, including climate change), cultural political values explain still more, with CT measures explaining more than CCT. We discuss these findings and offer guidance on the further use of these cultural theories in studying political behavior.","DOI":"10.2139/ssrn.3426221","genre":"SSRN Scholarly Paper","language":"en","number":"3426221","publisher":"Social Science Research Network","publisher-place":"Rochester, NY","source":"papers.ssrn.com","title":"The Value-Added by Cultural Theories of Political Values: Comparing Ideology, Partisanship, and Two Cultural Value Explanations","title-short":"The Value-Added by Cultural Theories of Political Values","URL":"https://papers.ssrn.com/abstract=3426221","author":[{"family":"Swedlow","given":"Brendon"},{"family":"Johnson","given":"Branden"}],"accessed":{"date-parts":[["2025",1,2]]},"issued":{"date-parts":[["2019",7,24]]}}}],"schema":"https://github.com/citation-style-language/schema/raw/master/csl-citation.json"} </w:instrText>
      </w:r>
      <w:r>
        <w:rPr>
          <w:rFonts w:ascii="Times New Roman" w:hAnsi="Times New Roman" w:cs="Times New Roman"/>
          <w:color w:val="000000"/>
          <w:sz w:val="24"/>
          <w:szCs w:val="24"/>
        </w:rPr>
        <w:fldChar w:fldCharType="separate"/>
      </w:r>
      <w:r>
        <w:rPr>
          <w:rFonts w:ascii="Times New Roman" w:hAnsi="Times New Roman" w:cs="Times New Roman"/>
          <w:color w:val="000000"/>
          <w:sz w:val="24"/>
        </w:rPr>
        <w:t xml:space="preserve">(Jackson 2014; Michaud, Carlisle, and Smith 2009; Nowlin and Rabovsky 2020; Ripberger et al. 2012; Swedlow and Johnson 2019)</w:t>
      </w:r>
      <w:r>
        <w:rPr>
          <w:rFonts w:ascii="Times New Roman" w:hAnsi="Times New Roman" w:cs="Times New Roman"/>
          <w:color w:val="000000"/>
          <w:sz w:val="24"/>
          <w:szCs w:val="24"/>
        </w:rPr>
        <w:fldChar w:fldCharType="end"/>
      </w:r>
      <w:r>
        <w:rPr>
          <w:rFonts w:ascii="Times New Roman" w:hAnsi="Times New Roman" w:cs="Times New Roman"/>
          <w:color w:val="000000"/>
          <w:sz w:val="24"/>
          <w:szCs w:val="24"/>
        </w:rPr>
        <w:instrText xml:space="preserve">. Most importantly, because CT identifies the causal mechanisms that generate value conflicts around issues such as social order and the importance of following (and imposing) formal rules and procedures, it is particularly well suited to address questions related to tolerance of administrative burdens, which conceptually reference many of the same tensions and may not always be aligned with partisanship or one-dimensional measures of ideology.  </w:instrText>
      </w:r>
    </w:p>
    <w:p>
      <w:pPr>
        <w:pBdr/>
        <w:pStyle w:val="Normal"/>
        <w:spacing w:after="0" w:line="480" w:lineRule="auto"/>
        <w:ind/>
        <w:rPr>
          <w:rFonts w:ascii="Times New Roman" w:hAnsi="Times New Roman" w:cs="Times New Roman"/>
          <w:b/>
          <w:bCs/>
          <w:color w:val="000000"/>
          <w:sz w:val="24"/>
          <w:szCs w:val="24"/>
        </w:rPr>
      </w:pPr>
      <w:r>
        <w:rPr>
          <w:rFonts w:ascii="Times New Roman" w:hAnsi="Times New Roman" w:cs="Times New Roman"/>
          <w:b/>
          <w:bCs/>
          <w:color w:val="000000"/>
          <w:sz w:val="24"/>
          <w:szCs w:val="24"/>
        </w:rPr>
        <w:t xml:space="preserve">Hypotheses</w:t>
      </w:r>
    </w:p>
    <w:p>
      <w:pPr>
        <w:pBdr/>
        <w:pStyle w:val="Normal"/>
        <w:spacing w:after="0" w:line="480" w:lineRule="auto"/>
        <w:ind w:right="432"/>
        <w:rPr>
          <w:rFonts w:ascii="Times New Roman" w:hAnsi="Times New Roman" w:cs="Times New Roman"/>
          <w:color w:val="000000"/>
          <w:sz w:val="24"/>
          <w:szCs w:val="24"/>
        </w:rPr>
      </w:pPr>
      <w:r>
        <w:rPr>
          <w:rFonts w:ascii="Times New Roman" w:hAnsi="Times New Roman" w:cs="Times New Roman"/>
          <w:color w:val="000000"/>
          <w:sz w:val="24"/>
          <w:szCs w:val="24"/>
        </w:rPr>
        <w:tab/>
      </w:r>
      <w:r>
        <w:rPr>
          <w:rFonts w:ascii="Times New Roman" w:hAnsi="Times New Roman" w:cs="Times New Roman"/>
          <w:color w:val="000000"/>
          <w:sz w:val="24"/>
          <w:szCs w:val="24"/>
        </w:rPr>
        <w:t xml:space="preserve">We formulate several hypotheses based on our theoretical expectations related to core beliefs, including CT and political ideology, and previous work on burden tolerance. First, we expect that CT worldview orientations will be related to acceptance of administrative burdens in general. More specifically, we hypothesize that hierarchical worldviews will be associated with greater acceptance of burdens because they prioritize stability and order and place a high premium on following rules established by authorities (see Song, Silva, and Jenkins-Smith 2014 for the case of mandatory childhood vaccination policy). Egalitarian worldviews, in contrast, should have lower acceptance of burdens. For egalitarians, burdens are a threat because they represent barriers for the disadvantaged and vulnerable, jeopardizing social equity goals typically shared by this worldview type </w:t>
      </w:r>
      <w:r>
        <w:rPr>
          <w:rFonts w:ascii="Times New Roman" w:hAnsi="Times New Roman" w:cs="Times New Roman"/>
          <w:color w:val="000000"/>
          <w:sz w:val="24"/>
          <w:szCs w:val="24"/>
        </w:rPr>
        <w:t xml:space="preserve">(Zanocco and Jones 2018). As noted, individualists see government activity as limiting personal choice, individual autonomy, and initiative; therefore, they will likely be more supportive of general burdens that make it more difficult for individuals to rely on government services. Because fatalists tend to present lower trust in authorities and skepticism regarding any form of policy intervention (Guo, Muhetaer, and Hu 2023), we do not have strong expectations about how it will relate to burden tolerance.</w:t>
      </w:r>
    </w:p>
    <w:p>
      <w:pPr>
        <w:pBdr/>
        <w:pStyle w:val="Normal"/>
        <w:spacing w:after="0" w:line="480" w:lineRule="auto"/>
        <w:ind w:left="432" w:right="432"/>
        <w:rPr>
          <w:rFonts w:ascii="Times New Roman" w:hAnsi="Times New Roman" w:cs="Times New Roman"/>
          <w:i/>
          <w:iCs/>
          <w:color w:val="000000"/>
          <w:sz w:val="24"/>
          <w:szCs w:val="24"/>
        </w:rPr>
      </w:pPr>
      <w:r>
        <w:rPr>
          <w:rFonts w:ascii="Times New Roman" w:hAnsi="Times New Roman" w:cs="Times New Roman"/>
          <w:i/>
          <w:iCs/>
          <w:color w:val="000000"/>
          <w:sz w:val="24"/>
          <w:szCs w:val="24"/>
        </w:rPr>
        <w:t xml:space="preserve">H1a: Hierarchical worldview beliefs will be positively associated with acceptance of burdens in general.</w:t>
      </w:r>
    </w:p>
    <w:p>
      <w:pPr>
        <w:pBdr/>
        <w:pStyle w:val="Normal"/>
        <w:spacing w:after="0" w:line="480" w:lineRule="auto"/>
        <w:ind w:left="432" w:right="432"/>
        <w:rPr>
          <w:rFonts w:ascii="Times New Roman" w:hAnsi="Times New Roman" w:cs="Times New Roman"/>
          <w:i/>
          <w:iCs/>
          <w:color w:val="000000"/>
          <w:sz w:val="24"/>
          <w:szCs w:val="24"/>
        </w:rPr>
      </w:pPr>
      <w:r>
        <w:rPr>
          <w:rFonts w:ascii="Times New Roman" w:hAnsi="Times New Roman" w:cs="Times New Roman"/>
          <w:i/>
          <w:iCs/>
          <w:color w:val="000000"/>
          <w:sz w:val="24"/>
          <w:szCs w:val="24"/>
        </w:rPr>
        <w:t xml:space="preserve">H1b: Egalitarian worldview beliefs will be negatively associated with acceptance of burdens in general.</w:t>
      </w:r>
    </w:p>
    <w:p>
      <w:pPr>
        <w:pBdr/>
        <w:pStyle w:val="Normal"/>
        <w:spacing w:after="0" w:line="480" w:lineRule="auto"/>
        <w:ind w:left="432" w:right="432"/>
        <w:rPr>
          <w:rFonts w:ascii="Times New Roman" w:hAnsi="Times New Roman" w:cs="Times New Roman"/>
          <w:i/>
          <w:iCs/>
          <w:color w:val="000000"/>
          <w:sz w:val="24"/>
          <w:szCs w:val="24"/>
        </w:rPr>
      </w:pPr>
      <w:r>
        <w:rPr>
          <w:rFonts w:ascii="Times New Roman" w:hAnsi="Times New Roman" w:cs="Times New Roman"/>
          <w:i/>
          <w:iCs/>
          <w:color w:val="000000"/>
          <w:sz w:val="24"/>
          <w:szCs w:val="24"/>
        </w:rPr>
        <w:t xml:space="preserve">H1c: Individualist worldview beliefs will be positively associated with acceptance of burdens in general.</w:t>
      </w:r>
    </w:p>
    <w:p>
      <w:pPr>
        <w:pBdr/>
        <w:pStyle w:val="Normal"/>
        <w:spacing w:after="0" w:line="480" w:lineRule="auto"/>
        <w:ind w:right="432" w:firstLine="432"/>
        <w:rPr>
          <w:rFonts w:ascii="Times New Roman" w:hAnsi="Times New Roman" w:cs="Times New Roman"/>
          <w:color w:val="000000"/>
          <w:sz w:val="24"/>
          <w:szCs w:val="24"/>
        </w:rPr>
      </w:pPr>
      <w:r>
        <w:rPr>
          <w:rFonts w:ascii="Times New Roman" w:hAnsi="Times New Roman" w:cs="Times New Roman"/>
          <w:color w:val="000000"/>
          <w:sz w:val="24"/>
          <w:szCs w:val="24"/>
        </w:rPr>
        <w:t xml:space="preserve">However, we expect that some of these patterns will change when it comes to accepting burdens related to specific policy areas and programs. First, we hypothesize that egalitarianism will be negatively related to burden tolerance for Supplemental Nutrition Assistance Program (SNAP) and voting procedures but positively associated with burdens related to gun ownership. For egalitarians, burdens on SNAP and voting create unacceptable obstacles preventing low-income and minority populations from equal access or participation (Barnes 2023). However, in the case of gun ownership, greater restrictions appeal to egalitarians because of their perceptions regarding the use of firearms for violence and intimidation, and also because (within the US context) gun violence disproportionately harms vulnerable populations </w:t>
      </w:r>
      <w:r>
        <w:rPr>
          <w:rFonts w:ascii="Times New Roman" w:hAnsi="Times New Roman" w:cs="Times New Roman"/>
          <w:color w:val="000000"/>
          <w:sz w:val="24"/>
          <w:szCs w:val="24"/>
        </w:rPr>
        <w:fldChar w:fldCharType="begin"/>
      </w:r>
      <w:r>
        <w:rPr>
          <w:rFonts w:ascii="Times New Roman" w:hAnsi="Times New Roman" w:cs="Times New Roman"/>
          <w:color w:val="000000"/>
          <w:sz w:val="24"/>
          <w:szCs w:val="24"/>
        </w:rPr>
        <w:instrText xml:space="preserve"> ADDIN ZOTERO_ITEM CSL_CITATION {"citationID":"Nwj7CyeS","properties":{"formattedCitation":"(Kahan and Braman 2003)","plainCitation":"(Kahan and Braman 2003)","noteIndex":0},"citationItems":[{"id":3712,"uris":["http://zotero.org/users/176612/items/J92TTFID"],"itemData":{"id":3712,"type":"article-journal","container-title":"University of Pennsylvania Law Review","DOI":"10.2307/3312930","ISSN":"0041-9907","issue":"4","page":"1291-1327","source":"JSTOR","title":"More Statistics, Less Persuasion: A Cultural Theory of Gun-Risk Perceptions","title-short":"More Statistics, Less Persuasion","volume":"151","author":[{"family":"Kahan","given":"Dan M."},{"family":"Braman","given":"Donald"}],"issued":{"date-parts":[["2003"]]}}}],"schema":"https://github.com/citation-style-language/schema/raw/master/csl-citation.json"} </w:instrText>
      </w:r>
      <w:r>
        <w:rPr>
          <w:rFonts w:ascii="Times New Roman" w:hAnsi="Times New Roman" w:cs="Times New Roman"/>
          <w:color w:val="000000"/>
          <w:sz w:val="24"/>
          <w:szCs w:val="24"/>
        </w:rPr>
        <w:fldChar w:fldCharType="separate"/>
      </w:r>
      <w:r>
        <w:rPr>
          <w:rFonts w:ascii="Times New Roman" w:hAnsi="Times New Roman" w:cs="Times New Roman"/>
          <w:color w:val="000000"/>
          <w:sz w:val="24"/>
          <w:szCs w:val="24"/>
        </w:rPr>
        <w:t xml:space="preserve">(Kahan and Braman 2003)</w:t>
      </w:r>
      <w:r>
        <w:rPr>
          <w:rFonts w:ascii="Times New Roman" w:hAnsi="Times New Roman" w:cs="Times New Roman"/>
          <w:color w:val="000000"/>
          <w:sz w:val="24"/>
          <w:szCs w:val="24"/>
        </w:rPr>
        <w:fldChar w:fldCharType="end"/>
      </w:r>
      <w:r>
        <w:rPr>
          <w:rFonts w:ascii="Times New Roman" w:hAnsi="Times New Roman" w:cs="Times New Roman"/>
          <w:color w:val="000000"/>
          <w:sz w:val="24"/>
          <w:szCs w:val="24"/>
        </w:rPr>
        <w:instrText xml:space="preserve">. For individualists, redistributive social welfare programs such as SNAP are antithetical to the notion that people should be self-reliant and responsible for their own success or failure in the marketplace. Thus, we </w:instrText>
      </w:r>
      <w:r>
        <w:rPr>
          <w:rFonts w:ascii="Times New Roman" w:hAnsi="Times New Roman" w:cs="Times New Roman"/>
          <w:color w:val="000000"/>
          <w:sz w:val="24"/>
          <w:szCs w:val="24"/>
        </w:rPr>
        <w:t xml:space="preserve">expect individualism to be positively associated with tolerance for SNAP burdens. For gun ownership and voting, however, individualists perceive increased rules and regulations as problematic because they limit individual freedom and choice and instead impose paternalistic limitations on citizens. Finally, for hierarchs, the relationship should be consistently positive across all three policy areas because threats related to fraud, abuse, or irresponsible behavior are paramount, and thus, strong administrative controls are warranted.</w:t>
      </w:r>
    </w:p>
    <w:p>
      <w:pPr>
        <w:pBdr/>
        <w:pStyle w:val="Normal"/>
        <w:spacing w:after="0" w:line="480" w:lineRule="auto"/>
        <w:ind w:left="432" w:right="432"/>
        <w:rPr>
          <w:rFonts w:ascii="Times New Roman" w:hAnsi="Times New Roman" w:cs="Times New Roman"/>
          <w:i/>
          <w:iCs/>
          <w:color w:val="000000"/>
          <w:sz w:val="24"/>
          <w:szCs w:val="24"/>
        </w:rPr>
      </w:pPr>
      <w:r>
        <w:rPr>
          <w:rFonts w:ascii="Times New Roman" w:hAnsi="Times New Roman" w:cs="Times New Roman"/>
          <w:i/>
          <w:iCs/>
          <w:color w:val="000000"/>
          <w:sz w:val="24"/>
          <w:szCs w:val="24"/>
        </w:rPr>
        <w:t xml:space="preserve">H2: Egalitarians will be opposed to burdens related to SNAP assistance and voting procedures, but supportive of burdens related to gun ownership.</w:t>
      </w:r>
    </w:p>
    <w:p>
      <w:pPr>
        <w:pBdr/>
        <w:pStyle w:val="Normal"/>
        <w:spacing w:after="0" w:line="480" w:lineRule="auto"/>
        <w:ind w:left="432" w:right="432"/>
        <w:rPr>
          <w:rFonts w:ascii="Times New Roman" w:hAnsi="Times New Roman" w:cs="Times New Roman"/>
          <w:i/>
          <w:iCs/>
          <w:color w:val="000000"/>
          <w:sz w:val="24"/>
          <w:szCs w:val="24"/>
        </w:rPr>
      </w:pPr>
      <w:r>
        <w:rPr>
          <w:rFonts w:ascii="Times New Roman" w:hAnsi="Times New Roman" w:cs="Times New Roman"/>
          <w:i/>
          <w:iCs/>
          <w:color w:val="000000"/>
          <w:sz w:val="24"/>
          <w:szCs w:val="24"/>
        </w:rPr>
        <w:t xml:space="preserve">H3: Individualists will be supportive of burdens related to SNAP assistance but opposed to burdens related to voting rights and gun ownership.</w:t>
      </w:r>
    </w:p>
    <w:p>
      <w:pPr>
        <w:pBdr/>
        <w:pStyle w:val="Normal"/>
        <w:spacing w:after="0" w:line="480" w:lineRule="auto"/>
        <w:ind w:left="432" w:right="432"/>
        <w:rPr>
          <w:rFonts w:ascii="Times New Roman" w:hAnsi="Times New Roman" w:cs="Times New Roman"/>
          <w:i/>
          <w:iCs/>
          <w:color w:val="000000"/>
          <w:sz w:val="24"/>
          <w:szCs w:val="24"/>
        </w:rPr>
      </w:pPr>
      <w:r>
        <w:rPr>
          <w:rFonts w:ascii="Times New Roman" w:hAnsi="Times New Roman" w:cs="Times New Roman"/>
          <w:i/>
          <w:iCs/>
          <w:color w:val="000000"/>
          <w:sz w:val="24"/>
          <w:szCs w:val="24"/>
        </w:rPr>
        <w:t xml:space="preserve">H4: Hierarchs will be supportive of administrative burdens across SNAP assistance, voting, and gun ownership. </w:t>
      </w:r>
    </w:p>
    <w:p>
      <w:pPr>
        <w:pBdr/>
        <w:pStyle w:val="Normal"/>
        <w:spacing w:after="0" w:line="480" w:lineRule="auto"/>
        <w:ind w:right="432" w:firstLine="432"/>
        <w:rPr>
          <w:rFonts w:ascii="Times New Roman" w:hAnsi="Times New Roman" w:cs="Times New Roman"/>
          <w:color w:val="000000"/>
          <w:sz w:val="24"/>
          <w:szCs w:val="24"/>
        </w:rPr>
      </w:pPr>
      <w:r>
        <w:rPr>
          <w:rFonts w:ascii="Times New Roman" w:hAnsi="Times New Roman" w:cs="Times New Roman"/>
          <w:color w:val="000000"/>
          <w:sz w:val="24"/>
          <w:szCs w:val="24"/>
        </w:rPr>
        <w:t xml:space="preserve">We also hypothesize that political ideology will drive perceptions about the appropriateness of burdens. Consistent with prior work, we anticipate that political conservatism will be positively associated with generic burden tolerance and tolerance for burdens on SNAP and voting </w:t>
      </w:r>
      <w:r>
        <w:rPr>
          <w:rFonts w:ascii="Times New Roman" w:hAnsi="Times New Roman" w:cs="Times New Roman"/>
          <w:color w:val="000000"/>
          <w:sz w:val="24"/>
          <w:szCs w:val="24"/>
        </w:rPr>
        <w:fldChar w:fldCharType="begin"/>
      </w:r>
      <w:r>
        <w:rPr>
          <w:rFonts w:ascii="Times New Roman" w:hAnsi="Times New Roman" w:cs="Times New Roman"/>
          <w:color w:val="000000"/>
          <w:sz w:val="24"/>
          <w:szCs w:val="24"/>
        </w:rPr>
        <w:instrText xml:space="preserve"> ADDIN ZOTERO_ITEM CSL_CITATION {"citationID":"1yWbBAy6","properties":{"formattedCitation":"(Ansolabehere and Persily 2008; Halling, Herd, and Moynihan 2023)","plainCitation":"(Ansolabehere and Persily 2008; Halling, Herd, and Moynihan 2023)","noteIndex":0},"citationItems":[{"id":11167,"uris":["http://zotero.org/users/176612/items/2N6KXIR7"],"itemData":{"id":11167,"type":"article-journal","abstract":"In the current debate over the constitutionality of voter identification laws, both the Supreme Court and defenders of such laws have justified them, in part, as counteracting a widespread fear of vote fraud that leads citizens to disengage from the democracy. Because actual evidence of voter impersonation fraud is rare and difficult to come by if fraud is successful, reliance on public opinion as to the prevalence of fraud threatens to allow courts to evade the difficult task of balancing the actual constitutional risks involved. In this Essay we employ a unique survey to evaluate the causes and effects of public opinion regarding vote fraud. We find that perceptions of fraud have no relationship to an individual's likelihood of turning out to vote. We also find that voters who were subject to stricter identification requirements believe fraud is just as widespread as do voters subject to less restrictive identification requirements.","container-title":"Harvard Law Review","ISSN":"0017-811X","issue":"7","page":"1737-1774","publisher":"The Harvard Law Review Association","source":"JSTOR","title":"Vote Fraud in the Eye of the Beholder: The Role of Public Opinion in the Challenge to Voter Identification Requirements","title-short":"Vote Fraud in the Eye of the Beholder","volume":"121","author":[{"family":"Ansolabehere","given":"Stephen"},{"family":"Persily","given":"Nathaniel"}],"issued":{"date-parts":[["2008"]]}},"label":"page"},{"id":10743,"uris":["http://zotero.org/users/176612/items/UCJCIZ3R"],"itemData":{"id":10743,"type":"article-journal","abstract":"There is growing attention to how policymakers and bureaucrats think about administrative burdens, but we know less about public tolerance for burdens. We examine public burden tolerance in two major programmes (Medicaid and SNAP) using a representative sample of US residents. We show broad support for work requirements and weaker support for generally making it difficult to access benefits. People with conservative beliefs, greater opposition to social policies, and higher income are more tolerant of burdens in social policies. Those who have personal experience of welfare policies are less tolerant of burdens.","container-title":"Public Management Review","DOI":"10.1080/14719037.2022.2056910","ISSN":"1471-9037","issue":"11","note":"_eprint: https://doi.org/10.1080/14719037.2022.2056910","page":"2053–2072","publisher":"Routledge","source":"Taylor and Francis+NEJM","title":"How difficult should it be? Evidence of burden tolerance from a nationally representative sample","title-short":"How difficult should it be?","volume":"25","author":[{"family":"Halling","given":"Aske"},{"family":"Herd","given":"Pamela"},{"family":"Moynihan","given":"Donald"}],"issued":{"date-parts":[["2023",11,2]]}},"label":"page"}],"schema":"https://github.com/citation-style-language/schema/raw/master/csl-citation.json"} </w:instrText>
      </w:r>
      <w:r>
        <w:rPr>
          <w:rFonts w:ascii="Times New Roman" w:hAnsi="Times New Roman" w:cs="Times New Roman"/>
          <w:color w:val="000000"/>
          <w:sz w:val="24"/>
          <w:szCs w:val="24"/>
        </w:rPr>
        <w:fldChar w:fldCharType="separate"/>
      </w:r>
      <w:r>
        <w:rPr>
          <w:rFonts w:ascii="Times New Roman" w:hAnsi="Times New Roman" w:cs="Times New Roman"/>
          <w:color w:val="000000"/>
          <w:sz w:val="24"/>
        </w:rPr>
        <w:t xml:space="preserve">(Ansolabehere and Persily 2008; Halling, Herd, and Moynihan 2023)</w:t>
      </w:r>
      <w:r>
        <w:rPr>
          <w:rFonts w:ascii="Times New Roman" w:hAnsi="Times New Roman" w:cs="Times New Roman"/>
          <w:color w:val="000000"/>
          <w:sz w:val="24"/>
          <w:szCs w:val="24"/>
        </w:rPr>
        <w:fldChar w:fldCharType="end"/>
      </w:r>
      <w:r>
        <w:rPr>
          <w:rFonts w:ascii="Times New Roman" w:hAnsi="Times New Roman" w:cs="Times New Roman"/>
          <w:color w:val="000000"/>
          <w:sz w:val="24"/>
          <w:szCs w:val="24"/>
        </w:rPr>
        <w:instrText xml:space="preserve">. For gun ownership, however, because conservatives are ideologically opposed to gun control policies, we expect that conservatism will be negatively associated with tolerance. </w:instrText>
      </w:r>
    </w:p>
    <w:p>
      <w:pPr>
        <w:pBdr/>
        <w:pStyle w:val="Normal"/>
        <w:spacing w:after="0" w:line="480" w:lineRule="auto"/>
        <w:ind w:left="432" w:right="432"/>
        <w:rPr>
          <w:rFonts w:ascii="Times New Roman" w:hAnsi="Times New Roman" w:cs="Times New Roman"/>
          <w:i/>
          <w:iCs/>
          <w:color w:val="000000"/>
          <w:sz w:val="24"/>
          <w:szCs w:val="24"/>
        </w:rPr>
      </w:pPr>
      <w:r>
        <w:rPr>
          <w:rFonts w:ascii="Times New Roman" w:hAnsi="Times New Roman" w:cs="Times New Roman"/>
          <w:i/>
          <w:iCs/>
          <w:color w:val="000000"/>
          <w:sz w:val="24"/>
          <w:szCs w:val="24"/>
        </w:rPr>
        <w:t xml:space="preserve">H5a: Conservative political ideology will be positively associated with more acceptance of burdens in general.</w:t>
      </w:r>
    </w:p>
    <w:p>
      <w:pPr>
        <w:pBdr/>
        <w:pStyle w:val="Normal"/>
        <w:spacing w:after="0" w:line="480" w:lineRule="auto"/>
        <w:ind w:left="432" w:right="432"/>
        <w:rPr>
          <w:rFonts w:ascii="Times New Roman" w:hAnsi="Times New Roman" w:cs="Times New Roman"/>
          <w:i/>
          <w:iCs/>
          <w:color w:val="000000"/>
          <w:sz w:val="24"/>
          <w:szCs w:val="24"/>
        </w:rPr>
      </w:pPr>
      <w:r>
        <w:rPr>
          <w:rFonts w:ascii="Times New Roman" w:hAnsi="Times New Roman" w:cs="Times New Roman"/>
          <w:i/>
          <w:iCs/>
          <w:color w:val="000000"/>
          <w:sz w:val="24"/>
          <w:szCs w:val="24"/>
        </w:rPr>
        <w:t xml:space="preserve">H5b: Conservative political ideology will be positively associated with tolerance of administrative burdens for SNAP and voting, but negatively associated with those for gun ownership. </w:t>
      </w:r>
    </w:p>
    <w:p>
      <w:pPr>
        <w:pBdr/>
        <w:pStyle w:val="Normal"/>
        <w:spacing w:after="0" w:line="480" w:lineRule="auto"/>
        <w:ind w:right="432" w:firstLine="432"/>
        <w:rPr>
          <w:rFonts w:ascii="Times New Roman" w:hAnsi="Times New Roman" w:cs="Times New Roman"/>
          <w:sz w:val="24"/>
          <w:szCs w:val="24"/>
        </w:rPr>
      </w:pPr>
      <w:r>
        <w:rPr>
          <w:rFonts w:ascii="Times New Roman" w:hAnsi="Times New Roman" w:cs="Times New Roman"/>
          <w:color w:val="000000"/>
          <w:sz w:val="24"/>
          <w:szCs w:val="24"/>
        </w:rPr>
        <w:t xml:space="preserve">Finally, </w:t>
      </w:r>
      <w:r>
        <w:rPr>
          <w:rFonts w:ascii="Times New Roman" w:hAnsi="Times New Roman" w:cs="Times New Roman"/>
          <w:sz w:val="24"/>
          <w:szCs w:val="24"/>
        </w:rPr>
        <w:t xml:space="preserve">we hypothesize that general burden tolerance will be associated with greater acceptance of burdens across the three policy areas.</w:t>
      </w:r>
    </w:p>
    <w:p>
      <w:pPr>
        <w:pBdr/>
        <w:pStyle w:val="Normal"/>
        <w:spacing w:after="0" w:line="480" w:lineRule="auto"/>
        <w:ind w:left="432" w:right="432"/>
        <w:rPr>
          <w:rFonts w:ascii="Times New Roman" w:hAnsi="Times New Roman" w:cs="Times New Roman"/>
          <w:i/>
          <w:iCs/>
          <w:sz w:val="24"/>
          <w:szCs w:val="24"/>
        </w:rPr>
      </w:pPr>
      <w:r>
        <w:rPr>
          <w:rFonts w:ascii="Times New Roman" w:hAnsi="Times New Roman" w:cs="Times New Roman"/>
          <w:i/>
          <w:iCs/>
          <w:sz w:val="24"/>
          <w:szCs w:val="24"/>
        </w:rPr>
        <w:t xml:space="preserve">H6: Higher general tolerance of burdens will be associated with greater tolerance of burdens across policy areas. </w:t>
      </w:r>
    </w:p>
    <w:p>
      <w:pPr>
        <w:pBdr/>
        <w:pStyle w:val="Normal"/>
        <w:spacing w:after="0" w:line="480" w:lineRule="auto"/>
        <w:ind/>
        <w:rPr>
          <w:rFonts w:ascii="Times New Roman" w:hAnsi="Times New Roman" w:cs="Times New Roman"/>
          <w:b/>
          <w:bCs/>
          <w:color w:val="000000"/>
          <w:sz w:val="24"/>
          <w:szCs w:val="24"/>
        </w:rPr>
      </w:pPr>
      <w:r>
        <w:rPr>
          <w:rFonts w:ascii="Times New Roman" w:hAnsi="Times New Roman" w:cs="Times New Roman"/>
          <w:b/>
          <w:bCs/>
          <w:color w:val="000000"/>
          <w:sz w:val="24"/>
          <w:szCs w:val="24"/>
        </w:rPr>
        <w:t xml:space="preserve">Data and Methods</w:t>
      </w:r>
    </w:p>
    <w:p>
      <w:pPr>
        <w:pBdr/>
        <w:pStyle w:val="Normal"/>
        <w:spacing w:after="0" w:line="480" w:lineRule="auto"/>
        <w:ind w:firstLine="720"/>
        <w:rPr>
          <w:rFonts w:ascii="Times New Roman" w:hAnsi="Times New Roman" w:cs="Times New Roman"/>
          <w:color w:val="000000"/>
          <w:sz w:val="24"/>
          <w:szCs w:val="24"/>
        </w:rPr>
      </w:pPr>
      <w:r>
        <w:rPr>
          <w:rFonts w:ascii="Times New Roman" w:hAnsi="Times New Roman" w:cs="Times New Roman"/>
          <w:color w:val="000000"/>
          <w:sz w:val="24"/>
          <w:szCs w:val="24"/>
        </w:rPr>
        <w:t xml:space="preserve">Data for this study come from a nationally representative online survey of 1,210 adult American residents recruited via CloudResearch and administered via Qualtrics, collected in March of 2025. Respondents were financially compensated for participating, and we used the Qualtrics response quality tool to check for abnormally fast responses and other indicators of poor data, such as unusual patterns of non-response, and to filter out responses flagged as likely from bots. </w:t>
      </w:r>
    </w:p>
    <w:p>
      <w:pPr>
        <w:pBdr/>
        <w:pStyle w:val="Normal"/>
        <w:spacing w:after="0" w:line="480" w:lineRule="auto"/>
        <w:ind w:firstLine="720"/>
        <w:rPr>
          <w:rFonts w:ascii="Times New Roman" w:hAnsi="Times New Roman" w:cs="Times New Roman"/>
          <w:color w:val="000000"/>
          <w:sz w:val="24"/>
          <w:szCs w:val="24"/>
        </w:rPr>
      </w:pPr>
      <w:r>
        <w:rPr>
          <w:rFonts w:ascii="Times New Roman" w:hAnsi="Times New Roman" w:cs="Times New Roman"/>
          <w:color w:val="000000"/>
          <w:sz w:val="24"/>
          <w:szCs w:val="24"/>
        </w:rPr>
        <w:t xml:space="preserve">For general burden tolerance, we use the 4-</w:t>
      </w:r>
      <w:r>
        <w:rPr>
          <w:rFonts w:ascii="Times New Roman" w:hAnsi="Times New Roman" w:cs="Times New Roman"/>
          <w:color w:val="000000"/>
          <w:sz w:val="24"/>
          <w:szCs w:val="24"/>
        </w:rPr>
        <w:t xml:space="preserve">item scale validated by Baekgaard, Halling, and Moynihan (2025), which asks respondents to indicate whether they agree or disagree (1= strongly disagree, 5 = strongly agree) with a series of statements about the acceptability of administrative burdens in government service provision (exact question wording is listed in the appendix table A1). Cronbach’s alpha for the general burden tolerance index was 0.82.</w:t>
      </w:r>
    </w:p>
    <w:p>
      <w:pPr>
        <w:pBdr/>
        <w:pStyle w:val="Normal"/>
        <w:spacing w:after="0" w:line="480" w:lineRule="auto"/>
        <w:ind w:firstLine="720"/>
        <w:rPr>
          <w:rFonts w:ascii="Times New Roman" w:hAnsi="Times New Roman" w:cs="Times New Roman"/>
          <w:color w:val="000000"/>
          <w:sz w:val="24"/>
          <w:szCs w:val="24"/>
        </w:rPr>
      </w:pPr>
      <w:r>
        <w:rPr>
          <w:rFonts w:ascii="Times New Roman" w:hAnsi="Times New Roman" w:cs="Times New Roman"/>
          <w:color w:val="000000"/>
          <w:sz w:val="24"/>
          <w:szCs w:val="24"/>
        </w:rPr>
        <w:t xml:space="preserve">Next, respondents were provided with a series of statements about different kinds of burdens across three policy areas: voting, SNAP (food stamps), and gun ownership, and were asked how much they support implementing those burdens (0 = Not at all; 10 = Strongly support). We selected these policy areas because they are politically salient, such that members of the public are at least somewhat familiar with them and thus have opinions about some of the potential burdens involved, and because they vary in terms of the political coalitions supporting and opposing them (see appendix for wording). We created an index measuring the degree of support for more restrictive policies for each policy area. We calculated Cronbach’s alpha for </w:t>
      </w:r>
      <w:r>
        <w:rPr>
          <w:rFonts w:ascii="Times New Roman" w:hAnsi="Times New Roman" w:cs="Times New Roman"/>
          <w:color w:val="000000"/>
          <w:sz w:val="24"/>
          <w:szCs w:val="24"/>
        </w:rPr>
        <w:t xml:space="preserve">each, and they are all within the acceptable range (voting = 0.83, SNAP = 0.79, gun ownership = 0.91). On average, respondents indicated opposition to burdens in general (mean = 2.4, on the 1 to 5 scale). Within the policy-</w:t>
      </w:r>
      <w:r>
        <w:rPr>
          <w:rFonts w:ascii="Times New Roman" w:hAnsi="Times New Roman" w:cs="Times New Roman"/>
          <w:color w:val="000000"/>
          <w:sz w:val="24"/>
          <w:szCs w:val="24"/>
        </w:rPr>
        <w:t xml:space="preserve">specific burdens, respondents were generally supportive of more burdens when it comes to gun ownership (mean = 8.04, on the 0 to 10 scale), while opinions about burdens related to voting (mean=3.88) and SNAP benefits (mean = 3.81) are much more mixed. </w:t>
      </w:r>
    </w:p>
    <w:p>
      <w:pPr>
        <w:pBdr/>
        <w:pStyle w:val="Normal"/>
        <w:spacing w:after="0" w:line="480" w:lineRule="auto"/>
        <w:ind/>
        <w:rPr>
          <w:rFonts w:ascii="Times New Roman" w:hAnsi="Times New Roman" w:cs="Times New Roman"/>
          <w:i/>
          <w:iCs/>
          <w:color w:val="000000"/>
          <w:sz w:val="24"/>
          <w:szCs w:val="24"/>
        </w:rPr>
      </w:pPr>
      <w:r>
        <w:rPr>
          <w:rFonts w:ascii="Times New Roman" w:hAnsi="Times New Roman" w:cs="Times New Roman"/>
          <w:i/>
          <w:iCs/>
          <w:color w:val="000000"/>
          <w:sz w:val="24"/>
          <w:szCs w:val="24"/>
        </w:rPr>
        <w:t xml:space="preserve">Cultural Theory and Political Ideology</w:t>
      </w:r>
    </w:p>
    <w:p>
      <w:pPr>
        <w:pBdr/>
        <w:pStyle w:val="Normal"/>
        <w:spacing w:after="0" w:line="480" w:lineRule="auto"/>
        <w:ind w:firstLine="720"/>
        <w:rPr>
          <w:rFonts w:ascii="Times New Roman" w:hAnsi="Times New Roman" w:cs="Times New Roman"/>
          <w:color w:val="000000"/>
          <w:sz w:val="24"/>
          <w:szCs w:val="24"/>
        </w:rPr>
      </w:pPr>
      <w:r>
        <w:rPr>
          <w:rFonts w:ascii="Times New Roman" w:hAnsi="Times New Roman" w:cs="Times New Roman"/>
          <w:color w:val="000000"/>
          <w:sz w:val="24"/>
          <w:szCs w:val="24"/>
        </w:rPr>
        <w:t xml:space="preserve">We measure cultural theory orientations with a set of survey questions, shown in Table 1, that ask respondents to rate the degree to which statement representing each of the worldview orientations describe their outlook on life on a scale from 0 (not at all) to 10 (completely) (item order was randomized; see Table 1 for exact wording). For political ideology, we use a 5-point Likert scale ranging from 1 (strongly liberal) to 5 (strongly conservative). </w:t>
      </w:r>
    </w:p>
    <w:p>
      <w:pPr>
        <w:pBdr/>
        <w:pStyle w:val="Normal"/>
        <w:spacing w:after="0" w:line="480" w:lineRule="auto"/>
        <w:ind w:firstLine="720"/>
        <w:rPr>
          <w:rFonts w:ascii="Times New Roman" w:hAnsi="Times New Roman" w:cs="Times New Roman"/>
          <w:i/>
          <w:iCs/>
          <w:color w:val="000000"/>
          <w:sz w:val="24"/>
          <w:szCs w:val="24"/>
        </w:rPr>
      </w:pPr>
    </w:p>
    <w:p>
      <w:pPr>
        <w:pBdr/>
        <w:pStyle w:val="Normal"/>
        <w:spacing w:after="0" w:line="276" w:lineRule="auto"/>
        <w:ind w:firstLine="720"/>
        <w:jc w:val="center"/>
        <w:rPr>
          <w:rFonts w:ascii="Times New Roman" w:hAnsi="Times New Roman" w:cs="Times New Roman"/>
          <w:b/>
          <w:bCs/>
          <w:color w:val="000000"/>
          <w:sz w:val="24"/>
          <w:szCs w:val="24"/>
        </w:rPr>
      </w:pPr>
      <w:r>
        <w:rPr>
          <w:rFonts w:ascii="Times New Roman" w:hAnsi="Times New Roman" w:cs="Times New Roman"/>
          <w:b/>
          <w:bCs/>
          <w:color w:val="000000"/>
          <w:sz w:val="24"/>
          <w:szCs w:val="24"/>
        </w:rPr>
        <w:t xml:space="preserve">Table 1: Cultural Theory Worldview Statements</w:t>
      </w:r>
    </w:p>
    <w:tbl>
      <w:tblPr>
        <w:tblStyle w:val="Table Grid"/>
        <w:tblW w:w="0" w:type="auto"/>
        <w:jc w:val="left"/>
        <w:tblInd w:w="0" w:type="dxa"/>
        <w:tblCellMar>
          <w:top w:w="0" w:type="dxa"/>
          <w:left w:w="108" w:type="dxa"/>
          <w:bottom w:w="0" w:type="dxa"/>
          <w:right w:w="108"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fill="auto" w:color="auto"/>
      </w:tblPr>
      <w:tblGrid>
        <w:gridCol w:w="1756"/>
        <w:gridCol w:w="7604"/>
      </w:tblGrid>
      <w:tr>
        <w:tblPrEx>
          <w:tblBorders/>
        </w:tblPrEx>
        <w:trPr>
          <w:trHeight w:hRule="atLeast" w:val="20"/>
        </w:trPr>
        <w:tc>
          <w:tcPr>
            <w:tcW w:type="auto" w:w="0"/>
            <w:tcBorders/>
            <w:shd w:fill="auto" w:color="auto"/>
            <w:vAlign w:val="bottom"/>
          </w:tcPr>
          <w:p>
            <w:pPr>
              <w:pBdr/>
              <w:pStyle w:val="Normal"/>
              <w:spacing w:after="0" w:line="360" w:lineRule="auto"/>
              <w:ind/>
              <w:rPr>
                <w:rFonts w:ascii="Times New Roman" w:hAnsi="Times New Roman" w:cs="Times New Roman"/>
                <w:b/>
                <w:bCs/>
                <w:color w:val="000000"/>
                <w:sz w:val="24"/>
                <w:szCs w:val="24"/>
              </w:rPr>
            </w:pPr>
            <w:r>
              <w:rPr>
                <w:rFonts w:ascii="Times New Roman" w:hAnsi="Times New Roman" w:cs="Times New Roman"/>
                <w:b/>
                <w:bCs/>
                <w:color w:val="000000"/>
                <w:sz w:val="24"/>
                <w:szCs w:val="24"/>
              </w:rPr>
              <w:t xml:space="preserve">CT Type</w:t>
            </w:r>
          </w:p>
        </w:tc>
        <w:tc>
          <w:tcPr>
            <w:tcW w:type="auto" w:w="0"/>
            <w:tcBorders/>
            <w:shd w:fill="auto" w:color="auto"/>
            <w:vAlign w:val="center"/>
          </w:tcPr>
          <w:p>
            <w:pPr>
              <w:pBdr/>
              <w:pStyle w:val="Normal"/>
              <w:spacing w:after="0" w:line="360" w:lineRule="auto"/>
              <w:ind/>
              <w:jc w:val="center"/>
              <w:rPr>
                <w:rFonts w:ascii="Times New Roman" w:hAnsi="Times New Roman" w:cs="Times New Roman"/>
                <w:b/>
                <w:bCs/>
                <w:color w:val="000000"/>
                <w:sz w:val="24"/>
                <w:szCs w:val="24"/>
              </w:rPr>
            </w:pPr>
            <w:r>
              <w:rPr>
                <w:rFonts w:ascii="Times New Roman" w:hAnsi="Times New Roman" w:cs="Times New Roman"/>
                <w:b/>
                <w:bCs/>
                <w:color w:val="000000"/>
                <w:sz w:val="24"/>
                <w:szCs w:val="24"/>
              </w:rPr>
              <w:t xml:space="preserve">Statement</w:t>
            </w:r>
          </w:p>
        </w:tc>
      </w:tr>
      <w:tr>
        <w:tblPrEx>
          <w:tblBorders/>
        </w:tblPrEx>
        <w:trPr>
          <w:trHeight w:hRule="atLeast" w:val="20"/>
        </w:trPr>
        <w:tc>
          <w:tcPr>
            <w:tcW w:type="auto" w:w="0"/>
            <w:tcBorders/>
            <w:shd w:fill="auto" w:color="auto"/>
            <w:vAlign w:val="center"/>
          </w:tcPr>
          <w:p>
            <w:pPr>
              <w:pBdr/>
              <w:pStyle w:val="Normal"/>
              <w:spacing w:after="0" w:line="360" w:lineRule="auto"/>
              <w:ind/>
              <w:rPr>
                <w:rFonts w:ascii="Times New Roman" w:hAnsi="Times New Roman" w:cs="Times New Roman"/>
                <w:b/>
                <w:bCs/>
                <w:color w:val="000000"/>
                <w:sz w:val="24"/>
                <w:szCs w:val="24"/>
              </w:rPr>
            </w:pPr>
            <w:r>
              <w:rPr>
                <w:rFonts w:ascii="Times New Roman" w:hAnsi="Times New Roman" w:cs="Times New Roman"/>
                <w:b/>
                <w:bCs/>
                <w:color w:val="000000"/>
                <w:sz w:val="24"/>
                <w:szCs w:val="24"/>
              </w:rPr>
              <w:t xml:space="preserve">Hierarchism</w:t>
            </w:r>
          </w:p>
        </w:tc>
        <w:tc>
          <w:tcPr>
            <w:tcW w:type="auto" w:w="0"/>
            <w:tcBorders/>
            <w:shd w:fill="auto" w:color="auto"/>
            <w:vAlign w:val="top"/>
          </w:tcPr>
          <w:p>
            <w:pPr>
              <w:pBdr/>
              <w:pStyle w:val="Normal"/>
              <w:spacing w:after="0" w:line="360" w:lineRule="auto"/>
              <w:ind/>
              <w:rPr>
                <w:rFonts w:ascii="Times New Roman" w:hAnsi="Times New Roman" w:cs="Times New Roman"/>
                <w:i/>
                <w:iCs/>
                <w:color w:val="000000"/>
                <w:sz w:val="24"/>
                <w:szCs w:val="24"/>
              </w:rPr>
            </w:pPr>
            <w:r>
              <w:rPr>
                <w:rFonts w:ascii="Times New Roman" w:hAnsi="Times New Roman" w:cs="Times New Roman"/>
                <w:i/>
                <w:iCs/>
                <w:color w:val="000000"/>
                <w:sz w:val="24"/>
                <w:szCs w:val="24"/>
              </w:rPr>
              <w:t xml:space="preserve">I am more comfortable when I know who is, and who is not, a part of my group, and loyalty to the group is important to me. I prefer to know who is in charge and to have clear rules and procedures; those who are in charge should punish those who break the rules. I like to have my responsibilities clearly defined, and I believe people should be rewarded based on the position they hold and their competence. Most of the time, I trust those with authority and expertise to do what is right for society.</w:t>
            </w:r>
          </w:p>
        </w:tc>
      </w:tr>
      <w:tr>
        <w:tblPrEx>
          <w:tblBorders/>
        </w:tblPrEx>
        <w:trPr>
          <w:trHeight w:hRule="atLeast" w:val="20"/>
        </w:trPr>
        <w:tc>
          <w:tcPr>
            <w:tcW w:type="auto" w:w="0"/>
            <w:tcBorders/>
            <w:shd w:fill="auto" w:color="auto"/>
            <w:vAlign w:val="center"/>
          </w:tcPr>
          <w:p>
            <w:pPr>
              <w:pBdr/>
              <w:pStyle w:val="Normal"/>
              <w:spacing w:after="0" w:line="360" w:lineRule="auto"/>
              <w:ind/>
              <w:rPr>
                <w:rFonts w:ascii="Times New Roman" w:hAnsi="Times New Roman" w:cs="Times New Roman"/>
                <w:b/>
                <w:bCs/>
                <w:color w:val="000000"/>
                <w:sz w:val="24"/>
                <w:szCs w:val="24"/>
              </w:rPr>
            </w:pPr>
            <w:r>
              <w:rPr>
                <w:rFonts w:ascii="Times New Roman" w:hAnsi="Times New Roman" w:cs="Times New Roman"/>
                <w:b/>
                <w:bCs/>
                <w:color w:val="000000"/>
                <w:sz w:val="24"/>
                <w:szCs w:val="24"/>
              </w:rPr>
              <w:t xml:space="preserve">Individualism</w:t>
            </w:r>
          </w:p>
        </w:tc>
        <w:tc>
          <w:tcPr>
            <w:tcW w:type="auto" w:w="0"/>
            <w:tcBorders/>
            <w:shd w:fill="auto" w:color="auto"/>
            <w:vAlign w:val="top"/>
          </w:tcPr>
          <w:p>
            <w:pPr>
              <w:pBdr/>
              <w:pStyle w:val="Normal"/>
              <w:spacing w:after="0" w:line="360" w:lineRule="auto"/>
              <w:ind/>
              <w:rPr>
                <w:rFonts w:ascii="Times New Roman" w:hAnsi="Times New Roman" w:cs="Times New Roman"/>
                <w:i/>
                <w:iCs/>
                <w:color w:val="000000"/>
                <w:sz w:val="24"/>
                <w:szCs w:val="24"/>
              </w:rPr>
            </w:pPr>
            <w:r>
              <w:rPr>
                <w:rFonts w:ascii="Times New Roman" w:hAnsi="Times New Roman" w:cs="Times New Roman"/>
                <w:i/>
                <w:iCs/>
                <w:color w:val="000000"/>
                <w:sz w:val="24"/>
                <w:szCs w:val="24"/>
              </w:rPr>
              <w:t xml:space="preserve">Groups are not all that important to me. I prefer to make my own way in life without having to follow other peoples’ rules. Rewards in life should be based on initiative, skill, and hard work, even if that results in inequality. I respect people based on what they do, not the positions or titles they hold. I like relationships that are based on negotiated “give and take,” rather than </w:t>
            </w:r>
            <w:r>
              <w:rPr>
                <w:rFonts w:ascii="Times New Roman" w:hAnsi="Times New Roman" w:cs="Times New Roman"/>
                <w:i/>
                <w:iCs/>
                <w:color w:val="000000"/>
                <w:sz w:val="24"/>
                <w:szCs w:val="24"/>
              </w:rPr>
              <w:t xml:space="preserve">on status. Everyone benefits when individuals are allowed to compete.</w:t>
            </w:r>
          </w:p>
        </w:tc>
      </w:tr>
      <w:tr>
        <w:tblPrEx>
          <w:tblBorders/>
        </w:tblPrEx>
        <w:trPr>
          <w:trHeight w:hRule="atLeast" w:val="20"/>
        </w:trPr>
        <w:tc>
          <w:tcPr>
            <w:tcW w:type="auto" w:w="0"/>
            <w:tcBorders/>
            <w:shd w:fill="auto" w:color="auto"/>
            <w:vAlign w:val="center"/>
          </w:tcPr>
          <w:p>
            <w:pPr>
              <w:pBdr/>
              <w:pStyle w:val="Normal"/>
              <w:spacing w:after="0" w:line="360" w:lineRule="auto"/>
              <w:ind/>
              <w:rPr>
                <w:rFonts w:ascii="Times New Roman" w:hAnsi="Times New Roman" w:cs="Times New Roman"/>
                <w:b/>
                <w:bCs/>
                <w:color w:val="000000"/>
                <w:sz w:val="24"/>
                <w:szCs w:val="24"/>
              </w:rPr>
            </w:pPr>
            <w:r>
              <w:rPr>
                <w:rFonts w:ascii="Times New Roman" w:hAnsi="Times New Roman" w:cs="Times New Roman"/>
                <w:b/>
                <w:bCs/>
                <w:color w:val="000000"/>
                <w:sz w:val="24"/>
                <w:szCs w:val="24"/>
              </w:rPr>
              <w:t xml:space="preserve">Egalitarianism</w:t>
            </w:r>
          </w:p>
        </w:tc>
        <w:tc>
          <w:tcPr>
            <w:tcW w:type="auto" w:w="0"/>
            <w:tcBorders/>
            <w:shd w:fill="auto" w:color="auto"/>
            <w:vAlign w:val="top"/>
          </w:tcPr>
          <w:p>
            <w:pPr>
              <w:pBdr/>
              <w:pStyle w:val="Normal"/>
              <w:spacing w:after="0" w:line="360" w:lineRule="auto"/>
              <w:ind/>
              <w:rPr>
                <w:rFonts w:ascii="Times New Roman" w:hAnsi="Times New Roman" w:cs="Times New Roman"/>
                <w:i/>
                <w:iCs/>
                <w:color w:val="000000"/>
                <w:sz w:val="24"/>
                <w:szCs w:val="24"/>
              </w:rPr>
            </w:pPr>
            <w:r>
              <w:rPr>
                <w:rFonts w:ascii="Times New Roman" w:hAnsi="Times New Roman" w:cs="Times New Roman"/>
                <w:i/>
                <w:iCs/>
                <w:color w:val="000000"/>
                <w:sz w:val="24"/>
                <w:szCs w:val="24"/>
              </w:rPr>
              <w:t xml:space="preserve">My most important contributions are made as a member of a group that promotes justice and equality. Within my group, everyone should play an equal role without differences in rank or authority. It is easy to lose track of what is important, so I have to keep a close eye on the actions of my group. It is not enough to provide equal opportunities; we also have to try to make outcomes more equal.</w:t>
            </w:r>
          </w:p>
        </w:tc>
      </w:tr>
      <w:tr>
        <w:tblPrEx>
          <w:tblBorders/>
        </w:tblPrEx>
        <w:trPr>
          <w:trHeight w:hRule="atLeast" w:val="20"/>
        </w:trPr>
        <w:tc>
          <w:tcPr>
            <w:tcW w:type="auto" w:w="0"/>
            <w:tcBorders/>
            <w:shd w:fill="auto" w:color="auto"/>
            <w:vAlign w:val="center"/>
          </w:tcPr>
          <w:p>
            <w:pPr>
              <w:pBdr/>
              <w:pStyle w:val="Normal"/>
              <w:spacing w:after="0" w:line="360" w:lineRule="auto"/>
              <w:ind/>
              <w:rPr>
                <w:rFonts w:ascii="Times New Roman" w:hAnsi="Times New Roman" w:cs="Times New Roman"/>
                <w:b/>
                <w:bCs/>
                <w:color w:val="000000"/>
                <w:sz w:val="24"/>
                <w:szCs w:val="24"/>
              </w:rPr>
            </w:pPr>
            <w:r>
              <w:rPr>
                <w:rFonts w:ascii="Times New Roman" w:hAnsi="Times New Roman" w:cs="Times New Roman"/>
                <w:b/>
                <w:bCs/>
                <w:color w:val="000000"/>
                <w:sz w:val="24"/>
                <w:szCs w:val="24"/>
              </w:rPr>
              <w:t xml:space="preserve">Fatalism</w:t>
            </w:r>
          </w:p>
        </w:tc>
        <w:tc>
          <w:tcPr>
            <w:tcW w:type="auto" w:w="0"/>
            <w:tcBorders/>
            <w:shd w:fill="auto" w:color="auto"/>
            <w:vAlign w:val="top"/>
          </w:tcPr>
          <w:p>
            <w:pPr>
              <w:pBdr/>
              <w:pStyle w:val="Normal"/>
              <w:spacing w:after="0" w:line="360" w:lineRule="auto"/>
              <w:ind/>
              <w:rPr>
                <w:rFonts w:ascii="Times New Roman" w:hAnsi="Times New Roman" w:cs="Times New Roman"/>
                <w:i/>
                <w:iCs/>
                <w:color w:val="000000"/>
                <w:sz w:val="24"/>
                <w:szCs w:val="24"/>
              </w:rPr>
            </w:pPr>
            <w:r>
              <w:rPr>
                <w:rFonts w:ascii="Times New Roman" w:hAnsi="Times New Roman" w:cs="Times New Roman"/>
                <w:i/>
                <w:iCs/>
                <w:color w:val="000000"/>
                <w:sz w:val="24"/>
                <w:szCs w:val="24"/>
              </w:rPr>
              <w:t xml:space="preserve">Life is unpredictable and I have very little control. I tend not to join groups, and I try not to get involved because I can't make much difference anyway. Most of the time other people determine my options in life. Getting along is largely a matter of doing the best I can with what comes my way, so I just try to take care of myself and the people closest to me. It's best to just go with the flow, because whatever will be will be.</w:t>
            </w:r>
          </w:p>
        </w:tc>
      </w:tr>
    </w:tbl>
    <w:p>
      <w:pPr>
        <w:pBdr/>
        <w:pStyle w:val="Normal"/>
        <w:spacing w:after="0" w:line="240" w:lineRule="auto"/>
        <w:ind/>
        <w:rPr>
          <w:rFonts w:ascii="Times New Roman" w:hAnsi="Times New Roman" w:cs="Times New Roman"/>
          <w:i/>
          <w:iCs/>
          <w:color w:val="000000"/>
          <w:sz w:val="24"/>
          <w:szCs w:val="24"/>
        </w:rPr>
      </w:pPr>
    </w:p>
    <w:p>
      <w:pPr>
        <w:pBdr/>
        <w:pStyle w:val="Normal"/>
        <w:spacing w:after="0" w:line="480" w:lineRule="auto"/>
        <w:ind/>
        <w:rPr>
          <w:rFonts w:ascii="Times New Roman" w:hAnsi="Times New Roman" w:cs="Times New Roman"/>
          <w:i/>
          <w:iCs/>
          <w:color w:val="000000"/>
          <w:sz w:val="24"/>
          <w:szCs w:val="24"/>
        </w:rPr>
      </w:pPr>
      <w:r>
        <w:rPr>
          <w:rFonts w:ascii="Times New Roman" w:hAnsi="Times New Roman" w:cs="Times New Roman"/>
          <w:i/>
          <w:iCs/>
          <w:color w:val="000000"/>
          <w:sz w:val="24"/>
          <w:szCs w:val="24"/>
        </w:rPr>
        <w:t xml:space="preserve">Control Variables</w:t>
      </w:r>
    </w:p>
    <w:p>
      <w:pPr>
        <w:pBdr/>
        <w:pStyle w:val="Normal"/>
        <w:spacing w:after="0" w:line="480" w:lineRule="auto"/>
        <w:ind w:firstLine="720"/>
        <w:rPr>
          <w:rFonts w:ascii="Times New Roman" w:hAnsi="Times New Roman" w:cs="Times New Roman"/>
          <w:color w:val="000000"/>
          <w:sz w:val="24"/>
          <w:szCs w:val="24"/>
        </w:rPr>
      </w:pPr>
      <w:r>
        <w:rPr>
          <w:rFonts w:ascii="Times New Roman" w:hAnsi="Times New Roman" w:cs="Times New Roman"/>
          <w:color w:val="000000"/>
          <w:sz w:val="24"/>
          <w:szCs w:val="24"/>
        </w:rPr>
        <w:t xml:space="preserve">We expect that previous experiences with government services could influence tolerance for burdens. We include three dichotomous measures to capture whether respondents voted in the 2024 US Presidential election, whether they or anybody in their immediate family has received SNAP benefits, and whether they have a gun in their home. We expect that gun ownership and SNAP receipt will be negatively associated with the tolerance of burdens related to those programs, but we have no firm expectations about the impact of voting on burden tolerance. Finally, we control for demographic variables such as race, age, gender, income, and education. Summary statistics for all our independent and dependent variables are listed in Table 2.</w:t>
      </w:r>
    </w:p>
    <w:p>
      <w:pPr>
        <w:pBdr/>
        <w:pStyle w:val="Normal"/>
        <w:spacing w:line="240" w:lineRule="auto"/>
        <w:ind/>
        <w:jc w:val="center"/>
        <w:rPr>
          <w:rFonts w:ascii="Times New Roman" w:hAnsi="Times New Roman" w:cs="Times New Roman"/>
          <w:b/>
          <w:bCs/>
          <w:color w:val="000000"/>
          <w:sz w:val="24"/>
          <w:szCs w:val="24"/>
        </w:rPr>
      </w:pPr>
      <w:r>
        <w:rPr>
          <w:rFonts w:ascii="Times New Roman" w:hAnsi="Times New Roman" w:cs="Times New Roman"/>
          <w:b/>
          <w:bCs/>
          <w:color w:val="000000"/>
          <w:sz w:val="24"/>
          <w:szCs w:val="24"/>
        </w:rPr>
        <w:t xml:space="preserve">Table 2: Summary Statistics</w:t>
      </w:r>
    </w:p>
    <w:tbl>
      <w:tblPr>
        <w:tblStyle w:val="Table"/>
        <w:tblCaption w:val="Summary Statistics"/>
        <w:tblW w:w="5000" w:type="pct"/>
        <w:jc w:val="center"/>
        <w:tblInd w:w="0" w:type="dxa"/>
        <w:tblCellMar>
          <w:top w:w="0" w:type="dxa"/>
          <w:left w:w="108" w:type="dxa"/>
          <w:bottom w:w="0" w:type="dxa"/>
          <w:right w:w="108" w:type="dxa"/>
        </w:tblCellMar>
        <w:tblBorders/>
        <w:shd w:fill="auto" w:color="auto"/>
      </w:tblPr>
      <w:tblGrid>
        <w:gridCol w:w="4049"/>
        <w:gridCol w:w="966"/>
        <w:gridCol w:w="1054"/>
        <w:gridCol w:w="1514"/>
        <w:gridCol w:w="863"/>
        <w:gridCol w:w="914"/>
      </w:tblGrid>
      <w:tr>
        <w:tblPrEx>
          <w:tblBorders/>
        </w:tblPrEx>
        <w:trPr>
          <w:trHeight w:hRule="atLeast" w:val="20"/>
          <w:tblHeader/>
        </w:trPr>
        <w:tc>
          <w:tcPr>
            <w:tcW w:type="pct" w:w="2163"/>
            <w:tcBorders>
              <w:top w:val="single" w:color="000000" w:sz="4" w:space="0"/>
              <w:left w:val="single" w:color="000000" w:sz="4" w:space="0"/>
              <w:bottom w:val="single" w:color="000000" w:sz="0" w:space="0"/>
              <w:right w:val="single" w:color="000000" w:sz="4" w:space="0"/>
            </w:tcBorders>
            <w:shd w:fill="auto" w:color="auto"/>
            <w:vAlign w:val="bottom"/>
          </w:tcPr>
          <w:p>
            <w:pPr>
              <w:pBdr/>
              <w:pStyle w:val="Compact"/>
              <w:spacing/>
              <w:ind/>
              <w:jc w:val="center"/>
              <w:rPr>
                <w:rFonts w:ascii="Times New Roman" w:hAnsi="Times New Roman" w:cs="Times New Roman"/>
                <w:color w:val="000000"/>
              </w:rPr>
            </w:pPr>
            <w:r>
              <w:rPr>
                <w:rFonts w:ascii="Times New Roman" w:hAnsi="Times New Roman" w:cs="Times New Roman"/>
                <w:color w:val="000000"/>
              </w:rPr>
              <w:t xml:space="preserve">Variable</w:t>
            </w:r>
          </w:p>
        </w:tc>
        <w:tc>
          <w:tcPr>
            <w:tcW w:type="pct" w:w="516"/>
            <w:tcBorders>
              <w:top w:val="single" w:color="000000" w:sz="4" w:space="0"/>
              <w:left w:val="single" w:color="000000" w:sz="4" w:space="0"/>
              <w:bottom w:val="single" w:color="000000" w:sz="0" w:space="0"/>
            </w:tcBorders>
            <w:shd w:fill="auto" w:color="auto"/>
            <w:vAlign w:val="bottom"/>
          </w:tcPr>
          <w:p>
            <w:pPr>
              <w:pBdr/>
              <w:pStyle w:val="Compact"/>
              <w:spacing/>
              <w:ind/>
              <w:jc w:val="center"/>
              <w:rPr>
                <w:rFonts w:ascii="Times New Roman" w:hAnsi="Times New Roman" w:cs="Times New Roman"/>
                <w:color w:val="000000"/>
              </w:rPr>
            </w:pPr>
            <w:r>
              <w:rPr>
                <w:rFonts w:ascii="Times New Roman" w:hAnsi="Times New Roman" w:cs="Times New Roman"/>
                <w:color w:val="000000"/>
              </w:rPr>
              <w:t xml:space="preserve">N</w:t>
            </w:r>
          </w:p>
        </w:tc>
        <w:tc>
          <w:tcPr>
            <w:tcW w:type="pct" w:w="563"/>
            <w:tcBorders>
              <w:top w:val="single" w:color="000000" w:sz="4" w:space="0"/>
              <w:bottom w:val="single" w:color="000000" w:sz="0" w:space="0"/>
            </w:tcBorders>
            <w:shd w:fill="auto" w:color="auto"/>
            <w:vAlign w:val="bottom"/>
          </w:tcPr>
          <w:p>
            <w:pPr>
              <w:pBdr/>
              <w:pStyle w:val="Compact"/>
              <w:spacing/>
              <w:ind/>
              <w:jc w:val="center"/>
              <w:rPr>
                <w:rFonts w:ascii="Times New Roman" w:hAnsi="Times New Roman" w:cs="Times New Roman"/>
                <w:color w:val="000000"/>
              </w:rPr>
            </w:pPr>
            <w:r>
              <w:rPr>
                <w:rFonts w:ascii="Times New Roman" w:hAnsi="Times New Roman" w:cs="Times New Roman"/>
                <w:color w:val="000000"/>
              </w:rPr>
              <w:t xml:space="preserve">Mean</w:t>
            </w:r>
          </w:p>
        </w:tc>
        <w:tc>
          <w:tcPr>
            <w:tcW w:type="pct" w:w="809"/>
            <w:tcBorders>
              <w:top w:val="single" w:color="000000" w:sz="4" w:space="0"/>
              <w:bottom w:val="single" w:color="000000" w:sz="0" w:space="0"/>
            </w:tcBorders>
            <w:shd w:fill="auto" w:color="auto"/>
            <w:vAlign w:val="bottom"/>
          </w:tcPr>
          <w:p>
            <w:pPr>
              <w:pBdr/>
              <w:pStyle w:val="Compact"/>
              <w:spacing/>
              <w:ind/>
              <w:jc w:val="center"/>
              <w:rPr>
                <w:rFonts w:ascii="Times New Roman" w:hAnsi="Times New Roman" w:cs="Times New Roman"/>
                <w:color w:val="000000"/>
              </w:rPr>
            </w:pPr>
            <w:r>
              <w:rPr>
                <w:rFonts w:ascii="Times New Roman" w:hAnsi="Times New Roman" w:cs="Times New Roman"/>
                <w:color w:val="000000"/>
              </w:rPr>
              <w:t xml:space="preserve">Std. Dev.</w:t>
            </w:r>
          </w:p>
        </w:tc>
        <w:tc>
          <w:tcPr>
            <w:tcW w:type="pct" w:w="461"/>
            <w:tcBorders>
              <w:top w:val="single" w:color="000000" w:sz="4" w:space="0"/>
              <w:bottom w:val="single" w:color="000000" w:sz="0" w:space="0"/>
            </w:tcBorders>
            <w:shd w:fill="auto" w:color="auto"/>
            <w:vAlign w:val="bottom"/>
          </w:tcPr>
          <w:p>
            <w:pPr>
              <w:pBdr/>
              <w:pStyle w:val="Compact"/>
              <w:spacing/>
              <w:ind/>
              <w:jc w:val="center"/>
              <w:rPr>
                <w:rFonts w:ascii="Times New Roman" w:hAnsi="Times New Roman" w:cs="Times New Roman"/>
                <w:color w:val="000000"/>
              </w:rPr>
            </w:pPr>
            <w:r>
              <w:rPr>
                <w:rFonts w:ascii="Times New Roman" w:hAnsi="Times New Roman" w:cs="Times New Roman"/>
                <w:color w:val="000000"/>
              </w:rPr>
              <w:t xml:space="preserve">Min</w:t>
            </w:r>
          </w:p>
        </w:tc>
        <w:tc>
          <w:tcPr>
            <w:tcW w:type="pct" w:w="488"/>
            <w:tcBorders>
              <w:top w:val="single" w:color="000000" w:sz="4" w:space="0"/>
              <w:bottom w:val="single" w:color="000000" w:sz="0" w:space="0"/>
              <w:right w:val="single" w:color="000000" w:sz="4" w:space="0"/>
            </w:tcBorders>
            <w:shd w:fill="auto" w:color="auto"/>
            <w:vAlign w:val="bottom"/>
          </w:tcPr>
          <w:p>
            <w:pPr>
              <w:pBdr/>
              <w:pStyle w:val="Compact"/>
              <w:spacing/>
              <w:ind/>
              <w:jc w:val="center"/>
              <w:rPr>
                <w:rFonts w:ascii="Times New Roman" w:hAnsi="Times New Roman" w:cs="Times New Roman"/>
                <w:color w:val="000000"/>
              </w:rPr>
            </w:pPr>
            <w:r>
              <w:rPr>
                <w:rFonts w:ascii="Times New Roman" w:hAnsi="Times New Roman" w:cs="Times New Roman"/>
                <w:color w:val="000000"/>
              </w:rPr>
              <w:t xml:space="preserve">Max</w:t>
            </w:r>
          </w:p>
        </w:tc>
      </w:tr>
      <w:tr>
        <w:tblPrEx>
          <w:tblBorders/>
        </w:tblPrEx>
        <w:trPr>
          <w:trHeight w:hRule="atLeast" w:val="20"/>
        </w:trPr>
        <w:tc>
          <w:tcPr>
            <w:tcW w:type="pct" w:w="2163"/>
            <w:tcBorders>
              <w:left w:val="single" w:color="000000" w:sz="4" w:space="0"/>
              <w:right w:val="single" w:color="000000" w:sz="4" w:space="0"/>
            </w:tcBorders>
            <w:shd w:fill="auto" w:color="auto"/>
            <w:vAlign w:val="top"/>
          </w:tcPr>
          <w:p>
            <w:pPr>
              <w:pBdr/>
              <w:pStyle w:val="Compact"/>
              <w:spacing/>
              <w:ind/>
              <w:rPr>
                <w:rFonts w:ascii="Times New Roman" w:hAnsi="Times New Roman" w:cs="Times New Roman"/>
                <w:color w:val="000000"/>
              </w:rPr>
            </w:pPr>
            <w:r>
              <w:rPr>
                <w:rFonts w:ascii="Times New Roman" w:hAnsi="Times New Roman" w:cs="Times New Roman"/>
                <w:color w:val="000000"/>
              </w:rPr>
              <w:t xml:space="preserve">General Burden</w:t>
            </w:r>
          </w:p>
        </w:tc>
        <w:tc>
          <w:tcPr>
            <w:tcW w:type="pct" w:w="516"/>
            <w:tcBorders>
              <w:left w:val="single" w:color="000000" w:sz="4" w:space="0"/>
            </w:tcBorders>
            <w:shd w:fill="auto" w:color="auto"/>
            <w:vAlign w:val="top"/>
          </w:tcPr>
          <w:p>
            <w:pPr>
              <w:pBdr/>
              <w:pStyle w:val="Compact"/>
              <w:spacing/>
              <w:ind/>
              <w:jc w:val="center"/>
              <w:rPr>
                <w:rFonts w:ascii="Times New Roman" w:hAnsi="Times New Roman" w:cs="Times New Roman"/>
                <w:color w:val="000000"/>
              </w:rPr>
            </w:pPr>
            <w:r>
              <w:rPr>
                <w:rFonts w:ascii="Times New Roman" w:hAnsi="Times New Roman" w:cs="Times New Roman"/>
                <w:color w:val="000000"/>
              </w:rPr>
              <w:t xml:space="preserve">1202</w:t>
            </w:r>
          </w:p>
        </w:tc>
        <w:tc>
          <w:tcPr>
            <w:tcW w:type="pct" w:w="563"/>
            <w:tcBorders/>
            <w:shd w:fill="auto" w:color="auto"/>
            <w:vAlign w:val="top"/>
          </w:tcPr>
          <w:p>
            <w:pPr>
              <w:pBdr/>
              <w:pStyle w:val="Compact"/>
              <w:spacing/>
              <w:ind/>
              <w:jc w:val="center"/>
              <w:rPr>
                <w:rFonts w:ascii="Times New Roman" w:hAnsi="Times New Roman" w:cs="Times New Roman"/>
                <w:color w:val="000000"/>
              </w:rPr>
            </w:pPr>
            <w:r>
              <w:rPr>
                <w:rFonts w:ascii="Times New Roman" w:hAnsi="Times New Roman" w:cs="Times New Roman"/>
                <w:color w:val="000000"/>
              </w:rPr>
              <w:t xml:space="preserve">2.4</w:t>
            </w:r>
          </w:p>
        </w:tc>
        <w:tc>
          <w:tcPr>
            <w:tcW w:type="pct" w:w="809"/>
            <w:tcBorders/>
            <w:shd w:fill="auto" w:color="auto"/>
            <w:vAlign w:val="top"/>
          </w:tcPr>
          <w:p>
            <w:pPr>
              <w:pBdr/>
              <w:pStyle w:val="Compact"/>
              <w:spacing/>
              <w:ind/>
              <w:jc w:val="center"/>
              <w:rPr>
                <w:rFonts w:ascii="Times New Roman" w:hAnsi="Times New Roman" w:cs="Times New Roman"/>
                <w:color w:val="000000"/>
              </w:rPr>
            </w:pPr>
            <w:r>
              <w:rPr>
                <w:rFonts w:ascii="Times New Roman" w:hAnsi="Times New Roman" w:cs="Times New Roman"/>
                <w:color w:val="000000"/>
              </w:rPr>
              <w:t xml:space="preserve">0.94</w:t>
            </w:r>
          </w:p>
        </w:tc>
        <w:tc>
          <w:tcPr>
            <w:tcW w:type="pct" w:w="461"/>
            <w:tcBorders/>
            <w:shd w:fill="auto" w:color="auto"/>
            <w:vAlign w:val="top"/>
          </w:tcPr>
          <w:p>
            <w:pPr>
              <w:pBdr/>
              <w:pStyle w:val="Compact"/>
              <w:spacing/>
              <w:ind/>
              <w:jc w:val="center"/>
              <w:rPr>
                <w:rFonts w:ascii="Times New Roman" w:hAnsi="Times New Roman" w:cs="Times New Roman"/>
                <w:color w:val="000000"/>
              </w:rPr>
            </w:pPr>
            <w:r>
              <w:rPr>
                <w:rFonts w:ascii="Times New Roman" w:hAnsi="Times New Roman" w:cs="Times New Roman"/>
                <w:color w:val="000000"/>
              </w:rPr>
              <w:t xml:space="preserve">1</w:t>
            </w:r>
          </w:p>
        </w:tc>
        <w:tc>
          <w:tcPr>
            <w:tcW w:type="pct" w:w="488"/>
            <w:tcBorders>
              <w:right w:val="single" w:color="000000" w:sz="4" w:space="0"/>
            </w:tcBorders>
            <w:shd w:fill="auto" w:color="auto"/>
            <w:vAlign w:val="top"/>
          </w:tcPr>
          <w:p>
            <w:pPr>
              <w:pBdr/>
              <w:pStyle w:val="Compact"/>
              <w:spacing/>
              <w:ind/>
              <w:jc w:val="center"/>
              <w:rPr>
                <w:rFonts w:ascii="Times New Roman" w:hAnsi="Times New Roman" w:cs="Times New Roman"/>
                <w:color w:val="000000"/>
              </w:rPr>
            </w:pPr>
            <w:r>
              <w:rPr>
                <w:rFonts w:ascii="Times New Roman" w:hAnsi="Times New Roman" w:cs="Times New Roman"/>
                <w:color w:val="000000"/>
              </w:rPr>
              <w:t xml:space="preserve">5</w:t>
            </w:r>
          </w:p>
        </w:tc>
      </w:tr>
      <w:tr>
        <w:tblPrEx>
          <w:tblBorders/>
        </w:tblPrEx>
        <w:trPr>
          <w:trHeight w:hRule="atLeast" w:val="20"/>
        </w:trPr>
        <w:tc>
          <w:tcPr>
            <w:tcW w:type="pct" w:w="2163"/>
            <w:tcBorders>
              <w:left w:val="single" w:color="000000" w:sz="4" w:space="0"/>
              <w:right w:val="single" w:color="000000" w:sz="4" w:space="0"/>
            </w:tcBorders>
            <w:shd w:fill="auto" w:color="auto"/>
            <w:vAlign w:val="top"/>
          </w:tcPr>
          <w:p>
            <w:pPr>
              <w:pBdr/>
              <w:pStyle w:val="Compact"/>
              <w:spacing/>
              <w:ind/>
              <w:rPr>
                <w:rFonts w:ascii="Times New Roman" w:hAnsi="Times New Roman" w:cs="Times New Roman"/>
                <w:color w:val="000000"/>
              </w:rPr>
            </w:pPr>
            <w:r>
              <w:rPr>
                <w:rFonts w:ascii="Times New Roman" w:hAnsi="Times New Roman" w:cs="Times New Roman"/>
                <w:color w:val="000000"/>
              </w:rPr>
              <w:t xml:space="preserve">SNAP Index</w:t>
            </w:r>
          </w:p>
        </w:tc>
        <w:tc>
          <w:tcPr>
            <w:tcW w:type="pct" w:w="516"/>
            <w:tcBorders>
              <w:left w:val="single" w:color="000000" w:sz="4" w:space="0"/>
            </w:tcBorders>
            <w:shd w:fill="auto" w:color="auto"/>
            <w:vAlign w:val="top"/>
          </w:tcPr>
          <w:p>
            <w:pPr>
              <w:pBdr/>
              <w:pStyle w:val="Compact"/>
              <w:spacing/>
              <w:ind/>
              <w:jc w:val="center"/>
              <w:rPr>
                <w:rFonts w:ascii="Times New Roman" w:hAnsi="Times New Roman" w:cs="Times New Roman"/>
                <w:color w:val="000000"/>
              </w:rPr>
            </w:pPr>
            <w:r>
              <w:rPr>
                <w:rFonts w:ascii="Times New Roman" w:hAnsi="Times New Roman" w:cs="Times New Roman"/>
                <w:color w:val="000000"/>
              </w:rPr>
              <w:t xml:space="preserve">1185</w:t>
            </w:r>
          </w:p>
        </w:tc>
        <w:tc>
          <w:tcPr>
            <w:tcW w:type="pct" w:w="563"/>
            <w:tcBorders/>
            <w:shd w:fill="auto" w:color="auto"/>
            <w:vAlign w:val="top"/>
          </w:tcPr>
          <w:p>
            <w:pPr>
              <w:pBdr/>
              <w:pStyle w:val="Compact"/>
              <w:spacing/>
              <w:ind/>
              <w:jc w:val="center"/>
              <w:rPr>
                <w:rFonts w:ascii="Times New Roman" w:hAnsi="Times New Roman" w:cs="Times New Roman"/>
                <w:color w:val="000000"/>
              </w:rPr>
            </w:pPr>
            <w:r>
              <w:rPr>
                <w:rFonts w:ascii="Times New Roman" w:hAnsi="Times New Roman" w:cs="Times New Roman"/>
                <w:color w:val="000000"/>
              </w:rPr>
              <w:t xml:space="preserve">3.8</w:t>
            </w:r>
          </w:p>
        </w:tc>
        <w:tc>
          <w:tcPr>
            <w:tcW w:type="pct" w:w="809"/>
            <w:tcBorders/>
            <w:shd w:fill="auto" w:color="auto"/>
            <w:vAlign w:val="top"/>
          </w:tcPr>
          <w:p>
            <w:pPr>
              <w:pBdr/>
              <w:pStyle w:val="Compact"/>
              <w:spacing/>
              <w:ind/>
              <w:jc w:val="center"/>
              <w:rPr>
                <w:rFonts w:ascii="Times New Roman" w:hAnsi="Times New Roman" w:cs="Times New Roman"/>
                <w:color w:val="000000"/>
              </w:rPr>
            </w:pPr>
            <w:r>
              <w:rPr>
                <w:rFonts w:ascii="Times New Roman" w:hAnsi="Times New Roman" w:cs="Times New Roman"/>
                <w:color w:val="000000"/>
              </w:rPr>
              <w:t xml:space="preserve">2</w:t>
            </w:r>
          </w:p>
        </w:tc>
        <w:tc>
          <w:tcPr>
            <w:tcW w:type="pct" w:w="461"/>
            <w:tcBorders/>
            <w:shd w:fill="auto" w:color="auto"/>
            <w:vAlign w:val="top"/>
          </w:tcPr>
          <w:p>
            <w:pPr>
              <w:pBdr/>
              <w:pStyle w:val="Compact"/>
              <w:spacing/>
              <w:ind/>
              <w:jc w:val="center"/>
              <w:rPr>
                <w:rFonts w:ascii="Times New Roman" w:hAnsi="Times New Roman" w:cs="Times New Roman"/>
                <w:color w:val="000000"/>
              </w:rPr>
            </w:pPr>
            <w:r>
              <w:rPr>
                <w:rFonts w:ascii="Times New Roman" w:hAnsi="Times New Roman" w:cs="Times New Roman"/>
                <w:color w:val="000000"/>
              </w:rPr>
              <w:t xml:space="preserve">0</w:t>
            </w:r>
          </w:p>
        </w:tc>
        <w:tc>
          <w:tcPr>
            <w:tcW w:type="pct" w:w="488"/>
            <w:tcBorders>
              <w:right w:val="single" w:color="000000" w:sz="4" w:space="0"/>
            </w:tcBorders>
            <w:shd w:fill="auto" w:color="auto"/>
            <w:vAlign w:val="top"/>
          </w:tcPr>
          <w:p>
            <w:pPr>
              <w:pBdr/>
              <w:pStyle w:val="Compact"/>
              <w:spacing/>
              <w:ind/>
              <w:jc w:val="center"/>
              <w:rPr>
                <w:rFonts w:ascii="Times New Roman" w:hAnsi="Times New Roman" w:cs="Times New Roman"/>
                <w:color w:val="000000"/>
              </w:rPr>
            </w:pPr>
            <w:r>
              <w:rPr>
                <w:rFonts w:ascii="Times New Roman" w:hAnsi="Times New Roman" w:cs="Times New Roman"/>
                <w:color w:val="000000"/>
              </w:rPr>
              <w:t xml:space="preserve">10</w:t>
            </w:r>
          </w:p>
        </w:tc>
      </w:tr>
      <w:tr>
        <w:tblPrEx>
          <w:tblBorders/>
        </w:tblPrEx>
        <w:trPr>
          <w:trHeight w:hRule="atLeast" w:val="20"/>
        </w:trPr>
        <w:tc>
          <w:tcPr>
            <w:tcW w:type="pct" w:w="2163"/>
            <w:tcBorders>
              <w:left w:val="single" w:color="000000" w:sz="4" w:space="0"/>
              <w:right w:val="single" w:color="000000" w:sz="4" w:space="0"/>
            </w:tcBorders>
            <w:shd w:fill="auto" w:color="auto"/>
            <w:vAlign w:val="top"/>
          </w:tcPr>
          <w:p>
            <w:pPr>
              <w:pBdr/>
              <w:pStyle w:val="Compact"/>
              <w:spacing/>
              <w:ind/>
              <w:rPr>
                <w:rFonts w:ascii="Times New Roman" w:hAnsi="Times New Roman" w:cs="Times New Roman"/>
                <w:color w:val="000000"/>
              </w:rPr>
            </w:pPr>
            <w:r>
              <w:rPr>
                <w:rFonts w:ascii="Times New Roman" w:hAnsi="Times New Roman" w:cs="Times New Roman"/>
                <w:color w:val="000000"/>
              </w:rPr>
              <w:t xml:space="preserve">Vote Index</w:t>
            </w:r>
          </w:p>
        </w:tc>
        <w:tc>
          <w:tcPr>
            <w:tcW w:type="pct" w:w="516"/>
            <w:tcBorders>
              <w:left w:val="single" w:color="000000" w:sz="4" w:space="0"/>
            </w:tcBorders>
            <w:shd w:fill="auto" w:color="auto"/>
            <w:vAlign w:val="top"/>
          </w:tcPr>
          <w:p>
            <w:pPr>
              <w:pBdr/>
              <w:pStyle w:val="Compact"/>
              <w:spacing/>
              <w:ind/>
              <w:jc w:val="center"/>
              <w:rPr>
                <w:rFonts w:ascii="Times New Roman" w:hAnsi="Times New Roman" w:cs="Times New Roman"/>
                <w:color w:val="000000"/>
              </w:rPr>
            </w:pPr>
            <w:r>
              <w:rPr>
                <w:rFonts w:ascii="Times New Roman" w:hAnsi="Times New Roman" w:cs="Times New Roman"/>
                <w:color w:val="000000"/>
              </w:rPr>
              <w:t xml:space="preserve">1197</w:t>
            </w:r>
          </w:p>
        </w:tc>
        <w:tc>
          <w:tcPr>
            <w:tcW w:type="pct" w:w="563"/>
            <w:tcBorders/>
            <w:shd w:fill="auto" w:color="auto"/>
            <w:vAlign w:val="top"/>
          </w:tcPr>
          <w:p>
            <w:pPr>
              <w:pBdr/>
              <w:pStyle w:val="Compact"/>
              <w:spacing/>
              <w:ind/>
              <w:jc w:val="center"/>
              <w:rPr>
                <w:rFonts w:ascii="Times New Roman" w:hAnsi="Times New Roman" w:cs="Times New Roman"/>
                <w:color w:val="000000"/>
              </w:rPr>
            </w:pPr>
            <w:r>
              <w:rPr>
                <w:rFonts w:ascii="Times New Roman" w:hAnsi="Times New Roman" w:cs="Times New Roman"/>
                <w:color w:val="000000"/>
              </w:rPr>
              <w:t xml:space="preserve">3.9</w:t>
            </w:r>
          </w:p>
        </w:tc>
        <w:tc>
          <w:tcPr>
            <w:tcW w:type="pct" w:w="809"/>
            <w:tcBorders/>
            <w:shd w:fill="auto" w:color="auto"/>
            <w:vAlign w:val="top"/>
          </w:tcPr>
          <w:p>
            <w:pPr>
              <w:pBdr/>
              <w:pStyle w:val="Compact"/>
              <w:spacing/>
              <w:ind/>
              <w:jc w:val="center"/>
              <w:rPr>
                <w:rFonts w:ascii="Times New Roman" w:hAnsi="Times New Roman" w:cs="Times New Roman"/>
                <w:color w:val="000000"/>
              </w:rPr>
            </w:pPr>
            <w:r>
              <w:rPr>
                <w:rFonts w:ascii="Times New Roman" w:hAnsi="Times New Roman" w:cs="Times New Roman"/>
                <w:color w:val="000000"/>
              </w:rPr>
              <w:t xml:space="preserve">2.4</w:t>
            </w:r>
          </w:p>
        </w:tc>
        <w:tc>
          <w:tcPr>
            <w:tcW w:type="pct" w:w="461"/>
            <w:tcBorders/>
            <w:shd w:fill="auto" w:color="auto"/>
            <w:vAlign w:val="top"/>
          </w:tcPr>
          <w:p>
            <w:pPr>
              <w:pBdr/>
              <w:pStyle w:val="Compact"/>
              <w:spacing/>
              <w:ind/>
              <w:jc w:val="center"/>
              <w:rPr>
                <w:rFonts w:ascii="Times New Roman" w:hAnsi="Times New Roman" w:cs="Times New Roman"/>
                <w:color w:val="000000"/>
              </w:rPr>
            </w:pPr>
            <w:r>
              <w:rPr>
                <w:rFonts w:ascii="Times New Roman" w:hAnsi="Times New Roman" w:cs="Times New Roman"/>
                <w:color w:val="000000"/>
              </w:rPr>
              <w:t xml:space="preserve">0</w:t>
            </w:r>
          </w:p>
        </w:tc>
        <w:tc>
          <w:tcPr>
            <w:tcW w:type="pct" w:w="488"/>
            <w:tcBorders>
              <w:right w:val="single" w:color="000000" w:sz="4" w:space="0"/>
            </w:tcBorders>
            <w:shd w:fill="auto" w:color="auto"/>
            <w:vAlign w:val="top"/>
          </w:tcPr>
          <w:p>
            <w:pPr>
              <w:pBdr/>
              <w:pStyle w:val="Compact"/>
              <w:spacing/>
              <w:ind/>
              <w:jc w:val="center"/>
              <w:rPr>
                <w:rFonts w:ascii="Times New Roman" w:hAnsi="Times New Roman" w:cs="Times New Roman"/>
                <w:color w:val="000000"/>
              </w:rPr>
            </w:pPr>
            <w:r>
              <w:rPr>
                <w:rFonts w:ascii="Times New Roman" w:hAnsi="Times New Roman" w:cs="Times New Roman"/>
                <w:color w:val="000000"/>
              </w:rPr>
              <w:t xml:space="preserve">10</w:t>
            </w:r>
          </w:p>
        </w:tc>
      </w:tr>
      <w:tr>
        <w:tblPrEx>
          <w:tblBorders/>
        </w:tblPrEx>
        <w:trPr>
          <w:trHeight w:hRule="atLeast" w:val="20"/>
        </w:trPr>
        <w:tc>
          <w:tcPr>
            <w:tcW w:type="pct" w:w="2163"/>
            <w:tcBorders>
              <w:left w:val="single" w:color="000000" w:sz="4" w:space="0"/>
              <w:right w:val="single" w:color="000000" w:sz="4" w:space="0"/>
            </w:tcBorders>
            <w:shd w:fill="auto" w:color="auto"/>
            <w:vAlign w:val="top"/>
          </w:tcPr>
          <w:p>
            <w:pPr>
              <w:pBdr/>
              <w:pStyle w:val="Compact"/>
              <w:spacing/>
              <w:ind/>
              <w:rPr>
                <w:rFonts w:ascii="Times New Roman" w:hAnsi="Times New Roman" w:cs="Times New Roman"/>
                <w:color w:val="000000"/>
              </w:rPr>
            </w:pPr>
            <w:r>
              <w:rPr>
                <w:rFonts w:ascii="Times New Roman" w:hAnsi="Times New Roman" w:cs="Times New Roman"/>
                <w:color w:val="000000"/>
              </w:rPr>
              <w:t xml:space="preserve">Gun Index</w:t>
            </w:r>
          </w:p>
        </w:tc>
        <w:tc>
          <w:tcPr>
            <w:tcW w:type="pct" w:w="516"/>
            <w:tcBorders>
              <w:left w:val="single" w:color="000000" w:sz="4" w:space="0"/>
            </w:tcBorders>
            <w:shd w:fill="auto" w:color="auto"/>
            <w:vAlign w:val="top"/>
          </w:tcPr>
          <w:p>
            <w:pPr>
              <w:pBdr/>
              <w:pStyle w:val="Compact"/>
              <w:spacing/>
              <w:ind/>
              <w:jc w:val="center"/>
              <w:rPr>
                <w:rFonts w:ascii="Times New Roman" w:hAnsi="Times New Roman" w:cs="Times New Roman"/>
                <w:color w:val="000000"/>
              </w:rPr>
            </w:pPr>
            <w:r>
              <w:rPr>
                <w:rFonts w:ascii="Times New Roman" w:hAnsi="Times New Roman" w:cs="Times New Roman"/>
                <w:color w:val="000000"/>
              </w:rPr>
              <w:t xml:space="preserve">1193</w:t>
            </w:r>
          </w:p>
        </w:tc>
        <w:tc>
          <w:tcPr>
            <w:tcW w:type="pct" w:w="563"/>
            <w:tcBorders/>
            <w:shd w:fill="auto" w:color="auto"/>
            <w:vAlign w:val="top"/>
          </w:tcPr>
          <w:p>
            <w:pPr>
              <w:pBdr/>
              <w:pStyle w:val="Compact"/>
              <w:spacing/>
              <w:ind/>
              <w:jc w:val="center"/>
              <w:rPr>
                <w:rFonts w:ascii="Times New Roman" w:hAnsi="Times New Roman" w:cs="Times New Roman"/>
                <w:color w:val="000000"/>
              </w:rPr>
            </w:pPr>
            <w:r>
              <w:rPr>
                <w:rFonts w:ascii="Times New Roman" w:hAnsi="Times New Roman" w:cs="Times New Roman"/>
                <w:color w:val="000000"/>
              </w:rPr>
              <w:t xml:space="preserve">8</w:t>
            </w:r>
          </w:p>
        </w:tc>
        <w:tc>
          <w:tcPr>
            <w:tcW w:type="pct" w:w="809"/>
            <w:tcBorders/>
            <w:shd w:fill="auto" w:color="auto"/>
            <w:vAlign w:val="top"/>
          </w:tcPr>
          <w:p>
            <w:pPr>
              <w:pBdr/>
              <w:pStyle w:val="Compact"/>
              <w:spacing/>
              <w:ind/>
              <w:jc w:val="center"/>
              <w:rPr>
                <w:rFonts w:ascii="Times New Roman" w:hAnsi="Times New Roman" w:cs="Times New Roman"/>
                <w:color w:val="000000"/>
              </w:rPr>
            </w:pPr>
            <w:r>
              <w:rPr>
                <w:rFonts w:ascii="Times New Roman" w:hAnsi="Times New Roman" w:cs="Times New Roman"/>
                <w:color w:val="000000"/>
              </w:rPr>
              <w:t xml:space="preserve">2.5</w:t>
            </w:r>
          </w:p>
        </w:tc>
        <w:tc>
          <w:tcPr>
            <w:tcW w:type="pct" w:w="461"/>
            <w:tcBorders/>
            <w:shd w:fill="auto" w:color="auto"/>
            <w:vAlign w:val="top"/>
          </w:tcPr>
          <w:p>
            <w:pPr>
              <w:pBdr/>
              <w:pStyle w:val="Compact"/>
              <w:spacing/>
              <w:ind/>
              <w:jc w:val="center"/>
              <w:rPr>
                <w:rFonts w:ascii="Times New Roman" w:hAnsi="Times New Roman" w:cs="Times New Roman"/>
                <w:color w:val="000000"/>
              </w:rPr>
            </w:pPr>
            <w:r>
              <w:rPr>
                <w:rFonts w:ascii="Times New Roman" w:hAnsi="Times New Roman" w:cs="Times New Roman"/>
                <w:color w:val="000000"/>
              </w:rPr>
              <w:t xml:space="preserve">0</w:t>
            </w:r>
          </w:p>
        </w:tc>
        <w:tc>
          <w:tcPr>
            <w:tcW w:type="pct" w:w="488"/>
            <w:tcBorders>
              <w:right w:val="single" w:color="000000" w:sz="4" w:space="0"/>
            </w:tcBorders>
            <w:shd w:fill="auto" w:color="auto"/>
            <w:vAlign w:val="top"/>
          </w:tcPr>
          <w:p>
            <w:pPr>
              <w:pBdr/>
              <w:pStyle w:val="Compact"/>
              <w:spacing/>
              <w:ind/>
              <w:jc w:val="center"/>
              <w:rPr>
                <w:rFonts w:ascii="Times New Roman" w:hAnsi="Times New Roman" w:cs="Times New Roman"/>
                <w:color w:val="000000"/>
              </w:rPr>
            </w:pPr>
            <w:r>
              <w:rPr>
                <w:rFonts w:ascii="Times New Roman" w:hAnsi="Times New Roman" w:cs="Times New Roman"/>
                <w:color w:val="000000"/>
              </w:rPr>
              <w:t xml:space="preserve">10</w:t>
            </w:r>
          </w:p>
        </w:tc>
      </w:tr>
      <w:tr>
        <w:tblPrEx>
          <w:tblBorders/>
        </w:tblPrEx>
        <w:trPr>
          <w:trHeight w:hRule="atLeast" w:val="20"/>
        </w:trPr>
        <w:tc>
          <w:tcPr>
            <w:tcW w:type="pct" w:w="2163"/>
            <w:tcBorders>
              <w:left w:val="single" w:color="000000" w:sz="4" w:space="0"/>
              <w:right w:val="single" w:color="000000" w:sz="4" w:space="0"/>
            </w:tcBorders>
            <w:shd w:fill="auto" w:color="auto"/>
            <w:vAlign w:val="top"/>
          </w:tcPr>
          <w:p>
            <w:pPr>
              <w:pBdr/>
              <w:pStyle w:val="Compact"/>
              <w:spacing/>
              <w:ind/>
              <w:rPr>
                <w:rFonts w:ascii="Times New Roman" w:hAnsi="Times New Roman" w:cs="Times New Roman"/>
                <w:color w:val="000000"/>
              </w:rPr>
            </w:pPr>
            <w:r>
              <w:rPr>
                <w:rFonts w:ascii="Times New Roman" w:hAnsi="Times New Roman" w:cs="Times New Roman"/>
                <w:color w:val="000000"/>
              </w:rPr>
              <w:t xml:space="preserve">Hierarchy</w:t>
            </w:r>
          </w:p>
        </w:tc>
        <w:tc>
          <w:tcPr>
            <w:tcW w:type="pct" w:w="516"/>
            <w:tcBorders>
              <w:left w:val="single" w:color="000000" w:sz="4" w:space="0"/>
            </w:tcBorders>
            <w:shd w:fill="auto" w:color="auto"/>
            <w:vAlign w:val="top"/>
          </w:tcPr>
          <w:p>
            <w:pPr>
              <w:pBdr/>
              <w:pStyle w:val="Compact"/>
              <w:spacing/>
              <w:ind/>
              <w:jc w:val="center"/>
              <w:rPr>
                <w:rFonts w:ascii="Times New Roman" w:hAnsi="Times New Roman" w:cs="Times New Roman"/>
                <w:color w:val="000000"/>
              </w:rPr>
            </w:pPr>
            <w:r>
              <w:rPr>
                <w:rFonts w:ascii="Times New Roman" w:hAnsi="Times New Roman" w:cs="Times New Roman"/>
                <w:color w:val="000000"/>
              </w:rPr>
              <w:t xml:space="preserve">1198</w:t>
            </w:r>
          </w:p>
        </w:tc>
        <w:tc>
          <w:tcPr>
            <w:tcW w:type="pct" w:w="563"/>
            <w:tcBorders/>
            <w:shd w:fill="auto" w:color="auto"/>
            <w:vAlign w:val="top"/>
          </w:tcPr>
          <w:p>
            <w:pPr>
              <w:pBdr/>
              <w:pStyle w:val="Compact"/>
              <w:spacing/>
              <w:ind/>
              <w:jc w:val="center"/>
              <w:rPr>
                <w:rFonts w:ascii="Times New Roman" w:hAnsi="Times New Roman" w:cs="Times New Roman"/>
                <w:color w:val="000000"/>
              </w:rPr>
            </w:pPr>
            <w:r>
              <w:rPr>
                <w:rFonts w:ascii="Times New Roman" w:hAnsi="Times New Roman" w:cs="Times New Roman"/>
                <w:color w:val="000000"/>
              </w:rPr>
              <w:t xml:space="preserve">5</w:t>
            </w:r>
          </w:p>
        </w:tc>
        <w:tc>
          <w:tcPr>
            <w:tcW w:type="pct" w:w="809"/>
            <w:tcBorders/>
            <w:shd w:fill="auto" w:color="auto"/>
            <w:vAlign w:val="top"/>
          </w:tcPr>
          <w:p>
            <w:pPr>
              <w:pBdr/>
              <w:pStyle w:val="Compact"/>
              <w:spacing/>
              <w:ind/>
              <w:jc w:val="center"/>
              <w:rPr>
                <w:rFonts w:ascii="Times New Roman" w:hAnsi="Times New Roman" w:cs="Times New Roman"/>
                <w:color w:val="000000"/>
              </w:rPr>
            </w:pPr>
            <w:r>
              <w:rPr>
                <w:rFonts w:ascii="Times New Roman" w:hAnsi="Times New Roman" w:cs="Times New Roman"/>
                <w:color w:val="000000"/>
              </w:rPr>
              <w:t xml:space="preserve">2.7</w:t>
            </w:r>
          </w:p>
        </w:tc>
        <w:tc>
          <w:tcPr>
            <w:tcW w:type="pct" w:w="461"/>
            <w:tcBorders/>
            <w:shd w:fill="auto" w:color="auto"/>
            <w:vAlign w:val="top"/>
          </w:tcPr>
          <w:p>
            <w:pPr>
              <w:pBdr/>
              <w:pStyle w:val="Compact"/>
              <w:spacing/>
              <w:ind/>
              <w:jc w:val="center"/>
              <w:rPr>
                <w:rFonts w:ascii="Times New Roman" w:hAnsi="Times New Roman" w:cs="Times New Roman"/>
                <w:color w:val="000000"/>
              </w:rPr>
            </w:pPr>
            <w:r>
              <w:rPr>
                <w:rFonts w:ascii="Times New Roman" w:hAnsi="Times New Roman" w:cs="Times New Roman"/>
                <w:color w:val="000000"/>
              </w:rPr>
              <w:t xml:space="preserve">0</w:t>
            </w:r>
          </w:p>
        </w:tc>
        <w:tc>
          <w:tcPr>
            <w:tcW w:type="pct" w:w="488"/>
            <w:tcBorders>
              <w:right w:val="single" w:color="000000" w:sz="4" w:space="0"/>
            </w:tcBorders>
            <w:shd w:fill="auto" w:color="auto"/>
            <w:vAlign w:val="top"/>
          </w:tcPr>
          <w:p>
            <w:pPr>
              <w:pBdr/>
              <w:pStyle w:val="Compact"/>
              <w:spacing/>
              <w:ind/>
              <w:jc w:val="center"/>
              <w:rPr>
                <w:rFonts w:ascii="Times New Roman" w:hAnsi="Times New Roman" w:cs="Times New Roman"/>
                <w:color w:val="000000"/>
              </w:rPr>
            </w:pPr>
            <w:r>
              <w:rPr>
                <w:rFonts w:ascii="Times New Roman" w:hAnsi="Times New Roman" w:cs="Times New Roman"/>
                <w:color w:val="000000"/>
              </w:rPr>
              <w:t xml:space="preserve">10</w:t>
            </w:r>
          </w:p>
        </w:tc>
      </w:tr>
      <w:tr>
        <w:tblPrEx>
          <w:tblBorders/>
        </w:tblPrEx>
        <w:trPr>
          <w:trHeight w:hRule="atLeast" w:val="20"/>
        </w:trPr>
        <w:tc>
          <w:tcPr>
            <w:tcW w:type="pct" w:w="2163"/>
            <w:tcBorders>
              <w:left w:val="single" w:color="000000" w:sz="4" w:space="0"/>
              <w:right w:val="single" w:color="000000" w:sz="4" w:space="0"/>
            </w:tcBorders>
            <w:shd w:fill="auto" w:color="auto"/>
            <w:vAlign w:val="top"/>
          </w:tcPr>
          <w:p>
            <w:pPr>
              <w:pBdr/>
              <w:pStyle w:val="Compact"/>
              <w:spacing/>
              <w:ind/>
              <w:rPr>
                <w:rFonts w:ascii="Times New Roman" w:hAnsi="Times New Roman" w:cs="Times New Roman"/>
                <w:color w:val="000000"/>
              </w:rPr>
            </w:pPr>
            <w:r>
              <w:rPr>
                <w:rFonts w:ascii="Times New Roman" w:hAnsi="Times New Roman" w:cs="Times New Roman"/>
                <w:color w:val="000000"/>
              </w:rPr>
              <w:t xml:space="preserve">Egalitarianism</w:t>
            </w:r>
          </w:p>
        </w:tc>
        <w:tc>
          <w:tcPr>
            <w:tcW w:type="pct" w:w="516"/>
            <w:tcBorders>
              <w:left w:val="single" w:color="000000" w:sz="4" w:space="0"/>
            </w:tcBorders>
            <w:shd w:fill="auto" w:color="auto"/>
            <w:vAlign w:val="top"/>
          </w:tcPr>
          <w:p>
            <w:pPr>
              <w:pBdr/>
              <w:pStyle w:val="Compact"/>
              <w:spacing/>
              <w:ind/>
              <w:jc w:val="center"/>
              <w:rPr>
                <w:rFonts w:ascii="Times New Roman" w:hAnsi="Times New Roman" w:cs="Times New Roman"/>
                <w:color w:val="000000"/>
              </w:rPr>
            </w:pPr>
            <w:r>
              <w:rPr>
                <w:rFonts w:ascii="Times New Roman" w:hAnsi="Times New Roman" w:cs="Times New Roman"/>
                <w:color w:val="000000"/>
              </w:rPr>
              <w:t xml:space="preserve">1197</w:t>
            </w:r>
          </w:p>
        </w:tc>
        <w:tc>
          <w:tcPr>
            <w:tcW w:type="pct" w:w="563"/>
            <w:tcBorders/>
            <w:shd w:fill="auto" w:color="auto"/>
            <w:vAlign w:val="top"/>
          </w:tcPr>
          <w:p>
            <w:pPr>
              <w:pBdr/>
              <w:pStyle w:val="Compact"/>
              <w:spacing/>
              <w:ind/>
              <w:jc w:val="center"/>
              <w:rPr>
                <w:rFonts w:ascii="Times New Roman" w:hAnsi="Times New Roman" w:cs="Times New Roman"/>
                <w:color w:val="000000"/>
              </w:rPr>
            </w:pPr>
            <w:r>
              <w:rPr>
                <w:rFonts w:ascii="Times New Roman" w:hAnsi="Times New Roman" w:cs="Times New Roman"/>
                <w:color w:val="000000"/>
              </w:rPr>
              <w:t xml:space="preserve">5.5</w:t>
            </w:r>
          </w:p>
        </w:tc>
        <w:tc>
          <w:tcPr>
            <w:tcW w:type="pct" w:w="809"/>
            <w:tcBorders/>
            <w:shd w:fill="auto" w:color="auto"/>
            <w:vAlign w:val="top"/>
          </w:tcPr>
          <w:p>
            <w:pPr>
              <w:pBdr/>
              <w:pStyle w:val="Compact"/>
              <w:spacing/>
              <w:ind/>
              <w:jc w:val="center"/>
              <w:rPr>
                <w:rFonts w:ascii="Times New Roman" w:hAnsi="Times New Roman" w:cs="Times New Roman"/>
                <w:color w:val="000000"/>
              </w:rPr>
            </w:pPr>
            <w:r>
              <w:rPr>
                <w:rFonts w:ascii="Times New Roman" w:hAnsi="Times New Roman" w:cs="Times New Roman"/>
                <w:color w:val="000000"/>
              </w:rPr>
              <w:t xml:space="preserve">3</w:t>
            </w:r>
          </w:p>
        </w:tc>
        <w:tc>
          <w:tcPr>
            <w:tcW w:type="pct" w:w="461"/>
            <w:tcBorders/>
            <w:shd w:fill="auto" w:color="auto"/>
            <w:vAlign w:val="top"/>
          </w:tcPr>
          <w:p>
            <w:pPr>
              <w:pBdr/>
              <w:pStyle w:val="Compact"/>
              <w:spacing/>
              <w:ind/>
              <w:jc w:val="center"/>
              <w:rPr>
                <w:rFonts w:ascii="Times New Roman" w:hAnsi="Times New Roman" w:cs="Times New Roman"/>
                <w:color w:val="000000"/>
              </w:rPr>
            </w:pPr>
            <w:r>
              <w:rPr>
                <w:rFonts w:ascii="Times New Roman" w:hAnsi="Times New Roman" w:cs="Times New Roman"/>
                <w:color w:val="000000"/>
              </w:rPr>
              <w:t xml:space="preserve">0</w:t>
            </w:r>
          </w:p>
        </w:tc>
        <w:tc>
          <w:tcPr>
            <w:tcW w:type="pct" w:w="488"/>
            <w:tcBorders>
              <w:right w:val="single" w:color="000000" w:sz="4" w:space="0"/>
            </w:tcBorders>
            <w:shd w:fill="auto" w:color="auto"/>
            <w:vAlign w:val="top"/>
          </w:tcPr>
          <w:p>
            <w:pPr>
              <w:pBdr/>
              <w:pStyle w:val="Compact"/>
              <w:spacing/>
              <w:ind/>
              <w:jc w:val="center"/>
              <w:rPr>
                <w:rFonts w:ascii="Times New Roman" w:hAnsi="Times New Roman" w:cs="Times New Roman"/>
                <w:color w:val="000000"/>
              </w:rPr>
            </w:pPr>
            <w:r>
              <w:rPr>
                <w:rFonts w:ascii="Times New Roman" w:hAnsi="Times New Roman" w:cs="Times New Roman"/>
                <w:color w:val="000000"/>
              </w:rPr>
              <w:t xml:space="preserve">10</w:t>
            </w:r>
          </w:p>
        </w:tc>
      </w:tr>
      <w:tr>
        <w:tblPrEx>
          <w:tblBorders/>
        </w:tblPrEx>
        <w:trPr>
          <w:trHeight w:hRule="atLeast" w:val="20"/>
        </w:trPr>
        <w:tc>
          <w:tcPr>
            <w:tcW w:type="pct" w:w="2163"/>
            <w:tcBorders>
              <w:left w:val="single" w:color="000000" w:sz="4" w:space="0"/>
              <w:right w:val="single" w:color="000000" w:sz="4" w:space="0"/>
            </w:tcBorders>
            <w:shd w:fill="auto" w:color="auto"/>
            <w:vAlign w:val="top"/>
          </w:tcPr>
          <w:p>
            <w:pPr>
              <w:pBdr/>
              <w:pStyle w:val="Compact"/>
              <w:spacing/>
              <w:ind/>
              <w:rPr>
                <w:rFonts w:ascii="Times New Roman" w:hAnsi="Times New Roman" w:cs="Times New Roman"/>
                <w:color w:val="000000"/>
              </w:rPr>
            </w:pPr>
            <w:r>
              <w:rPr>
                <w:rFonts w:ascii="Times New Roman" w:hAnsi="Times New Roman" w:cs="Times New Roman"/>
                <w:color w:val="000000"/>
              </w:rPr>
              <w:t xml:space="preserve">Individualism</w:t>
            </w:r>
          </w:p>
        </w:tc>
        <w:tc>
          <w:tcPr>
            <w:tcW w:type="pct" w:w="516"/>
            <w:tcBorders>
              <w:left w:val="single" w:color="000000" w:sz="4" w:space="0"/>
            </w:tcBorders>
            <w:shd w:fill="auto" w:color="auto"/>
            <w:vAlign w:val="top"/>
          </w:tcPr>
          <w:p>
            <w:pPr>
              <w:pBdr/>
              <w:pStyle w:val="Compact"/>
              <w:spacing/>
              <w:ind/>
              <w:jc w:val="center"/>
              <w:rPr>
                <w:rFonts w:ascii="Times New Roman" w:hAnsi="Times New Roman" w:cs="Times New Roman"/>
                <w:color w:val="000000"/>
              </w:rPr>
            </w:pPr>
            <w:r>
              <w:rPr>
                <w:rFonts w:ascii="Times New Roman" w:hAnsi="Times New Roman" w:cs="Times New Roman"/>
                <w:color w:val="000000"/>
              </w:rPr>
              <w:t xml:space="preserve">1198</w:t>
            </w:r>
          </w:p>
        </w:tc>
        <w:tc>
          <w:tcPr>
            <w:tcW w:type="pct" w:w="563"/>
            <w:tcBorders/>
            <w:shd w:fill="auto" w:color="auto"/>
            <w:vAlign w:val="top"/>
          </w:tcPr>
          <w:p>
            <w:pPr>
              <w:pBdr/>
              <w:pStyle w:val="Compact"/>
              <w:spacing/>
              <w:ind/>
              <w:jc w:val="center"/>
              <w:rPr>
                <w:rFonts w:ascii="Times New Roman" w:hAnsi="Times New Roman" w:cs="Times New Roman"/>
                <w:color w:val="000000"/>
              </w:rPr>
            </w:pPr>
            <w:r>
              <w:rPr>
                <w:rFonts w:ascii="Times New Roman" w:hAnsi="Times New Roman" w:cs="Times New Roman"/>
                <w:color w:val="000000"/>
              </w:rPr>
              <w:t xml:space="preserve">6</w:t>
            </w:r>
          </w:p>
        </w:tc>
        <w:tc>
          <w:tcPr>
            <w:tcW w:type="pct" w:w="809"/>
            <w:tcBorders/>
            <w:shd w:fill="auto" w:color="auto"/>
            <w:vAlign w:val="top"/>
          </w:tcPr>
          <w:p>
            <w:pPr>
              <w:pBdr/>
              <w:pStyle w:val="Compact"/>
              <w:spacing/>
              <w:ind/>
              <w:jc w:val="center"/>
              <w:rPr>
                <w:rFonts w:ascii="Times New Roman" w:hAnsi="Times New Roman" w:cs="Times New Roman"/>
                <w:color w:val="000000"/>
              </w:rPr>
            </w:pPr>
            <w:r>
              <w:rPr>
                <w:rFonts w:ascii="Times New Roman" w:hAnsi="Times New Roman" w:cs="Times New Roman"/>
                <w:color w:val="000000"/>
              </w:rPr>
              <w:t xml:space="preserve">2.8</w:t>
            </w:r>
          </w:p>
        </w:tc>
        <w:tc>
          <w:tcPr>
            <w:tcW w:type="pct" w:w="461"/>
            <w:tcBorders/>
            <w:shd w:fill="auto" w:color="auto"/>
            <w:vAlign w:val="top"/>
          </w:tcPr>
          <w:p>
            <w:pPr>
              <w:pBdr/>
              <w:pStyle w:val="Compact"/>
              <w:spacing/>
              <w:ind/>
              <w:jc w:val="center"/>
              <w:rPr>
                <w:rFonts w:ascii="Times New Roman" w:hAnsi="Times New Roman" w:cs="Times New Roman"/>
                <w:color w:val="000000"/>
              </w:rPr>
            </w:pPr>
            <w:r>
              <w:rPr>
                <w:rFonts w:ascii="Times New Roman" w:hAnsi="Times New Roman" w:cs="Times New Roman"/>
                <w:color w:val="000000"/>
              </w:rPr>
              <w:t xml:space="preserve">0</w:t>
            </w:r>
          </w:p>
        </w:tc>
        <w:tc>
          <w:tcPr>
            <w:tcW w:type="pct" w:w="488"/>
            <w:tcBorders>
              <w:right w:val="single" w:color="000000" w:sz="4" w:space="0"/>
            </w:tcBorders>
            <w:shd w:fill="auto" w:color="auto"/>
            <w:vAlign w:val="top"/>
          </w:tcPr>
          <w:p>
            <w:pPr>
              <w:pBdr/>
              <w:pStyle w:val="Compact"/>
              <w:spacing/>
              <w:ind/>
              <w:jc w:val="center"/>
              <w:rPr>
                <w:rFonts w:ascii="Times New Roman" w:hAnsi="Times New Roman" w:cs="Times New Roman"/>
                <w:color w:val="000000"/>
              </w:rPr>
            </w:pPr>
            <w:r>
              <w:rPr>
                <w:rFonts w:ascii="Times New Roman" w:hAnsi="Times New Roman" w:cs="Times New Roman"/>
                <w:color w:val="000000"/>
              </w:rPr>
              <w:t xml:space="preserve">10</w:t>
            </w:r>
          </w:p>
        </w:tc>
      </w:tr>
      <w:tr>
        <w:tblPrEx>
          <w:tblBorders/>
        </w:tblPrEx>
        <w:trPr>
          <w:trHeight w:hRule="atLeast" w:val="20"/>
        </w:trPr>
        <w:tc>
          <w:tcPr>
            <w:tcW w:type="pct" w:w="2163"/>
            <w:tcBorders>
              <w:left w:val="single" w:color="000000" w:sz="4" w:space="0"/>
              <w:right w:val="single" w:color="000000" w:sz="4" w:space="0"/>
            </w:tcBorders>
            <w:shd w:fill="auto" w:color="auto"/>
            <w:vAlign w:val="top"/>
          </w:tcPr>
          <w:p>
            <w:pPr>
              <w:pBdr/>
              <w:pStyle w:val="Compact"/>
              <w:spacing/>
              <w:ind/>
              <w:rPr>
                <w:rFonts w:ascii="Times New Roman" w:hAnsi="Times New Roman" w:cs="Times New Roman"/>
                <w:color w:val="000000"/>
              </w:rPr>
            </w:pPr>
            <w:r>
              <w:rPr>
                <w:rFonts w:ascii="Times New Roman" w:hAnsi="Times New Roman" w:cs="Times New Roman"/>
                <w:color w:val="000000"/>
              </w:rPr>
              <w:t xml:space="preserve">Fatalism</w:t>
            </w:r>
          </w:p>
        </w:tc>
        <w:tc>
          <w:tcPr>
            <w:tcW w:type="pct" w:w="516"/>
            <w:tcBorders>
              <w:left w:val="single" w:color="000000" w:sz="4" w:space="0"/>
            </w:tcBorders>
            <w:shd w:fill="auto" w:color="auto"/>
            <w:vAlign w:val="top"/>
          </w:tcPr>
          <w:p>
            <w:pPr>
              <w:pBdr/>
              <w:pStyle w:val="Compact"/>
              <w:spacing/>
              <w:ind/>
              <w:jc w:val="center"/>
              <w:rPr>
                <w:rFonts w:ascii="Times New Roman" w:hAnsi="Times New Roman" w:cs="Times New Roman"/>
                <w:color w:val="000000"/>
              </w:rPr>
            </w:pPr>
            <w:r>
              <w:rPr>
                <w:rFonts w:ascii="Times New Roman" w:hAnsi="Times New Roman" w:cs="Times New Roman"/>
                <w:color w:val="000000"/>
              </w:rPr>
              <w:t xml:space="preserve">1197</w:t>
            </w:r>
          </w:p>
        </w:tc>
        <w:tc>
          <w:tcPr>
            <w:tcW w:type="pct" w:w="563"/>
            <w:tcBorders/>
            <w:shd w:fill="auto" w:color="auto"/>
            <w:vAlign w:val="top"/>
          </w:tcPr>
          <w:p>
            <w:pPr>
              <w:pBdr/>
              <w:pStyle w:val="Compact"/>
              <w:spacing/>
              <w:ind/>
              <w:jc w:val="center"/>
              <w:rPr>
                <w:rFonts w:ascii="Times New Roman" w:hAnsi="Times New Roman" w:cs="Times New Roman"/>
                <w:color w:val="000000"/>
              </w:rPr>
            </w:pPr>
            <w:r>
              <w:rPr>
                <w:rFonts w:ascii="Times New Roman" w:hAnsi="Times New Roman" w:cs="Times New Roman"/>
                <w:color w:val="000000"/>
              </w:rPr>
              <w:t xml:space="preserve">4.8</w:t>
            </w:r>
          </w:p>
        </w:tc>
        <w:tc>
          <w:tcPr>
            <w:tcW w:type="pct" w:w="809"/>
            <w:tcBorders/>
            <w:shd w:fill="auto" w:color="auto"/>
            <w:vAlign w:val="top"/>
          </w:tcPr>
          <w:p>
            <w:pPr>
              <w:pBdr/>
              <w:pStyle w:val="Compact"/>
              <w:spacing/>
              <w:ind/>
              <w:jc w:val="center"/>
              <w:rPr>
                <w:rFonts w:ascii="Times New Roman" w:hAnsi="Times New Roman" w:cs="Times New Roman"/>
                <w:color w:val="000000"/>
              </w:rPr>
            </w:pPr>
            <w:r>
              <w:rPr>
                <w:rFonts w:ascii="Times New Roman" w:hAnsi="Times New Roman" w:cs="Times New Roman"/>
                <w:color w:val="000000"/>
              </w:rPr>
              <w:t xml:space="preserve">2.8</w:t>
            </w:r>
          </w:p>
        </w:tc>
        <w:tc>
          <w:tcPr>
            <w:tcW w:type="pct" w:w="461"/>
            <w:tcBorders/>
            <w:shd w:fill="auto" w:color="auto"/>
            <w:vAlign w:val="top"/>
          </w:tcPr>
          <w:p>
            <w:pPr>
              <w:pBdr/>
              <w:pStyle w:val="Compact"/>
              <w:spacing/>
              <w:ind/>
              <w:jc w:val="center"/>
              <w:rPr>
                <w:rFonts w:ascii="Times New Roman" w:hAnsi="Times New Roman" w:cs="Times New Roman"/>
                <w:color w:val="000000"/>
              </w:rPr>
            </w:pPr>
            <w:r>
              <w:rPr>
                <w:rFonts w:ascii="Times New Roman" w:hAnsi="Times New Roman" w:cs="Times New Roman"/>
                <w:color w:val="000000"/>
              </w:rPr>
              <w:t xml:space="preserve">0</w:t>
            </w:r>
          </w:p>
        </w:tc>
        <w:tc>
          <w:tcPr>
            <w:tcW w:type="pct" w:w="488"/>
            <w:tcBorders>
              <w:right w:val="single" w:color="000000" w:sz="4" w:space="0"/>
            </w:tcBorders>
            <w:shd w:fill="auto" w:color="auto"/>
            <w:vAlign w:val="top"/>
          </w:tcPr>
          <w:p>
            <w:pPr>
              <w:pBdr/>
              <w:pStyle w:val="Compact"/>
              <w:spacing/>
              <w:ind/>
              <w:jc w:val="center"/>
              <w:rPr>
                <w:rFonts w:ascii="Times New Roman" w:hAnsi="Times New Roman" w:cs="Times New Roman"/>
                <w:color w:val="000000"/>
              </w:rPr>
            </w:pPr>
            <w:r>
              <w:rPr>
                <w:rFonts w:ascii="Times New Roman" w:hAnsi="Times New Roman" w:cs="Times New Roman"/>
                <w:color w:val="000000"/>
              </w:rPr>
              <w:t xml:space="preserve">10</w:t>
            </w:r>
          </w:p>
        </w:tc>
      </w:tr>
      <w:tr>
        <w:tblPrEx>
          <w:tblBorders/>
        </w:tblPrEx>
        <w:trPr>
          <w:trHeight w:hRule="atLeast" w:val="20"/>
        </w:trPr>
        <w:tc>
          <w:tcPr>
            <w:tcW w:type="pct" w:w="2163"/>
            <w:tcBorders>
              <w:left w:val="single" w:color="000000" w:sz="4" w:space="0"/>
              <w:right w:val="single" w:color="000000" w:sz="4" w:space="0"/>
            </w:tcBorders>
            <w:shd w:fill="auto" w:color="auto"/>
            <w:vAlign w:val="top"/>
          </w:tcPr>
          <w:p>
            <w:pPr>
              <w:pBdr/>
              <w:pStyle w:val="Compact"/>
              <w:spacing/>
              <w:ind/>
              <w:rPr>
                <w:rFonts w:ascii="Times New Roman" w:hAnsi="Times New Roman" w:cs="Times New Roman"/>
                <w:color w:val="000000"/>
              </w:rPr>
            </w:pPr>
            <w:r>
              <w:rPr>
                <w:rFonts w:ascii="Times New Roman" w:hAnsi="Times New Roman" w:cs="Times New Roman"/>
                <w:color w:val="000000"/>
              </w:rPr>
              <w:t xml:space="preserve">Conservative Ideology</w:t>
            </w:r>
          </w:p>
        </w:tc>
        <w:tc>
          <w:tcPr>
            <w:tcW w:type="pct" w:w="516"/>
            <w:tcBorders>
              <w:left w:val="single" w:color="000000" w:sz="4" w:space="0"/>
            </w:tcBorders>
            <w:shd w:fill="auto" w:color="auto"/>
            <w:vAlign w:val="top"/>
          </w:tcPr>
          <w:p>
            <w:pPr>
              <w:pBdr/>
              <w:pStyle w:val="Compact"/>
              <w:spacing/>
              <w:ind/>
              <w:jc w:val="center"/>
              <w:rPr>
                <w:rFonts w:ascii="Times New Roman" w:hAnsi="Times New Roman" w:cs="Times New Roman"/>
                <w:color w:val="000000"/>
              </w:rPr>
            </w:pPr>
            <w:r>
              <w:rPr>
                <w:rFonts w:ascii="Times New Roman" w:hAnsi="Times New Roman" w:cs="Times New Roman"/>
                <w:color w:val="000000"/>
              </w:rPr>
              <w:t xml:space="preserve">1198</w:t>
            </w:r>
          </w:p>
        </w:tc>
        <w:tc>
          <w:tcPr>
            <w:tcW w:type="pct" w:w="563"/>
            <w:tcBorders/>
            <w:shd w:fill="auto" w:color="auto"/>
            <w:vAlign w:val="top"/>
          </w:tcPr>
          <w:p>
            <w:pPr>
              <w:pBdr/>
              <w:pStyle w:val="Compact"/>
              <w:spacing/>
              <w:ind/>
              <w:jc w:val="center"/>
              <w:rPr>
                <w:rFonts w:ascii="Times New Roman" w:hAnsi="Times New Roman" w:cs="Times New Roman"/>
                <w:color w:val="000000"/>
              </w:rPr>
            </w:pPr>
            <w:r>
              <w:rPr>
                <w:rFonts w:ascii="Times New Roman" w:hAnsi="Times New Roman" w:cs="Times New Roman"/>
                <w:color w:val="000000"/>
              </w:rPr>
              <w:t xml:space="preserve">2.7</w:t>
            </w:r>
          </w:p>
        </w:tc>
        <w:tc>
          <w:tcPr>
            <w:tcW w:type="pct" w:w="809"/>
            <w:tcBorders/>
            <w:shd w:fill="auto" w:color="auto"/>
            <w:vAlign w:val="top"/>
          </w:tcPr>
          <w:p>
            <w:pPr>
              <w:pBdr/>
              <w:pStyle w:val="Compact"/>
              <w:spacing/>
              <w:ind/>
              <w:jc w:val="center"/>
              <w:rPr>
                <w:rFonts w:ascii="Times New Roman" w:hAnsi="Times New Roman" w:cs="Times New Roman"/>
                <w:color w:val="000000"/>
              </w:rPr>
            </w:pPr>
            <w:r>
              <w:rPr>
                <w:rFonts w:ascii="Times New Roman" w:hAnsi="Times New Roman" w:cs="Times New Roman"/>
                <w:color w:val="000000"/>
              </w:rPr>
              <w:t xml:space="preserve">1.3</w:t>
            </w:r>
          </w:p>
        </w:tc>
        <w:tc>
          <w:tcPr>
            <w:tcW w:type="pct" w:w="461"/>
            <w:tcBorders/>
            <w:shd w:fill="auto" w:color="auto"/>
            <w:vAlign w:val="top"/>
          </w:tcPr>
          <w:p>
            <w:pPr>
              <w:pBdr/>
              <w:pStyle w:val="Compact"/>
              <w:spacing/>
              <w:ind/>
              <w:jc w:val="center"/>
              <w:rPr>
                <w:rFonts w:ascii="Times New Roman" w:hAnsi="Times New Roman" w:cs="Times New Roman"/>
                <w:color w:val="000000"/>
              </w:rPr>
            </w:pPr>
            <w:r>
              <w:rPr>
                <w:rFonts w:ascii="Times New Roman" w:hAnsi="Times New Roman" w:cs="Times New Roman"/>
                <w:color w:val="000000"/>
              </w:rPr>
              <w:t xml:space="preserve">1</w:t>
            </w:r>
          </w:p>
        </w:tc>
        <w:tc>
          <w:tcPr>
            <w:tcW w:type="pct" w:w="488"/>
            <w:tcBorders>
              <w:right w:val="single" w:color="000000" w:sz="4" w:space="0"/>
            </w:tcBorders>
            <w:shd w:fill="auto" w:color="auto"/>
            <w:vAlign w:val="top"/>
          </w:tcPr>
          <w:p>
            <w:pPr>
              <w:pBdr/>
              <w:pStyle w:val="Compact"/>
              <w:spacing/>
              <w:ind/>
              <w:jc w:val="center"/>
              <w:rPr>
                <w:rFonts w:ascii="Times New Roman" w:hAnsi="Times New Roman" w:cs="Times New Roman"/>
                <w:color w:val="000000"/>
              </w:rPr>
            </w:pPr>
            <w:r>
              <w:rPr>
                <w:rFonts w:ascii="Times New Roman" w:hAnsi="Times New Roman" w:cs="Times New Roman"/>
                <w:color w:val="000000"/>
              </w:rPr>
              <w:t xml:space="preserve">5</w:t>
            </w:r>
          </w:p>
        </w:tc>
      </w:tr>
      <w:tr>
        <w:tblPrEx>
          <w:tblBorders/>
        </w:tblPrEx>
        <w:trPr>
          <w:trHeight w:hRule="atLeast" w:val="20"/>
        </w:trPr>
        <w:tc>
          <w:tcPr>
            <w:tcW w:type="pct" w:w="2163"/>
            <w:tcBorders>
              <w:left w:val="single" w:color="000000" w:sz="4" w:space="0"/>
              <w:right w:val="single" w:color="000000" w:sz="4" w:space="0"/>
            </w:tcBorders>
            <w:shd w:fill="auto" w:color="auto"/>
            <w:vAlign w:val="top"/>
          </w:tcPr>
          <w:p>
            <w:pPr>
              <w:pBdr/>
              <w:pStyle w:val="Compact"/>
              <w:spacing/>
              <w:ind/>
              <w:rPr>
                <w:rFonts w:ascii="Times New Roman" w:hAnsi="Times New Roman" w:cs="Times New Roman"/>
                <w:color w:val="000000"/>
              </w:rPr>
            </w:pPr>
            <w:r>
              <w:rPr>
                <w:rFonts w:ascii="Times New Roman" w:hAnsi="Times New Roman" w:cs="Times New Roman"/>
                <w:color w:val="000000"/>
              </w:rPr>
              <w:t xml:space="preserve">SNAP Experience</w:t>
            </w:r>
          </w:p>
        </w:tc>
        <w:tc>
          <w:tcPr>
            <w:tcW w:type="pct" w:w="516"/>
            <w:tcBorders>
              <w:left w:val="single" w:color="000000" w:sz="4" w:space="0"/>
            </w:tcBorders>
            <w:shd w:fill="auto" w:color="auto"/>
            <w:vAlign w:val="top"/>
          </w:tcPr>
          <w:p>
            <w:pPr>
              <w:pBdr/>
              <w:pStyle w:val="Compact"/>
              <w:spacing/>
              <w:ind/>
              <w:jc w:val="center"/>
              <w:rPr>
                <w:rFonts w:ascii="Times New Roman" w:hAnsi="Times New Roman" w:cs="Times New Roman"/>
                <w:color w:val="000000"/>
              </w:rPr>
            </w:pPr>
            <w:r>
              <w:rPr>
                <w:rFonts w:ascii="Times New Roman" w:hAnsi="Times New Roman" w:cs="Times New Roman"/>
                <w:color w:val="000000"/>
              </w:rPr>
              <w:t xml:space="preserve">1173</w:t>
            </w:r>
          </w:p>
        </w:tc>
        <w:tc>
          <w:tcPr>
            <w:tcW w:type="pct" w:w="563"/>
            <w:tcBorders/>
            <w:shd w:fill="auto" w:color="auto"/>
            <w:vAlign w:val="top"/>
          </w:tcPr>
          <w:p>
            <w:pPr>
              <w:pBdr/>
              <w:pStyle w:val="Compact"/>
              <w:spacing/>
              <w:ind/>
              <w:jc w:val="center"/>
              <w:rPr>
                <w:rFonts w:ascii="Times New Roman" w:hAnsi="Times New Roman" w:cs="Times New Roman"/>
                <w:color w:val="000000"/>
              </w:rPr>
            </w:pPr>
            <w:r>
              <w:rPr>
                <w:rFonts w:ascii="Times New Roman" w:hAnsi="Times New Roman" w:cs="Times New Roman"/>
                <w:color w:val="000000"/>
              </w:rPr>
              <w:t xml:space="preserve">0.36</w:t>
            </w:r>
          </w:p>
        </w:tc>
        <w:tc>
          <w:tcPr>
            <w:tcW w:type="pct" w:w="809"/>
            <w:tcBorders/>
            <w:shd w:fill="auto" w:color="auto"/>
            <w:vAlign w:val="top"/>
          </w:tcPr>
          <w:p>
            <w:pPr>
              <w:pBdr/>
              <w:pStyle w:val="Compact"/>
              <w:spacing/>
              <w:ind/>
              <w:jc w:val="center"/>
              <w:rPr>
                <w:rFonts w:ascii="Times New Roman" w:hAnsi="Times New Roman" w:cs="Times New Roman"/>
                <w:color w:val="000000"/>
              </w:rPr>
            </w:pPr>
            <w:r>
              <w:rPr>
                <w:rFonts w:ascii="Times New Roman" w:hAnsi="Times New Roman" w:cs="Times New Roman"/>
                <w:color w:val="000000"/>
              </w:rPr>
              <w:t xml:space="preserve">0.48</w:t>
            </w:r>
          </w:p>
        </w:tc>
        <w:tc>
          <w:tcPr>
            <w:tcW w:type="pct" w:w="461"/>
            <w:tcBorders/>
            <w:shd w:fill="auto" w:color="auto"/>
            <w:vAlign w:val="top"/>
          </w:tcPr>
          <w:p>
            <w:pPr>
              <w:pBdr/>
              <w:pStyle w:val="Compact"/>
              <w:spacing/>
              <w:ind/>
              <w:jc w:val="center"/>
              <w:rPr>
                <w:rFonts w:ascii="Times New Roman" w:hAnsi="Times New Roman" w:cs="Times New Roman"/>
                <w:color w:val="000000"/>
              </w:rPr>
            </w:pPr>
            <w:r>
              <w:rPr>
                <w:rFonts w:ascii="Times New Roman" w:hAnsi="Times New Roman" w:cs="Times New Roman"/>
                <w:color w:val="000000"/>
              </w:rPr>
              <w:t xml:space="preserve">0</w:t>
            </w:r>
          </w:p>
        </w:tc>
        <w:tc>
          <w:tcPr>
            <w:tcW w:type="pct" w:w="488"/>
            <w:tcBorders>
              <w:right w:val="single" w:color="000000" w:sz="4" w:space="0"/>
            </w:tcBorders>
            <w:shd w:fill="auto" w:color="auto"/>
            <w:vAlign w:val="top"/>
          </w:tcPr>
          <w:p>
            <w:pPr>
              <w:pBdr/>
              <w:pStyle w:val="Compact"/>
              <w:spacing/>
              <w:ind/>
              <w:jc w:val="center"/>
              <w:rPr>
                <w:rFonts w:ascii="Times New Roman" w:hAnsi="Times New Roman" w:cs="Times New Roman"/>
                <w:color w:val="000000"/>
              </w:rPr>
            </w:pPr>
            <w:r>
              <w:rPr>
                <w:rFonts w:ascii="Times New Roman" w:hAnsi="Times New Roman" w:cs="Times New Roman"/>
                <w:color w:val="000000"/>
              </w:rPr>
              <w:t xml:space="preserve">1</w:t>
            </w:r>
          </w:p>
        </w:tc>
      </w:tr>
      <w:tr>
        <w:tblPrEx>
          <w:tblBorders/>
        </w:tblPrEx>
        <w:trPr>
          <w:trHeight w:hRule="atLeast" w:val="20"/>
        </w:trPr>
        <w:tc>
          <w:tcPr>
            <w:tcW w:type="pct" w:w="2163"/>
            <w:tcBorders>
              <w:left w:val="single" w:color="000000" w:sz="4" w:space="0"/>
              <w:right w:val="single" w:color="000000" w:sz="4" w:space="0"/>
            </w:tcBorders>
            <w:shd w:fill="auto" w:color="auto"/>
            <w:vAlign w:val="top"/>
          </w:tcPr>
          <w:p>
            <w:pPr>
              <w:pBdr/>
              <w:pStyle w:val="Compact"/>
              <w:spacing/>
              <w:ind/>
              <w:rPr>
                <w:rFonts w:ascii="Times New Roman" w:hAnsi="Times New Roman" w:cs="Times New Roman"/>
                <w:color w:val="000000"/>
              </w:rPr>
            </w:pPr>
            <w:r>
              <w:rPr>
                <w:rFonts w:ascii="Times New Roman" w:hAnsi="Times New Roman" w:cs="Times New Roman"/>
                <w:color w:val="000000"/>
              </w:rPr>
              <w:t xml:space="preserve">Voted</w:t>
            </w:r>
          </w:p>
        </w:tc>
        <w:tc>
          <w:tcPr>
            <w:tcW w:type="pct" w:w="516"/>
            <w:tcBorders>
              <w:left w:val="single" w:color="000000" w:sz="4" w:space="0"/>
            </w:tcBorders>
            <w:shd w:fill="auto" w:color="auto"/>
            <w:vAlign w:val="top"/>
          </w:tcPr>
          <w:p>
            <w:pPr>
              <w:pBdr/>
              <w:pStyle w:val="Compact"/>
              <w:spacing/>
              <w:ind/>
              <w:jc w:val="center"/>
              <w:rPr>
                <w:rFonts w:ascii="Times New Roman" w:hAnsi="Times New Roman" w:cs="Times New Roman"/>
                <w:color w:val="000000"/>
              </w:rPr>
            </w:pPr>
            <w:r>
              <w:rPr>
                <w:rFonts w:ascii="Times New Roman" w:hAnsi="Times New Roman" w:cs="Times New Roman"/>
                <w:color w:val="000000"/>
              </w:rPr>
              <w:t xml:space="preserve">1200</w:t>
            </w:r>
          </w:p>
        </w:tc>
        <w:tc>
          <w:tcPr>
            <w:tcW w:type="pct" w:w="563"/>
            <w:tcBorders/>
            <w:shd w:fill="auto" w:color="auto"/>
            <w:vAlign w:val="top"/>
          </w:tcPr>
          <w:p>
            <w:pPr>
              <w:pBdr/>
              <w:pStyle w:val="Compact"/>
              <w:spacing/>
              <w:ind/>
              <w:jc w:val="center"/>
              <w:rPr>
                <w:rFonts w:ascii="Times New Roman" w:hAnsi="Times New Roman" w:cs="Times New Roman"/>
                <w:color w:val="000000"/>
              </w:rPr>
            </w:pPr>
            <w:r>
              <w:rPr>
                <w:rFonts w:ascii="Times New Roman" w:hAnsi="Times New Roman" w:cs="Times New Roman"/>
                <w:color w:val="000000"/>
              </w:rPr>
              <w:t xml:space="preserve">0.87</w:t>
            </w:r>
          </w:p>
        </w:tc>
        <w:tc>
          <w:tcPr>
            <w:tcW w:type="pct" w:w="809"/>
            <w:tcBorders/>
            <w:shd w:fill="auto" w:color="auto"/>
            <w:vAlign w:val="top"/>
          </w:tcPr>
          <w:p>
            <w:pPr>
              <w:pBdr/>
              <w:pStyle w:val="Compact"/>
              <w:spacing/>
              <w:ind/>
              <w:jc w:val="center"/>
              <w:rPr>
                <w:rFonts w:ascii="Times New Roman" w:hAnsi="Times New Roman" w:cs="Times New Roman"/>
                <w:color w:val="000000"/>
              </w:rPr>
            </w:pPr>
            <w:r>
              <w:rPr>
                <w:rFonts w:ascii="Times New Roman" w:hAnsi="Times New Roman" w:cs="Times New Roman"/>
                <w:color w:val="000000"/>
              </w:rPr>
              <w:t xml:space="preserve">0.34</w:t>
            </w:r>
          </w:p>
        </w:tc>
        <w:tc>
          <w:tcPr>
            <w:tcW w:type="pct" w:w="461"/>
            <w:tcBorders/>
            <w:shd w:fill="auto" w:color="auto"/>
            <w:vAlign w:val="top"/>
          </w:tcPr>
          <w:p>
            <w:pPr>
              <w:pBdr/>
              <w:pStyle w:val="Compact"/>
              <w:spacing/>
              <w:ind/>
              <w:jc w:val="center"/>
              <w:rPr>
                <w:rFonts w:ascii="Times New Roman" w:hAnsi="Times New Roman" w:cs="Times New Roman"/>
                <w:color w:val="000000"/>
              </w:rPr>
            </w:pPr>
            <w:r>
              <w:rPr>
                <w:rFonts w:ascii="Times New Roman" w:hAnsi="Times New Roman" w:cs="Times New Roman"/>
                <w:color w:val="000000"/>
              </w:rPr>
              <w:t xml:space="preserve">0</w:t>
            </w:r>
          </w:p>
        </w:tc>
        <w:tc>
          <w:tcPr>
            <w:tcW w:type="pct" w:w="488"/>
            <w:tcBorders>
              <w:right w:val="single" w:color="000000" w:sz="4" w:space="0"/>
            </w:tcBorders>
            <w:shd w:fill="auto" w:color="auto"/>
            <w:vAlign w:val="top"/>
          </w:tcPr>
          <w:p>
            <w:pPr>
              <w:pBdr/>
              <w:pStyle w:val="Compact"/>
              <w:spacing/>
              <w:ind/>
              <w:jc w:val="center"/>
              <w:rPr>
                <w:rFonts w:ascii="Times New Roman" w:hAnsi="Times New Roman" w:cs="Times New Roman"/>
                <w:color w:val="000000"/>
              </w:rPr>
            </w:pPr>
            <w:r>
              <w:rPr>
                <w:rFonts w:ascii="Times New Roman" w:hAnsi="Times New Roman" w:cs="Times New Roman"/>
                <w:color w:val="000000"/>
              </w:rPr>
              <w:t xml:space="preserve">1</w:t>
            </w:r>
          </w:p>
        </w:tc>
      </w:tr>
      <w:tr>
        <w:tblPrEx>
          <w:tblBorders/>
        </w:tblPrEx>
        <w:trPr>
          <w:trHeight w:hRule="atLeast" w:val="20"/>
        </w:trPr>
        <w:tc>
          <w:tcPr>
            <w:tcW w:type="pct" w:w="2163"/>
            <w:tcBorders>
              <w:left w:val="single" w:color="000000" w:sz="4" w:space="0"/>
              <w:right w:val="single" w:color="000000" w:sz="4" w:space="0"/>
            </w:tcBorders>
            <w:shd w:fill="auto" w:color="auto"/>
            <w:vAlign w:val="top"/>
          </w:tcPr>
          <w:p>
            <w:pPr>
              <w:pBdr/>
              <w:pStyle w:val="Compact"/>
              <w:spacing/>
              <w:ind/>
              <w:rPr>
                <w:rFonts w:ascii="Times New Roman" w:hAnsi="Times New Roman" w:cs="Times New Roman"/>
                <w:color w:val="000000"/>
              </w:rPr>
            </w:pPr>
            <w:r>
              <w:rPr>
                <w:rFonts w:ascii="Times New Roman" w:hAnsi="Times New Roman" w:cs="Times New Roman"/>
                <w:color w:val="000000"/>
              </w:rPr>
              <w:t xml:space="preserve">Gun Owner</w:t>
            </w:r>
          </w:p>
        </w:tc>
        <w:tc>
          <w:tcPr>
            <w:tcW w:type="pct" w:w="516"/>
            <w:tcBorders>
              <w:left w:val="single" w:color="000000" w:sz="4" w:space="0"/>
            </w:tcBorders>
            <w:shd w:fill="auto" w:color="auto"/>
            <w:vAlign w:val="top"/>
          </w:tcPr>
          <w:p>
            <w:pPr>
              <w:pBdr/>
              <w:pStyle w:val="Compact"/>
              <w:spacing/>
              <w:ind/>
              <w:jc w:val="center"/>
              <w:rPr>
                <w:rFonts w:ascii="Times New Roman" w:hAnsi="Times New Roman" w:cs="Times New Roman"/>
                <w:color w:val="000000"/>
              </w:rPr>
            </w:pPr>
            <w:r>
              <w:rPr>
                <w:rFonts w:ascii="Times New Roman" w:hAnsi="Times New Roman" w:cs="Times New Roman"/>
                <w:color w:val="000000"/>
              </w:rPr>
              <w:t xml:space="preserve">1143</w:t>
            </w:r>
          </w:p>
        </w:tc>
        <w:tc>
          <w:tcPr>
            <w:tcW w:type="pct" w:w="563"/>
            <w:tcBorders/>
            <w:shd w:fill="auto" w:color="auto"/>
            <w:vAlign w:val="top"/>
          </w:tcPr>
          <w:p>
            <w:pPr>
              <w:pBdr/>
              <w:pStyle w:val="Compact"/>
              <w:spacing/>
              <w:ind/>
              <w:jc w:val="center"/>
              <w:rPr>
                <w:rFonts w:ascii="Times New Roman" w:hAnsi="Times New Roman" w:cs="Times New Roman"/>
                <w:color w:val="000000"/>
              </w:rPr>
            </w:pPr>
            <w:r>
              <w:rPr>
                <w:rFonts w:ascii="Times New Roman" w:hAnsi="Times New Roman" w:cs="Times New Roman"/>
                <w:color w:val="000000"/>
              </w:rPr>
              <w:t xml:space="preserve">0.28</w:t>
            </w:r>
          </w:p>
        </w:tc>
        <w:tc>
          <w:tcPr>
            <w:tcW w:type="pct" w:w="809"/>
            <w:tcBorders/>
            <w:shd w:fill="auto" w:color="auto"/>
            <w:vAlign w:val="top"/>
          </w:tcPr>
          <w:p>
            <w:pPr>
              <w:pBdr/>
              <w:pStyle w:val="Compact"/>
              <w:spacing/>
              <w:ind/>
              <w:jc w:val="center"/>
              <w:rPr>
                <w:rFonts w:ascii="Times New Roman" w:hAnsi="Times New Roman" w:cs="Times New Roman"/>
                <w:color w:val="000000"/>
              </w:rPr>
            </w:pPr>
            <w:r>
              <w:rPr>
                <w:rFonts w:ascii="Times New Roman" w:hAnsi="Times New Roman" w:cs="Times New Roman"/>
                <w:color w:val="000000"/>
              </w:rPr>
              <w:t xml:space="preserve">0.45</w:t>
            </w:r>
          </w:p>
        </w:tc>
        <w:tc>
          <w:tcPr>
            <w:tcW w:type="pct" w:w="461"/>
            <w:tcBorders/>
            <w:shd w:fill="auto" w:color="auto"/>
            <w:vAlign w:val="top"/>
          </w:tcPr>
          <w:p>
            <w:pPr>
              <w:pBdr/>
              <w:pStyle w:val="Compact"/>
              <w:spacing/>
              <w:ind/>
              <w:jc w:val="center"/>
              <w:rPr>
                <w:rFonts w:ascii="Times New Roman" w:hAnsi="Times New Roman" w:cs="Times New Roman"/>
                <w:color w:val="000000"/>
              </w:rPr>
            </w:pPr>
            <w:r>
              <w:rPr>
                <w:rFonts w:ascii="Times New Roman" w:hAnsi="Times New Roman" w:cs="Times New Roman"/>
                <w:color w:val="000000"/>
              </w:rPr>
              <w:t xml:space="preserve">0</w:t>
            </w:r>
          </w:p>
        </w:tc>
        <w:tc>
          <w:tcPr>
            <w:tcW w:type="pct" w:w="488"/>
            <w:tcBorders>
              <w:right w:val="single" w:color="000000" w:sz="4" w:space="0"/>
            </w:tcBorders>
            <w:shd w:fill="auto" w:color="auto"/>
            <w:vAlign w:val="top"/>
          </w:tcPr>
          <w:p>
            <w:pPr>
              <w:pBdr/>
              <w:pStyle w:val="Compact"/>
              <w:spacing/>
              <w:ind/>
              <w:jc w:val="center"/>
              <w:rPr>
                <w:rFonts w:ascii="Times New Roman" w:hAnsi="Times New Roman" w:cs="Times New Roman"/>
                <w:color w:val="000000"/>
              </w:rPr>
            </w:pPr>
            <w:r>
              <w:rPr>
                <w:rFonts w:ascii="Times New Roman" w:hAnsi="Times New Roman" w:cs="Times New Roman"/>
                <w:color w:val="000000"/>
              </w:rPr>
              <w:t xml:space="preserve">1</w:t>
            </w:r>
          </w:p>
        </w:tc>
      </w:tr>
      <w:tr>
        <w:tblPrEx>
          <w:tblBorders/>
        </w:tblPrEx>
        <w:trPr>
          <w:trHeight w:hRule="atLeast" w:val="20"/>
        </w:trPr>
        <w:tc>
          <w:tcPr>
            <w:tcW w:type="pct" w:w="2163"/>
            <w:tcBorders>
              <w:left w:val="single" w:color="000000" w:sz="4" w:space="0"/>
              <w:right w:val="single" w:color="000000" w:sz="4" w:space="0"/>
            </w:tcBorders>
            <w:shd w:fill="auto" w:color="auto"/>
            <w:vAlign w:val="top"/>
          </w:tcPr>
          <w:p>
            <w:pPr>
              <w:pBdr/>
              <w:pStyle w:val="Compact"/>
              <w:spacing/>
              <w:ind/>
              <w:rPr>
                <w:rFonts w:ascii="Times New Roman" w:hAnsi="Times New Roman" w:cs="Times New Roman"/>
                <w:color w:val="000000"/>
              </w:rPr>
            </w:pPr>
            <w:r>
              <w:rPr>
                <w:rFonts w:ascii="Times New Roman" w:hAnsi="Times New Roman" w:cs="Times New Roman"/>
                <w:color w:val="000000"/>
              </w:rPr>
              <w:t xml:space="preserve">Age</w:t>
            </w:r>
          </w:p>
        </w:tc>
        <w:tc>
          <w:tcPr>
            <w:tcW w:type="pct" w:w="516"/>
            <w:tcBorders>
              <w:left w:val="single" w:color="000000" w:sz="4" w:space="0"/>
            </w:tcBorders>
            <w:shd w:fill="auto" w:color="auto"/>
            <w:vAlign w:val="top"/>
          </w:tcPr>
          <w:p>
            <w:pPr>
              <w:pBdr/>
              <w:pStyle w:val="Compact"/>
              <w:spacing/>
              <w:ind/>
              <w:jc w:val="center"/>
              <w:rPr>
                <w:rFonts w:ascii="Times New Roman" w:hAnsi="Times New Roman" w:cs="Times New Roman"/>
                <w:color w:val="000000"/>
              </w:rPr>
            </w:pPr>
            <w:r>
              <w:rPr>
                <w:rFonts w:ascii="Times New Roman" w:hAnsi="Times New Roman" w:cs="Times New Roman"/>
                <w:color w:val="000000"/>
              </w:rPr>
              <w:t xml:space="preserve">1199</w:t>
            </w:r>
          </w:p>
        </w:tc>
        <w:tc>
          <w:tcPr>
            <w:tcW w:type="pct" w:w="563"/>
            <w:tcBorders/>
            <w:shd w:fill="auto" w:color="auto"/>
            <w:vAlign w:val="top"/>
          </w:tcPr>
          <w:p>
            <w:pPr>
              <w:pBdr/>
              <w:pStyle w:val="Compact"/>
              <w:spacing/>
              <w:ind/>
              <w:jc w:val="center"/>
              <w:rPr>
                <w:rFonts w:ascii="Times New Roman" w:hAnsi="Times New Roman" w:cs="Times New Roman"/>
                <w:color w:val="000000"/>
              </w:rPr>
            </w:pPr>
            <w:r>
              <w:rPr>
                <w:rFonts w:ascii="Times New Roman" w:hAnsi="Times New Roman" w:cs="Times New Roman"/>
                <w:color w:val="000000"/>
              </w:rPr>
              <w:t xml:space="preserve">45</w:t>
            </w:r>
          </w:p>
        </w:tc>
        <w:tc>
          <w:tcPr>
            <w:tcW w:type="pct" w:w="809"/>
            <w:tcBorders/>
            <w:shd w:fill="auto" w:color="auto"/>
            <w:vAlign w:val="top"/>
          </w:tcPr>
          <w:p>
            <w:pPr>
              <w:pBdr/>
              <w:pStyle w:val="Compact"/>
              <w:spacing/>
              <w:ind/>
              <w:jc w:val="center"/>
              <w:rPr>
                <w:rFonts w:ascii="Times New Roman" w:hAnsi="Times New Roman" w:cs="Times New Roman"/>
                <w:color w:val="000000"/>
              </w:rPr>
            </w:pPr>
            <w:r>
              <w:rPr>
                <w:rFonts w:ascii="Times New Roman" w:hAnsi="Times New Roman" w:cs="Times New Roman"/>
                <w:color w:val="000000"/>
              </w:rPr>
              <w:t xml:space="preserve">16</w:t>
            </w:r>
          </w:p>
        </w:tc>
        <w:tc>
          <w:tcPr>
            <w:tcW w:type="pct" w:w="461"/>
            <w:tcBorders/>
            <w:shd w:fill="auto" w:color="auto"/>
            <w:vAlign w:val="top"/>
          </w:tcPr>
          <w:p>
            <w:pPr>
              <w:pBdr/>
              <w:pStyle w:val="Compact"/>
              <w:spacing/>
              <w:ind/>
              <w:jc w:val="center"/>
              <w:rPr>
                <w:rFonts w:ascii="Times New Roman" w:hAnsi="Times New Roman" w:cs="Times New Roman"/>
                <w:color w:val="000000"/>
              </w:rPr>
            </w:pPr>
            <w:r>
              <w:rPr>
                <w:rFonts w:ascii="Times New Roman" w:hAnsi="Times New Roman" w:cs="Times New Roman"/>
                <w:color w:val="000000"/>
              </w:rPr>
              <w:t xml:space="preserve">18</w:t>
            </w:r>
          </w:p>
        </w:tc>
        <w:tc>
          <w:tcPr>
            <w:tcW w:type="pct" w:w="488"/>
            <w:tcBorders>
              <w:right w:val="single" w:color="000000" w:sz="4" w:space="0"/>
            </w:tcBorders>
            <w:shd w:fill="auto" w:color="auto"/>
            <w:vAlign w:val="top"/>
          </w:tcPr>
          <w:p>
            <w:pPr>
              <w:pBdr/>
              <w:pStyle w:val="Compact"/>
              <w:spacing/>
              <w:ind/>
              <w:jc w:val="center"/>
              <w:rPr>
                <w:rFonts w:ascii="Times New Roman" w:hAnsi="Times New Roman" w:cs="Times New Roman"/>
                <w:color w:val="000000"/>
              </w:rPr>
            </w:pPr>
            <w:r>
              <w:rPr>
                <w:rFonts w:ascii="Times New Roman" w:hAnsi="Times New Roman" w:cs="Times New Roman"/>
                <w:color w:val="000000"/>
              </w:rPr>
              <w:t xml:space="preserve">84</w:t>
            </w:r>
          </w:p>
        </w:tc>
      </w:tr>
      <w:tr>
        <w:tblPrEx>
          <w:tblBorders/>
        </w:tblPrEx>
        <w:trPr>
          <w:trHeight w:hRule="atLeast" w:val="20"/>
        </w:trPr>
        <w:tc>
          <w:tcPr>
            <w:tcW w:type="pct" w:w="2163"/>
            <w:tcBorders>
              <w:left w:val="single" w:color="000000" w:sz="4" w:space="0"/>
              <w:right w:val="single" w:color="000000" w:sz="4" w:space="0"/>
            </w:tcBorders>
            <w:shd w:fill="auto" w:color="auto"/>
            <w:vAlign w:val="top"/>
          </w:tcPr>
          <w:p>
            <w:pPr>
              <w:pBdr/>
              <w:pStyle w:val="Compact"/>
              <w:spacing/>
              <w:ind/>
              <w:rPr>
                <w:rFonts w:ascii="Times New Roman" w:hAnsi="Times New Roman" w:cs="Times New Roman"/>
                <w:color w:val="000000"/>
              </w:rPr>
            </w:pPr>
            <w:r>
              <w:rPr>
                <w:rFonts w:ascii="Times New Roman" w:hAnsi="Times New Roman" w:cs="Times New Roman"/>
                <w:color w:val="000000"/>
              </w:rPr>
              <w:t xml:space="preserve">Income</w:t>
            </w:r>
          </w:p>
        </w:tc>
        <w:tc>
          <w:tcPr>
            <w:tcW w:type="pct" w:w="516"/>
            <w:tcBorders>
              <w:left w:val="single" w:color="000000" w:sz="4" w:space="0"/>
            </w:tcBorders>
            <w:shd w:fill="auto" w:color="auto"/>
            <w:vAlign w:val="top"/>
          </w:tcPr>
          <w:p>
            <w:pPr>
              <w:pBdr/>
              <w:pStyle w:val="Compact"/>
              <w:spacing/>
              <w:ind/>
              <w:jc w:val="center"/>
              <w:rPr>
                <w:rFonts w:ascii="Times New Roman" w:hAnsi="Times New Roman" w:cs="Times New Roman"/>
                <w:color w:val="000000"/>
              </w:rPr>
            </w:pPr>
            <w:r>
              <w:rPr>
                <w:rFonts w:ascii="Times New Roman" w:hAnsi="Times New Roman" w:cs="Times New Roman"/>
                <w:color w:val="000000"/>
              </w:rPr>
              <w:t xml:space="preserve">1198</w:t>
            </w:r>
          </w:p>
        </w:tc>
        <w:tc>
          <w:tcPr>
            <w:tcW w:type="pct" w:w="563"/>
            <w:tcBorders/>
            <w:shd w:fill="auto" w:color="auto"/>
            <w:vAlign w:val="top"/>
          </w:tcPr>
          <w:p>
            <w:pPr>
              <w:pBdr/>
              <w:pStyle w:val="Compact"/>
              <w:spacing/>
              <w:ind/>
              <w:jc w:val="center"/>
              <w:rPr>
                <w:rFonts w:ascii="Times New Roman" w:hAnsi="Times New Roman" w:cs="Times New Roman"/>
                <w:color w:val="000000"/>
              </w:rPr>
            </w:pPr>
            <w:r>
              <w:rPr>
                <w:rFonts w:ascii="Times New Roman" w:hAnsi="Times New Roman" w:cs="Times New Roman"/>
                <w:color w:val="000000"/>
              </w:rPr>
              <w:t xml:space="preserve">8.1</w:t>
            </w:r>
          </w:p>
        </w:tc>
        <w:tc>
          <w:tcPr>
            <w:tcW w:type="pct" w:w="809"/>
            <w:tcBorders/>
            <w:shd w:fill="auto" w:color="auto"/>
            <w:vAlign w:val="top"/>
          </w:tcPr>
          <w:p>
            <w:pPr>
              <w:pBdr/>
              <w:pStyle w:val="Compact"/>
              <w:spacing/>
              <w:ind/>
              <w:jc w:val="center"/>
              <w:rPr>
                <w:rFonts w:ascii="Times New Roman" w:hAnsi="Times New Roman" w:cs="Times New Roman"/>
                <w:color w:val="000000"/>
              </w:rPr>
            </w:pPr>
            <w:r>
              <w:rPr>
                <w:rFonts w:ascii="Times New Roman" w:hAnsi="Times New Roman" w:cs="Times New Roman"/>
                <w:color w:val="000000"/>
              </w:rPr>
              <w:t xml:space="preserve">5</w:t>
            </w:r>
          </w:p>
        </w:tc>
        <w:tc>
          <w:tcPr>
            <w:tcW w:type="pct" w:w="461"/>
            <w:tcBorders/>
            <w:shd w:fill="auto" w:color="auto"/>
            <w:vAlign w:val="top"/>
          </w:tcPr>
          <w:p>
            <w:pPr>
              <w:pBdr/>
              <w:pStyle w:val="Compact"/>
              <w:spacing/>
              <w:ind/>
              <w:jc w:val="center"/>
              <w:rPr>
                <w:rFonts w:ascii="Times New Roman" w:hAnsi="Times New Roman" w:cs="Times New Roman"/>
                <w:color w:val="000000"/>
              </w:rPr>
            </w:pPr>
            <w:r>
              <w:rPr>
                <w:rFonts w:ascii="Times New Roman" w:hAnsi="Times New Roman" w:cs="Times New Roman"/>
                <w:color w:val="000000"/>
              </w:rPr>
              <w:t xml:space="preserve">1</w:t>
            </w:r>
          </w:p>
        </w:tc>
        <w:tc>
          <w:tcPr>
            <w:tcW w:type="pct" w:w="488"/>
            <w:tcBorders>
              <w:right w:val="single" w:color="000000" w:sz="4" w:space="0"/>
            </w:tcBorders>
            <w:shd w:fill="auto" w:color="auto"/>
            <w:vAlign w:val="top"/>
          </w:tcPr>
          <w:p>
            <w:pPr>
              <w:pBdr/>
              <w:pStyle w:val="Compact"/>
              <w:spacing/>
              <w:ind/>
              <w:jc w:val="center"/>
              <w:rPr>
                <w:rFonts w:ascii="Times New Roman" w:hAnsi="Times New Roman" w:cs="Times New Roman"/>
                <w:color w:val="000000"/>
              </w:rPr>
            </w:pPr>
            <w:r>
              <w:rPr>
                <w:rFonts w:ascii="Times New Roman" w:hAnsi="Times New Roman" w:cs="Times New Roman"/>
                <w:color w:val="000000"/>
              </w:rPr>
              <w:t xml:space="preserve">21</w:t>
            </w:r>
          </w:p>
        </w:tc>
      </w:tr>
      <w:tr>
        <w:tblPrEx>
          <w:tblBorders/>
        </w:tblPrEx>
        <w:trPr>
          <w:trHeight w:hRule="atLeast" w:val="20"/>
        </w:trPr>
        <w:tc>
          <w:tcPr>
            <w:tcW w:type="pct" w:w="2163"/>
            <w:tcBorders>
              <w:left w:val="single" w:color="000000" w:sz="4" w:space="0"/>
              <w:right w:val="single" w:color="000000" w:sz="4" w:space="0"/>
            </w:tcBorders>
            <w:shd w:fill="auto" w:color="auto"/>
            <w:vAlign w:val="top"/>
          </w:tcPr>
          <w:p>
            <w:pPr>
              <w:pBdr/>
              <w:pStyle w:val="Compact"/>
              <w:spacing/>
              <w:ind/>
              <w:rPr>
                <w:rFonts w:ascii="Times New Roman" w:hAnsi="Times New Roman" w:cs="Times New Roman"/>
                <w:color w:val="000000"/>
              </w:rPr>
            </w:pPr>
            <w:r>
              <w:rPr>
                <w:rFonts w:ascii="Times New Roman" w:hAnsi="Times New Roman" w:cs="Times New Roman"/>
                <w:color w:val="000000"/>
              </w:rPr>
              <w:t xml:space="preserve">Education</w:t>
            </w:r>
          </w:p>
        </w:tc>
        <w:tc>
          <w:tcPr>
            <w:tcW w:type="pct" w:w="516"/>
            <w:tcBorders>
              <w:left w:val="single" w:color="000000" w:sz="4" w:space="0"/>
            </w:tcBorders>
            <w:shd w:fill="auto" w:color="auto"/>
            <w:vAlign w:val="top"/>
          </w:tcPr>
          <w:p>
            <w:pPr>
              <w:pBdr/>
              <w:pStyle w:val="Compact"/>
              <w:spacing/>
              <w:ind/>
              <w:jc w:val="center"/>
              <w:rPr>
                <w:rFonts w:ascii="Times New Roman" w:hAnsi="Times New Roman" w:cs="Times New Roman"/>
                <w:color w:val="000000"/>
              </w:rPr>
            </w:pPr>
            <w:r>
              <w:rPr>
                <w:rFonts w:ascii="Times New Roman" w:hAnsi="Times New Roman" w:cs="Times New Roman"/>
                <w:color w:val="000000"/>
              </w:rPr>
              <w:t xml:space="preserve">1198</w:t>
            </w:r>
          </w:p>
        </w:tc>
        <w:tc>
          <w:tcPr>
            <w:tcW w:type="pct" w:w="563"/>
            <w:tcBorders/>
            <w:shd w:fill="auto" w:color="auto"/>
            <w:vAlign w:val="top"/>
          </w:tcPr>
          <w:p>
            <w:pPr>
              <w:pBdr/>
              <w:pStyle w:val="Compact"/>
              <w:spacing/>
              <w:ind/>
              <w:jc w:val="center"/>
              <w:rPr>
                <w:rFonts w:ascii="Times New Roman" w:hAnsi="Times New Roman" w:cs="Times New Roman"/>
                <w:color w:val="000000"/>
              </w:rPr>
            </w:pPr>
            <w:r>
              <w:rPr>
                <w:rFonts w:ascii="Times New Roman" w:hAnsi="Times New Roman" w:cs="Times New Roman"/>
                <w:color w:val="000000"/>
              </w:rPr>
              <w:t xml:space="preserve">3.9</w:t>
            </w:r>
          </w:p>
        </w:tc>
        <w:tc>
          <w:tcPr>
            <w:tcW w:type="pct" w:w="809"/>
            <w:tcBorders/>
            <w:shd w:fill="auto" w:color="auto"/>
            <w:vAlign w:val="top"/>
          </w:tcPr>
          <w:p>
            <w:pPr>
              <w:pBdr/>
              <w:pStyle w:val="Compact"/>
              <w:spacing/>
              <w:ind/>
              <w:jc w:val="center"/>
              <w:rPr>
                <w:rFonts w:ascii="Times New Roman" w:hAnsi="Times New Roman" w:cs="Times New Roman"/>
                <w:color w:val="000000"/>
              </w:rPr>
            </w:pPr>
            <w:r>
              <w:rPr>
                <w:rFonts w:ascii="Times New Roman" w:hAnsi="Times New Roman" w:cs="Times New Roman"/>
                <w:color w:val="000000"/>
              </w:rPr>
              <w:t xml:space="preserve">1.3</w:t>
            </w:r>
          </w:p>
        </w:tc>
        <w:tc>
          <w:tcPr>
            <w:tcW w:type="pct" w:w="461"/>
            <w:tcBorders/>
            <w:shd w:fill="auto" w:color="auto"/>
            <w:vAlign w:val="top"/>
          </w:tcPr>
          <w:p>
            <w:pPr>
              <w:pBdr/>
              <w:pStyle w:val="Compact"/>
              <w:spacing/>
              <w:ind/>
              <w:jc w:val="center"/>
              <w:rPr>
                <w:rFonts w:ascii="Times New Roman" w:hAnsi="Times New Roman" w:cs="Times New Roman"/>
                <w:color w:val="000000"/>
              </w:rPr>
            </w:pPr>
            <w:r>
              <w:rPr>
                <w:rFonts w:ascii="Times New Roman" w:hAnsi="Times New Roman" w:cs="Times New Roman"/>
                <w:color w:val="000000"/>
              </w:rPr>
              <w:t xml:space="preserve">1</w:t>
            </w:r>
          </w:p>
        </w:tc>
        <w:tc>
          <w:tcPr>
            <w:tcW w:type="pct" w:w="488"/>
            <w:tcBorders>
              <w:right w:val="single" w:color="000000" w:sz="4" w:space="0"/>
            </w:tcBorders>
            <w:shd w:fill="auto" w:color="auto"/>
            <w:vAlign w:val="top"/>
          </w:tcPr>
          <w:p>
            <w:pPr>
              <w:pBdr/>
              <w:pStyle w:val="Compact"/>
              <w:spacing/>
              <w:ind/>
              <w:jc w:val="center"/>
              <w:rPr>
                <w:rFonts w:ascii="Times New Roman" w:hAnsi="Times New Roman" w:cs="Times New Roman"/>
                <w:color w:val="000000"/>
              </w:rPr>
            </w:pPr>
            <w:r>
              <w:rPr>
                <w:rFonts w:ascii="Times New Roman" w:hAnsi="Times New Roman" w:cs="Times New Roman"/>
                <w:color w:val="000000"/>
              </w:rPr>
              <w:t xml:space="preserve">7</w:t>
            </w:r>
          </w:p>
        </w:tc>
      </w:tr>
      <w:tr>
        <w:tblPrEx>
          <w:tblBorders/>
        </w:tblPrEx>
        <w:trPr>
          <w:trHeight w:hRule="atLeast" w:val="20"/>
        </w:trPr>
        <w:tc>
          <w:tcPr>
            <w:tcW w:type="pct" w:w="2163"/>
            <w:tcBorders>
              <w:left w:val="single" w:color="000000" w:sz="4" w:space="0"/>
              <w:right w:val="single" w:color="000000" w:sz="4" w:space="0"/>
            </w:tcBorders>
            <w:shd w:fill="auto" w:color="auto"/>
            <w:vAlign w:val="top"/>
          </w:tcPr>
          <w:p>
            <w:pPr>
              <w:pBdr/>
              <w:pStyle w:val="Compact"/>
              <w:spacing/>
              <w:ind/>
              <w:rPr>
                <w:rFonts w:ascii="Times New Roman" w:hAnsi="Times New Roman" w:cs="Times New Roman"/>
                <w:color w:val="000000"/>
              </w:rPr>
            </w:pPr>
            <w:r>
              <w:rPr>
                <w:rFonts w:ascii="Times New Roman" w:hAnsi="Times New Roman" w:cs="Times New Roman"/>
                <w:color w:val="000000"/>
              </w:rPr>
              <w:t xml:space="preserve">White</w:t>
            </w:r>
          </w:p>
        </w:tc>
        <w:tc>
          <w:tcPr>
            <w:tcW w:type="pct" w:w="516"/>
            <w:tcBorders>
              <w:left w:val="single" w:color="000000" w:sz="4" w:space="0"/>
            </w:tcBorders>
            <w:shd w:fill="auto" w:color="auto"/>
            <w:vAlign w:val="top"/>
          </w:tcPr>
          <w:p>
            <w:pPr>
              <w:pBdr/>
              <w:pStyle w:val="Compact"/>
              <w:spacing/>
              <w:ind/>
              <w:jc w:val="center"/>
              <w:rPr>
                <w:rFonts w:ascii="Times New Roman" w:hAnsi="Times New Roman" w:cs="Times New Roman"/>
                <w:color w:val="000000"/>
              </w:rPr>
            </w:pPr>
            <w:r>
              <w:rPr>
                <w:rFonts w:ascii="Times New Roman" w:hAnsi="Times New Roman" w:cs="Times New Roman"/>
                <w:color w:val="000000"/>
              </w:rPr>
              <w:t xml:space="preserve">1199</w:t>
            </w:r>
          </w:p>
        </w:tc>
        <w:tc>
          <w:tcPr>
            <w:tcW w:type="pct" w:w="563"/>
            <w:tcBorders/>
            <w:shd w:fill="auto" w:color="auto"/>
            <w:vAlign w:val="top"/>
          </w:tcPr>
          <w:p>
            <w:pPr>
              <w:pBdr/>
              <w:pStyle w:val="Compact"/>
              <w:spacing/>
              <w:ind/>
              <w:jc w:val="center"/>
              <w:rPr>
                <w:rFonts w:ascii="Times New Roman" w:hAnsi="Times New Roman" w:cs="Times New Roman"/>
                <w:color w:val="000000"/>
              </w:rPr>
            </w:pPr>
            <w:r>
              <w:rPr>
                <w:rFonts w:ascii="Times New Roman" w:hAnsi="Times New Roman" w:cs="Times New Roman"/>
                <w:color w:val="000000"/>
              </w:rPr>
              <w:t xml:space="preserve">0.68</w:t>
            </w:r>
          </w:p>
        </w:tc>
        <w:tc>
          <w:tcPr>
            <w:tcW w:type="pct" w:w="809"/>
            <w:tcBorders/>
            <w:shd w:fill="auto" w:color="auto"/>
            <w:vAlign w:val="top"/>
          </w:tcPr>
          <w:p>
            <w:pPr>
              <w:pBdr/>
              <w:pStyle w:val="Compact"/>
              <w:spacing/>
              <w:ind/>
              <w:jc w:val="center"/>
              <w:rPr>
                <w:rFonts w:ascii="Times New Roman" w:hAnsi="Times New Roman" w:cs="Times New Roman"/>
                <w:color w:val="000000"/>
              </w:rPr>
            </w:pPr>
            <w:r>
              <w:rPr>
                <w:rFonts w:ascii="Times New Roman" w:hAnsi="Times New Roman" w:cs="Times New Roman"/>
                <w:color w:val="000000"/>
              </w:rPr>
              <w:t xml:space="preserve">0.47</w:t>
            </w:r>
          </w:p>
        </w:tc>
        <w:tc>
          <w:tcPr>
            <w:tcW w:type="pct" w:w="461"/>
            <w:tcBorders/>
            <w:shd w:fill="auto" w:color="auto"/>
            <w:vAlign w:val="top"/>
          </w:tcPr>
          <w:p>
            <w:pPr>
              <w:pBdr/>
              <w:pStyle w:val="Compact"/>
              <w:spacing/>
              <w:ind/>
              <w:jc w:val="center"/>
              <w:rPr>
                <w:rFonts w:ascii="Times New Roman" w:hAnsi="Times New Roman" w:cs="Times New Roman"/>
                <w:color w:val="000000"/>
              </w:rPr>
            </w:pPr>
            <w:r>
              <w:rPr>
                <w:rFonts w:ascii="Times New Roman" w:hAnsi="Times New Roman" w:cs="Times New Roman"/>
                <w:color w:val="000000"/>
              </w:rPr>
              <w:t xml:space="preserve">0</w:t>
            </w:r>
          </w:p>
        </w:tc>
        <w:tc>
          <w:tcPr>
            <w:tcW w:type="pct" w:w="488"/>
            <w:tcBorders>
              <w:right w:val="single" w:color="000000" w:sz="4" w:space="0"/>
            </w:tcBorders>
            <w:shd w:fill="auto" w:color="auto"/>
            <w:vAlign w:val="top"/>
          </w:tcPr>
          <w:p>
            <w:pPr>
              <w:pBdr/>
              <w:pStyle w:val="Compact"/>
              <w:spacing/>
              <w:ind/>
              <w:jc w:val="center"/>
              <w:rPr>
                <w:rFonts w:ascii="Times New Roman" w:hAnsi="Times New Roman" w:cs="Times New Roman"/>
                <w:color w:val="000000"/>
              </w:rPr>
            </w:pPr>
            <w:r>
              <w:rPr>
                <w:rFonts w:ascii="Times New Roman" w:hAnsi="Times New Roman" w:cs="Times New Roman"/>
                <w:color w:val="000000"/>
              </w:rPr>
              <w:t xml:space="preserve">1</w:t>
            </w:r>
          </w:p>
        </w:tc>
      </w:tr>
      <w:tr>
        <w:tblPrEx>
          <w:tblBorders/>
        </w:tblPrEx>
        <w:trPr>
          <w:trHeight w:hRule="atLeast" w:val="20"/>
        </w:trPr>
        <w:tc>
          <w:tcPr>
            <w:tcW w:type="pct" w:w="2163"/>
            <w:tcBorders>
              <w:left w:val="single" w:color="000000" w:sz="4" w:space="0"/>
              <w:bottom w:val="single" w:color="000000" w:sz="4" w:space="0"/>
              <w:right w:val="single" w:color="000000" w:sz="4" w:space="0"/>
            </w:tcBorders>
            <w:shd w:fill="auto" w:color="auto"/>
            <w:vAlign w:val="top"/>
          </w:tcPr>
          <w:p>
            <w:pPr>
              <w:pBdr/>
              <w:pStyle w:val="Compact"/>
              <w:spacing/>
              <w:ind/>
              <w:rPr>
                <w:rFonts w:ascii="Times New Roman" w:hAnsi="Times New Roman" w:cs="Times New Roman"/>
                <w:color w:val="000000"/>
              </w:rPr>
            </w:pPr>
            <w:r>
              <w:rPr>
                <w:rFonts w:ascii="Times New Roman" w:hAnsi="Times New Roman" w:cs="Times New Roman"/>
                <w:color w:val="000000"/>
              </w:rPr>
              <w:t xml:space="preserve">Male</w:t>
            </w:r>
          </w:p>
        </w:tc>
        <w:tc>
          <w:tcPr>
            <w:tcW w:type="pct" w:w="516"/>
            <w:tcBorders>
              <w:left w:val="single" w:color="000000" w:sz="4" w:space="0"/>
              <w:bottom w:val="single" w:color="000000" w:sz="4" w:space="0"/>
            </w:tcBorders>
            <w:shd w:fill="auto" w:color="auto"/>
            <w:vAlign w:val="top"/>
          </w:tcPr>
          <w:p>
            <w:pPr>
              <w:pBdr/>
              <w:pStyle w:val="Compact"/>
              <w:spacing/>
              <w:ind/>
              <w:jc w:val="center"/>
              <w:rPr>
                <w:rFonts w:ascii="Times New Roman" w:hAnsi="Times New Roman" w:cs="Times New Roman"/>
                <w:color w:val="000000"/>
              </w:rPr>
            </w:pPr>
            <w:r>
              <w:rPr>
                <w:rFonts w:ascii="Times New Roman" w:hAnsi="Times New Roman" w:cs="Times New Roman"/>
                <w:color w:val="000000"/>
              </w:rPr>
              <w:t xml:space="preserve">1192</w:t>
            </w:r>
          </w:p>
        </w:tc>
        <w:tc>
          <w:tcPr>
            <w:tcW w:type="pct" w:w="563"/>
            <w:tcBorders>
              <w:bottom w:val="single" w:color="000000" w:sz="4" w:space="0"/>
            </w:tcBorders>
            <w:shd w:fill="auto" w:color="auto"/>
            <w:vAlign w:val="top"/>
          </w:tcPr>
          <w:p>
            <w:pPr>
              <w:pBdr/>
              <w:pStyle w:val="Compact"/>
              <w:spacing/>
              <w:ind/>
              <w:jc w:val="center"/>
              <w:rPr>
                <w:rFonts w:ascii="Times New Roman" w:hAnsi="Times New Roman" w:cs="Times New Roman"/>
                <w:color w:val="000000"/>
              </w:rPr>
            </w:pPr>
            <w:r>
              <w:rPr>
                <w:rFonts w:ascii="Times New Roman" w:hAnsi="Times New Roman" w:cs="Times New Roman"/>
                <w:color w:val="000000"/>
              </w:rPr>
              <w:t xml:space="preserve">0.5</w:t>
            </w:r>
          </w:p>
        </w:tc>
        <w:tc>
          <w:tcPr>
            <w:tcW w:type="pct" w:w="809"/>
            <w:tcBorders>
              <w:bottom w:val="single" w:color="000000" w:sz="4" w:space="0"/>
            </w:tcBorders>
            <w:shd w:fill="auto" w:color="auto"/>
            <w:vAlign w:val="top"/>
          </w:tcPr>
          <w:p>
            <w:pPr>
              <w:pBdr/>
              <w:pStyle w:val="Compact"/>
              <w:spacing/>
              <w:ind/>
              <w:jc w:val="center"/>
              <w:rPr>
                <w:rFonts w:ascii="Times New Roman" w:hAnsi="Times New Roman" w:cs="Times New Roman"/>
                <w:color w:val="000000"/>
              </w:rPr>
            </w:pPr>
            <w:r>
              <w:rPr>
                <w:rFonts w:ascii="Times New Roman" w:hAnsi="Times New Roman" w:cs="Times New Roman"/>
                <w:color w:val="000000"/>
              </w:rPr>
              <w:t xml:space="preserve">0.5</w:t>
            </w:r>
          </w:p>
        </w:tc>
        <w:tc>
          <w:tcPr>
            <w:tcW w:type="pct" w:w="461"/>
            <w:tcBorders>
              <w:bottom w:val="single" w:color="000000" w:sz="4" w:space="0"/>
            </w:tcBorders>
            <w:shd w:fill="auto" w:color="auto"/>
            <w:vAlign w:val="top"/>
          </w:tcPr>
          <w:p>
            <w:pPr>
              <w:pBdr/>
              <w:pStyle w:val="Compact"/>
              <w:spacing/>
              <w:ind/>
              <w:jc w:val="center"/>
              <w:rPr>
                <w:rFonts w:ascii="Times New Roman" w:hAnsi="Times New Roman" w:cs="Times New Roman"/>
                <w:color w:val="000000"/>
              </w:rPr>
            </w:pPr>
            <w:r>
              <w:rPr>
                <w:rFonts w:ascii="Times New Roman" w:hAnsi="Times New Roman" w:cs="Times New Roman"/>
                <w:color w:val="000000"/>
              </w:rPr>
              <w:t xml:space="preserve">0</w:t>
            </w:r>
          </w:p>
        </w:tc>
        <w:tc>
          <w:tcPr>
            <w:tcW w:type="pct" w:w="488"/>
            <w:tcBorders>
              <w:bottom w:val="single" w:color="000000" w:sz="4" w:space="0"/>
              <w:right w:val="single" w:color="000000" w:sz="4" w:space="0"/>
            </w:tcBorders>
            <w:shd w:fill="auto" w:color="auto"/>
            <w:vAlign w:val="top"/>
          </w:tcPr>
          <w:p>
            <w:pPr>
              <w:pBdr/>
              <w:pStyle w:val="Compact"/>
              <w:spacing/>
              <w:ind/>
              <w:jc w:val="center"/>
              <w:rPr>
                <w:rFonts w:ascii="Times New Roman" w:hAnsi="Times New Roman" w:cs="Times New Roman"/>
                <w:color w:val="000000"/>
              </w:rPr>
            </w:pPr>
            <w:r>
              <w:rPr>
                <w:rFonts w:ascii="Times New Roman" w:hAnsi="Times New Roman" w:cs="Times New Roman"/>
                <w:color w:val="000000"/>
              </w:rPr>
              <w:t xml:space="preserve">1</w:t>
            </w:r>
          </w:p>
        </w:tc>
      </w:tr>
    </w:tbl>
    <w:p>
      <w:pPr>
        <w:pBdr/>
        <w:pStyle w:val="Normal"/>
        <w:spacing w:line="240" w:lineRule="auto"/>
        <w:ind/>
        <w:rPr>
          <w:rFonts w:ascii="Times New Roman" w:hAnsi="Times New Roman" w:cs="Times New Roman"/>
          <w:b/>
          <w:bCs/>
          <w:color w:val="000000"/>
          <w:sz w:val="24"/>
          <w:szCs w:val="24"/>
          <w:u w:val="single"/>
        </w:rPr>
      </w:pPr>
    </w:p>
    <w:p>
      <w:pPr>
        <w:pBdr/>
        <w:pStyle w:val="Normal"/>
        <w:spacing/>
        <w:ind/>
        <w:rPr>
          <w:rFonts w:ascii="Times New Roman" w:hAnsi="Times New Roman" w:cs="Times New Roman"/>
          <w:b/>
          <w:bCs/>
          <w:color w:val="000000"/>
          <w:sz w:val="24"/>
          <w:szCs w:val="24"/>
          <w:u w:val="single"/>
        </w:rPr>
      </w:pPr>
      <w:r>
        <w:rPr>
          <w:rFonts w:ascii="Times New Roman" w:hAnsi="Times New Roman" w:cs="Times New Roman"/>
          <w:b/>
          <w:bCs/>
          <w:color w:val="000000"/>
          <w:sz w:val="24"/>
          <w:szCs w:val="24"/>
          <w:u w:val="single"/>
        </w:rPr>
        <w:t xml:space="preserve">Findings</w:t>
      </w:r>
    </w:p>
    <w:p>
      <w:pPr>
        <w:pBdr/>
        <w:pStyle w:val="Normal"/>
        <w:spacing w:line="480" w:lineRule="auto"/>
        <w:ind/>
        <w:rPr>
          <w:rFonts w:ascii="Times New Roman" w:hAnsi="Times New Roman" w:cs="Times New Roman"/>
          <w:color w:val="000000"/>
          <w:sz w:val="24"/>
          <w:szCs w:val="24"/>
        </w:rPr>
      </w:pPr>
      <w:r>
        <w:rPr>
          <w:rFonts w:ascii="Times New Roman" w:hAnsi="Times New Roman" w:cs="Times New Roman"/>
          <w:color w:val="000000"/>
          <w:sz w:val="24"/>
          <w:szCs w:val="24"/>
        </w:rPr>
        <w:tab/>
      </w:r>
      <w:r>
        <w:rPr>
          <w:rFonts w:ascii="Times New Roman" w:hAnsi="Times New Roman" w:cs="Times New Roman"/>
          <w:color w:val="000000"/>
          <w:sz w:val="24"/>
          <w:szCs w:val="24"/>
        </w:rPr>
        <w:t xml:space="preserve">We use OLS regression to estimate the impact of our independent variables on both general burden tolerance and policy-</w:t>
      </w:r>
      <w:r>
        <w:rPr>
          <w:rFonts w:ascii="Times New Roman" w:hAnsi="Times New Roman" w:cs="Times New Roman"/>
          <w:color w:val="000000"/>
          <w:sz w:val="24"/>
          <w:szCs w:val="24"/>
        </w:rPr>
        <w:t xml:space="preserve">specific acceptance of burdens. First, we examine support for burdens in general, and the results are displayed in Table 3. </w:t>
      </w:r>
    </w:p>
    <w:p>
      <w:pPr>
        <w:pBdr>
          <w:top w:val="none" w:color="000000" w:sz="0" w:space="0"/>
          <w:left w:val="none" w:color="000000" w:sz="0" w:space="0"/>
          <w:bottom w:val="none" w:color="000000" w:sz="0" w:space="0"/>
          <w:right w:val="none" w:color="000000" w:sz="0" w:space="0"/>
        </w:pBdr>
        <w:pStyle w:val="Table Caption"/>
        <w:keepNext/>
        <w:spacing w:before="60" w:after="60"/>
        <w:ind w:left="60" w:right="60"/>
        <w:rPr>
          <w:rFonts w:ascii="Times New Roman" w:hAnsi="Times New Roman" w:cs="Times New Roman"/>
          <w:i w:val="0"/>
          <w:iCs w:val="0"/>
        </w:rPr>
      </w:pPr>
      <w:r>
        <w:rPr>
          <w:rFonts w:ascii="Times New Roman" w:hAnsi="Times New Roman" w:cs="Times New Roman"/>
          <w:i w:val="0"/>
          <w:iCs w:val="0"/>
        </w:rPr>
        <w:t xml:space="preserve">Table 3: OLS Analysis of Support for General Burdens</w:t>
      </w:r>
    </w:p>
    <w:tbl>
      <w:tblPr>
        <w:tblW w:w="5000" w:type="pct"/>
        <w:jc w:val="center"/>
        <w:tblInd w:w="0" w:type="dxa"/>
        <w:tblCellMar>
          <w:top w:w="0" w:type="dxa"/>
          <w:left w:w="108" w:type="dxa"/>
          <w:bottom w:w="0" w:type="dxa"/>
          <w:right w:w="108" w:type="dxa"/>
        </w:tblCellMar>
        <w:tblBorders>
          <w:top w:val="none" w:sz="0" w:space="0"/>
          <w:left w:val="none" w:sz="0" w:space="0"/>
          <w:bottom w:val="none" w:sz="0" w:space="0"/>
          <w:right w:val="none" w:sz="0" w:space="0"/>
          <w:insideH w:val="none" w:sz="0" w:space="0"/>
          <w:insideV w:val="none" w:sz="0" w:space="0"/>
        </w:tblBorders>
        <w:shd w:fill="auto" w:color="auto"/>
      </w:tblPr>
      <w:tblGrid>
        <w:gridCol w:w="3678"/>
        <w:gridCol w:w="814"/>
        <w:gridCol w:w="1870"/>
        <w:gridCol w:w="1411"/>
        <w:gridCol w:w="1586"/>
      </w:tblGrid>
      <w:tr>
        <w:tblPrEx>
          <w:tblBorders>
            <w:top w:val="none" w:sz="0" w:space="0"/>
            <w:left w:val="none" w:sz="0" w:space="0"/>
            <w:bottom w:val="none" w:sz="0" w:space="0"/>
            <w:right w:val="none" w:sz="0" w:space="0"/>
            <w:insideH w:val="none" w:sz="0" w:space="0"/>
            <w:insideV w:val="none" w:sz="0" w:space="0"/>
          </w:tblBorders>
        </w:tblPrEx>
        <w:trPr>
          <w:trHeight w:hRule="atLeast" w:val="20"/>
        </w:trPr>
        <w:tc>
          <w:tcPr>
            <w:tcW w:type="pct" w:w="1965"/>
            <w:tcMar>
              <w:top w:w="0" w:type="dxa"/>
              <w:left w:w="0" w:type="dxa"/>
              <w:bottom w:w="0" w:type="dxa"/>
              <w:right w:w="0" w:type="dxa"/>
            </w:tcMar>
            <w:tcBorders>
              <w:top w:val="single" w:color="000000" w:sz="8" w:space="0"/>
              <w:left w:val="none" w:color="000000" w:sz="0" w:space="0"/>
              <w:bottom w:val="single" w:color="000000" w:sz="8" w:space="0"/>
              <w:right w:val="none" w:color="000000" w:sz="0" w:space="0"/>
            </w:tcBorders>
            <w:shd w:fill="FFFFFF" w:color="auto" w:val="clear"/>
            <w:vAlign w:val="top"/>
          </w:tcPr>
          <w:p>
            <w:pPr>
              <w:pBdr>
                <w:top w:val="none" w:color="000000" w:sz="0" w:space="0"/>
                <w:left w:val="none" w:color="000000" w:sz="0" w:space="0"/>
                <w:bottom w:val="none" w:color="000000" w:sz="0" w:space="0"/>
                <w:right w:val="none" w:color="000000" w:sz="0" w:space="0"/>
              </w:pBdr>
              <w:pStyle w:val="Normal"/>
              <w:spacing w:before="120" w:after="120"/>
              <w:ind w:left="120" w:right="120"/>
              <w:rPr>
                <w:rFonts w:ascii="Times New Roman" w:eastAsia="Arial" w:hAnsi="Times New Roman" w:cs="Times New Roman"/>
                <w:color w:val="000000"/>
              </w:rPr>
            </w:pPr>
            <w:r>
              <w:rPr>
                <w:rFonts w:ascii="Times New Roman" w:eastAsia="Arial" w:hAnsi="Times New Roman" w:cs="Times New Roman"/>
                <w:color w:val="000000"/>
              </w:rPr>
              <w:t xml:space="preserve"> </w:t>
            </w:r>
          </w:p>
        </w:tc>
        <w:tc>
          <w:tcPr>
            <w:tcW w:type="pct" w:w="435"/>
            <w:tcMar>
              <w:top w:w="0" w:type="dxa"/>
              <w:left w:w="0" w:type="dxa"/>
              <w:bottom w:w="0" w:type="dxa"/>
              <w:right w:w="0" w:type="dxa"/>
            </w:tcMar>
            <w:tcBorders>
              <w:top w:val="single" w:color="000000" w:sz="8" w:space="0"/>
              <w:left w:val="none" w:color="000000" w:sz="0" w:space="0"/>
              <w:bottom w:val="single" w:color="000000" w:sz="8" w:space="0"/>
              <w:right w:val="none" w:color="000000" w:sz="0" w:space="0"/>
            </w:tcBorders>
            <w:shd w:fill="FFFFFF" w:color="auto" w:val="clear"/>
            <w:vAlign w:val="top"/>
          </w:tcPr>
          <w:p>
            <w:pPr>
              <w:pBdr>
                <w:top w:val="none" w:color="000000" w:sz="0" w:space="0"/>
                <w:left w:val="none" w:color="000000" w:sz="0" w:space="0"/>
                <w:bottom w:val="none" w:color="000000" w:sz="0" w:space="0"/>
                <w:right w:val="none" w:color="000000" w:sz="0" w:space="0"/>
              </w:pBdr>
              <w:pStyle w:val="Normal"/>
              <w:spacing w:before="120" w:after="120"/>
              <w:ind w:left="120" w:right="120"/>
              <w:rPr>
                <w:rFonts w:ascii="Times New Roman" w:eastAsia="Arial" w:hAnsi="Times New Roman" w:cs="Times New Roman"/>
                <w:color w:val="000000"/>
              </w:rPr>
            </w:pPr>
            <w:r>
              <w:rPr>
                <w:rFonts w:ascii="Times New Roman" w:eastAsia="Arial" w:hAnsi="Times New Roman" w:cs="Times New Roman"/>
                <w:color w:val="000000"/>
              </w:rPr>
              <w:t xml:space="preserve">  </w:t>
            </w:r>
          </w:p>
        </w:tc>
        <w:tc>
          <w:tcPr>
            <w:tcW w:type="pct" w:w="999"/>
            <w:tcMar>
              <w:top w:w="0" w:type="dxa"/>
              <w:left w:w="0" w:type="dxa"/>
              <w:bottom w:w="0" w:type="dxa"/>
              <w:right w:w="0" w:type="dxa"/>
            </w:tcMar>
            <w:tcBorders>
              <w:top w:val="single" w:color="000000" w:sz="8" w:space="0"/>
              <w:left w:val="none" w:color="000000" w:sz="0" w:space="0"/>
              <w:bottom w:val="single" w:color="000000" w:sz="8" w:space="0"/>
              <w:right w:val="none" w:color="000000" w:sz="0" w:space="0"/>
            </w:tcBorders>
            <w:shd w:fill="FFFFFF" w:color="auto" w:val="clear"/>
            <w:vAlign w:val="top"/>
          </w:tcPr>
          <w:p>
            <w:pPr>
              <w:pBdr>
                <w:top w:val="none" w:color="000000" w:sz="0" w:space="0"/>
                <w:left w:val="none" w:color="000000" w:sz="0" w:space="0"/>
                <w:bottom w:val="none" w:color="000000" w:sz="0" w:space="0"/>
                <w:right w:val="none" w:color="000000" w:sz="0" w:space="0"/>
              </w:pBdr>
              <w:pStyle w:val="Normal"/>
              <w:spacing w:before="120" w:after="120"/>
              <w:ind w:left="120" w:right="120"/>
              <w:rPr>
                <w:rFonts w:ascii="Times New Roman" w:eastAsia="Arial" w:hAnsi="Times New Roman" w:cs="Times New Roman"/>
                <w:color w:val="000000"/>
              </w:rPr>
            </w:pPr>
            <w:r>
              <w:rPr>
                <w:rFonts w:ascii="Times New Roman" w:eastAsia="Arial" w:hAnsi="Times New Roman" w:cs="Times New Roman"/>
                <w:color w:val="000000"/>
              </w:rPr>
              <w:t xml:space="preserve">Est.</w:t>
            </w:r>
          </w:p>
        </w:tc>
        <w:tc>
          <w:tcPr>
            <w:tcW w:type="pct" w:w="754"/>
            <w:tcMar>
              <w:top w:w="0" w:type="dxa"/>
              <w:left w:w="0" w:type="dxa"/>
              <w:bottom w:w="0" w:type="dxa"/>
              <w:right w:w="0" w:type="dxa"/>
            </w:tcMar>
            <w:tcBorders>
              <w:top w:val="single" w:color="000000" w:sz="8" w:space="0"/>
              <w:left w:val="none" w:color="000000" w:sz="0" w:space="0"/>
              <w:bottom w:val="single" w:color="000000" w:sz="8" w:space="0"/>
              <w:right w:val="none" w:color="000000" w:sz="0" w:space="0"/>
            </w:tcBorders>
            <w:shd w:fill="FFFFFF" w:color="auto" w:val="clear"/>
            <w:vAlign w:val="top"/>
          </w:tcPr>
          <w:p>
            <w:pPr>
              <w:pBdr>
                <w:top w:val="none" w:color="000000" w:sz="0" w:space="0"/>
                <w:left w:val="none" w:color="000000" w:sz="0" w:space="0"/>
                <w:bottom w:val="none" w:color="000000" w:sz="0" w:space="0"/>
                <w:right w:val="none" w:color="000000" w:sz="0" w:space="0"/>
              </w:pBdr>
              <w:pStyle w:val="Normal"/>
              <w:spacing w:before="120" w:after="120"/>
              <w:ind w:left="120" w:right="120"/>
              <w:rPr>
                <w:rFonts w:ascii="Times New Roman" w:eastAsia="Arial" w:hAnsi="Times New Roman" w:cs="Times New Roman"/>
                <w:color w:val="000000"/>
              </w:rPr>
            </w:pPr>
            <w:r>
              <w:rPr>
                <w:rFonts w:ascii="Times New Roman" w:eastAsia="Arial" w:hAnsi="Times New Roman" w:cs="Times New Roman"/>
                <w:color w:val="000000"/>
              </w:rPr>
              <w:t xml:space="preserve">S.E.</w:t>
            </w:r>
          </w:p>
        </w:tc>
        <w:tc>
          <w:tcPr>
            <w:tcW w:type="pct" w:w="847"/>
            <w:tcMar>
              <w:top w:w="0" w:type="dxa"/>
              <w:left w:w="0" w:type="dxa"/>
              <w:bottom w:w="0" w:type="dxa"/>
              <w:right w:w="0" w:type="dxa"/>
            </w:tcMar>
            <w:tcBorders>
              <w:top w:val="single" w:color="000000" w:sz="8" w:space="0"/>
              <w:left w:val="none" w:color="000000" w:sz="0" w:space="0"/>
              <w:bottom w:val="single" w:color="000000" w:sz="8" w:space="0"/>
              <w:right w:val="none" w:color="000000" w:sz="0" w:space="0"/>
            </w:tcBorders>
            <w:shd w:fill="FFFFFF" w:color="auto" w:val="clear"/>
            <w:vAlign w:val="top"/>
          </w:tcPr>
          <w:p>
            <w:pPr>
              <w:pBdr>
                <w:top w:val="none" w:color="000000" w:sz="0" w:space="0"/>
                <w:left w:val="none" w:color="000000" w:sz="0" w:space="0"/>
                <w:bottom w:val="none" w:color="000000" w:sz="0" w:space="0"/>
                <w:right w:val="none" w:color="000000" w:sz="0" w:space="0"/>
              </w:pBdr>
              <w:pStyle w:val="Normal"/>
              <w:spacing w:before="120" w:after="120"/>
              <w:ind w:left="120" w:right="120"/>
              <w:rPr>
                <w:rFonts w:ascii="Times New Roman" w:eastAsia="Arial" w:hAnsi="Times New Roman" w:cs="Times New Roman"/>
                <w:color w:val="000000"/>
              </w:rPr>
            </w:pPr>
            <w:r>
              <w:rPr>
                <w:rFonts w:ascii="Times New Roman" w:eastAsia="Arial" w:hAnsi="Times New Roman" w:cs="Times New Roman"/>
                <w:color w:val="000000"/>
              </w:rPr>
              <w:t xml:space="preserve">p</w:t>
            </w:r>
          </w:p>
        </w:tc>
      </w:tr>
      <w:tr>
        <w:tblPrEx>
          <w:tblBorders>
            <w:top w:val="none" w:sz="0" w:space="0"/>
            <w:left w:val="none" w:sz="0" w:space="0"/>
            <w:bottom w:val="none" w:sz="0" w:space="0"/>
            <w:right w:val="none" w:sz="0" w:space="0"/>
            <w:insideH w:val="none" w:sz="0" w:space="0"/>
            <w:insideV w:val="none" w:sz="0" w:space="0"/>
          </w:tblBorders>
        </w:tblPrEx>
        <w:trPr>
          <w:trHeight w:hRule="atLeast" w:val="20"/>
        </w:trPr>
        <w:tc>
          <w:tcPr>
            <w:tcW w:type="pct" w:w="1965"/>
            <w:tcMar>
              <w:top w:w="0" w:type="dxa"/>
              <w:left w:w="0" w:type="dxa"/>
              <w:bottom w:w="0" w:type="dxa"/>
              <w:right w:w="0" w:type="dxa"/>
            </w:tcMar>
            <w:tcBorders>
              <w:top w:val="single" w:color="000000" w:sz="8" w:space="0"/>
              <w:left w:val="none" w:color="000000" w:sz="0" w:space="0"/>
              <w:bottom w:val="none" w:color="000000" w:sz="0" w:space="0"/>
              <w:right w:val="none" w:color="000000" w:sz="0" w:space="0"/>
            </w:tcBorders>
            <w:shd w:fill="FFFFFF" w:color="auto" w:val="clear"/>
            <w:vAlign w:val="top"/>
          </w:tcPr>
          <w:p>
            <w:pPr>
              <w:pBdr>
                <w:top w:val="none" w:color="000000" w:sz="0" w:space="0"/>
                <w:left w:val="none" w:color="000000" w:sz="0" w:space="0"/>
                <w:bottom w:val="none" w:color="000000" w:sz="0" w:space="0"/>
                <w:right w:val="none" w:color="000000" w:sz="0" w:space="0"/>
              </w:pBdr>
              <w:pStyle w:val="Normal"/>
              <w:spacing w:before="120" w:after="120"/>
              <w:ind w:left="120" w:right="120"/>
              <w:rPr>
                <w:rFonts w:ascii="Times New Roman" w:eastAsia="Arial" w:hAnsi="Times New Roman" w:cs="Times New Roman"/>
                <w:color w:val="000000"/>
              </w:rPr>
            </w:pPr>
            <w:r>
              <w:rPr>
                <w:rFonts w:ascii="Times New Roman" w:eastAsia="Arial" w:hAnsi="Times New Roman" w:cs="Times New Roman"/>
                <w:color w:val="000000"/>
              </w:rPr>
              <w:t xml:space="preserve">Hierarchism</w:t>
            </w:r>
          </w:p>
        </w:tc>
        <w:tc>
          <w:tcPr>
            <w:tcW w:type="pct" w:w="435"/>
            <w:tcMar>
              <w:top w:w="0" w:type="dxa"/>
              <w:left w:w="0" w:type="dxa"/>
              <w:bottom w:w="0" w:type="dxa"/>
              <w:right w:w="0" w:type="dxa"/>
            </w:tcMar>
            <w:tcBorders>
              <w:top w:val="single" w:color="000000" w:sz="8" w:space="0"/>
              <w:left w:val="none" w:color="000000" w:sz="0" w:space="0"/>
              <w:bottom w:val="none" w:color="000000" w:sz="0" w:space="0"/>
              <w:right w:val="none" w:color="000000" w:sz="0" w:space="0"/>
            </w:tcBorders>
            <w:shd w:fill="FFFFFF" w:color="auto" w:val="clear"/>
            <w:vAlign w:val="top"/>
          </w:tcPr>
          <w:p>
            <w:pPr>
              <w:pBdr>
                <w:top w:val="none" w:color="000000" w:sz="0" w:space="0"/>
                <w:left w:val="none" w:color="000000" w:sz="0" w:space="0"/>
                <w:bottom w:val="none" w:color="000000" w:sz="0" w:space="0"/>
                <w:right w:val="none" w:color="000000" w:sz="0" w:space="0"/>
              </w:pBdr>
              <w:pStyle w:val="Normal"/>
              <w:spacing w:before="120" w:after="120"/>
              <w:ind w:left="120" w:right="120"/>
              <w:rPr>
                <w:rFonts w:ascii="Times New Roman" w:eastAsia="Arial" w:hAnsi="Times New Roman" w:cs="Times New Roman"/>
                <w:color w:val="000000"/>
              </w:rPr>
            </w:pPr>
            <w:r>
              <w:rPr>
                <w:rFonts w:ascii="Times New Roman" w:eastAsia="Arial" w:hAnsi="Times New Roman" w:cs="Times New Roman"/>
                <w:color w:val="000000"/>
              </w:rPr>
              <w:t xml:space="preserve"> </w:t>
            </w:r>
          </w:p>
        </w:tc>
        <w:tc>
          <w:tcPr>
            <w:tcW w:type="pct" w:w="999"/>
            <w:tcMar>
              <w:top w:w="0" w:type="dxa"/>
              <w:left w:w="0" w:type="dxa"/>
              <w:bottom w:w="0" w:type="dxa"/>
              <w:right w:w="0" w:type="dxa"/>
            </w:tcMar>
            <w:tcBorders>
              <w:top w:val="single" w:color="000000" w:sz="8" w:space="0"/>
              <w:left w:val="none" w:color="000000" w:sz="0" w:space="0"/>
              <w:bottom w:val="none" w:color="000000" w:sz="0" w:space="0"/>
              <w:right w:val="none" w:color="000000" w:sz="0" w:space="0"/>
            </w:tcBorders>
            <w:shd w:fill="FFFFFF" w:color="auto" w:val="clear"/>
            <w:vAlign w:val="top"/>
          </w:tcPr>
          <w:p>
            <w:pPr>
              <w:pBdr>
                <w:top w:val="none" w:color="000000" w:sz="0" w:space="0"/>
                <w:left w:val="none" w:color="000000" w:sz="0" w:space="0"/>
                <w:bottom w:val="none" w:color="000000" w:sz="0" w:space="0"/>
                <w:right w:val="none" w:color="000000" w:sz="0" w:space="0"/>
              </w:pBdr>
              <w:pStyle w:val="Normal"/>
              <w:spacing w:before="120" w:after="120"/>
              <w:ind w:left="120" w:right="120"/>
              <w:rPr>
                <w:rFonts w:ascii="Times New Roman" w:eastAsia="Arial" w:hAnsi="Times New Roman" w:cs="Times New Roman"/>
                <w:color w:val="000000"/>
              </w:rPr>
            </w:pPr>
            <w:r>
              <w:rPr>
                <w:rFonts w:ascii="Times New Roman" w:eastAsia="Arial" w:hAnsi="Times New Roman" w:cs="Times New Roman"/>
                <w:color w:val="000000"/>
              </w:rPr>
              <w:t xml:space="preserve">0.060***</w:t>
            </w:r>
          </w:p>
        </w:tc>
        <w:tc>
          <w:tcPr>
            <w:tcW w:type="pct" w:w="754"/>
            <w:tcMar>
              <w:top w:w="0" w:type="dxa"/>
              <w:left w:w="0" w:type="dxa"/>
              <w:bottom w:w="0" w:type="dxa"/>
              <w:right w:w="0" w:type="dxa"/>
            </w:tcMar>
            <w:tcBorders>
              <w:top w:val="single" w:color="000000" w:sz="8" w:space="0"/>
              <w:left w:val="none" w:color="000000" w:sz="0" w:space="0"/>
              <w:bottom w:val="none" w:color="000000" w:sz="0" w:space="0"/>
              <w:right w:val="none" w:color="000000" w:sz="0" w:space="0"/>
            </w:tcBorders>
            <w:shd w:fill="FFFFFF" w:color="auto" w:val="clear"/>
            <w:vAlign w:val="top"/>
          </w:tcPr>
          <w:p>
            <w:pPr>
              <w:pBdr>
                <w:top w:val="none" w:color="000000" w:sz="0" w:space="0"/>
                <w:left w:val="none" w:color="000000" w:sz="0" w:space="0"/>
                <w:bottom w:val="none" w:color="000000" w:sz="0" w:space="0"/>
                <w:right w:val="none" w:color="000000" w:sz="0" w:space="0"/>
              </w:pBdr>
              <w:pStyle w:val="Normal"/>
              <w:spacing w:before="120" w:after="120"/>
              <w:ind w:left="120" w:right="120"/>
              <w:rPr>
                <w:rFonts w:ascii="Times New Roman" w:eastAsia="Arial" w:hAnsi="Times New Roman" w:cs="Times New Roman"/>
                <w:color w:val="000000"/>
              </w:rPr>
            </w:pPr>
            <w:r>
              <w:rPr>
                <w:rFonts w:ascii="Times New Roman" w:eastAsia="Arial" w:hAnsi="Times New Roman" w:cs="Times New Roman"/>
                <w:color w:val="000000"/>
              </w:rPr>
              <w:t xml:space="preserve">0.010</w:t>
            </w:r>
          </w:p>
        </w:tc>
        <w:tc>
          <w:tcPr>
            <w:tcW w:type="pct" w:w="847"/>
            <w:tcMar>
              <w:top w:w="0" w:type="dxa"/>
              <w:left w:w="0" w:type="dxa"/>
              <w:bottom w:w="0" w:type="dxa"/>
              <w:right w:w="0" w:type="dxa"/>
            </w:tcMar>
            <w:tcBorders>
              <w:top w:val="single" w:color="000000" w:sz="8" w:space="0"/>
              <w:left w:val="none" w:color="000000" w:sz="0" w:space="0"/>
              <w:bottom w:val="none" w:color="000000" w:sz="0" w:space="0"/>
              <w:right w:val="none" w:color="000000" w:sz="0" w:space="0"/>
            </w:tcBorders>
            <w:shd w:fill="FFFFFF" w:color="auto" w:val="clear"/>
            <w:vAlign w:val="top"/>
          </w:tcPr>
          <w:p>
            <w:pPr>
              <w:pBdr>
                <w:top w:val="none" w:color="000000" w:sz="0" w:space="0"/>
                <w:left w:val="none" w:color="000000" w:sz="0" w:space="0"/>
                <w:bottom w:val="none" w:color="000000" w:sz="0" w:space="0"/>
                <w:right w:val="none" w:color="000000" w:sz="0" w:space="0"/>
              </w:pBdr>
              <w:pStyle w:val="Normal"/>
              <w:spacing w:before="120" w:after="120"/>
              <w:ind w:left="120" w:right="120"/>
              <w:rPr>
                <w:rFonts w:ascii="Times New Roman" w:eastAsia="Arial" w:hAnsi="Times New Roman" w:cs="Times New Roman"/>
                <w:color w:val="000000"/>
              </w:rPr>
            </w:pPr>
            <w:r>
              <w:rPr>
                <w:rFonts w:ascii="Times New Roman" w:eastAsia="Arial" w:hAnsi="Times New Roman" w:cs="Times New Roman"/>
                <w:color w:val="000000"/>
              </w:rPr>
              <w:t xml:space="preserve">&lt;0.001</w:t>
            </w:r>
          </w:p>
        </w:tc>
      </w:tr>
      <w:tr>
        <w:tblPrEx>
          <w:tblBorders>
            <w:top w:val="none" w:sz="0" w:space="0"/>
            <w:left w:val="none" w:sz="0" w:space="0"/>
            <w:bottom w:val="none" w:sz="0" w:space="0"/>
            <w:right w:val="none" w:sz="0" w:space="0"/>
            <w:insideH w:val="none" w:sz="0" w:space="0"/>
            <w:insideV w:val="none" w:sz="0" w:space="0"/>
          </w:tblBorders>
        </w:tblPrEx>
        <w:trPr>
          <w:trHeight w:hRule="atLeast" w:val="20"/>
        </w:trPr>
        <w:tc>
          <w:tcPr>
            <w:tcW w:type="pct" w:w="1965"/>
            <w:tcMar>
              <w:top w:w="0" w:type="dxa"/>
              <w:left w:w="0" w:type="dxa"/>
              <w:bottom w:w="0" w:type="dxa"/>
              <w:right w:w="0" w:type="dxa"/>
            </w:tcMar>
            <w:tcBorders>
              <w:top w:val="none" w:color="000000" w:sz="0" w:space="0"/>
              <w:left w:val="none" w:color="000000" w:sz="0" w:space="0"/>
              <w:bottom w:val="none" w:color="000000" w:sz="0" w:space="0"/>
              <w:right w:val="none" w:color="000000" w:sz="0" w:space="0"/>
            </w:tcBorders>
            <w:shd w:fill="FFFFFF" w:color="auto" w:val="clear"/>
            <w:vAlign w:val="top"/>
          </w:tcPr>
          <w:p>
            <w:pPr>
              <w:pBdr>
                <w:top w:val="none" w:color="000000" w:sz="0" w:space="0"/>
                <w:left w:val="none" w:color="000000" w:sz="0" w:space="0"/>
                <w:bottom w:val="none" w:color="000000" w:sz="0" w:space="0"/>
                <w:right w:val="none" w:color="000000" w:sz="0" w:space="0"/>
              </w:pBdr>
              <w:pStyle w:val="Normal"/>
              <w:spacing w:before="120" w:after="120"/>
              <w:ind w:left="120" w:right="120"/>
              <w:rPr>
                <w:rFonts w:ascii="Times New Roman" w:eastAsia="Arial" w:hAnsi="Times New Roman" w:cs="Times New Roman"/>
                <w:color w:val="000000"/>
              </w:rPr>
            </w:pPr>
            <w:r>
              <w:rPr>
                <w:rFonts w:ascii="Times New Roman" w:eastAsia="Arial" w:hAnsi="Times New Roman" w:cs="Times New Roman"/>
                <w:color w:val="000000"/>
              </w:rPr>
              <w:t xml:space="preserve">Egalitarianism</w:t>
            </w:r>
          </w:p>
        </w:tc>
        <w:tc>
          <w:tcPr>
            <w:tcW w:type="pct" w:w="435"/>
            <w:tcMar>
              <w:top w:w="0" w:type="dxa"/>
              <w:left w:w="0" w:type="dxa"/>
              <w:bottom w:w="0" w:type="dxa"/>
              <w:right w:w="0" w:type="dxa"/>
            </w:tcMar>
            <w:tcBorders>
              <w:top w:val="none" w:color="000000" w:sz="0" w:space="0"/>
              <w:left w:val="none" w:color="000000" w:sz="0" w:space="0"/>
              <w:bottom w:val="none" w:color="000000" w:sz="0" w:space="0"/>
              <w:right w:val="none" w:color="000000" w:sz="0" w:space="0"/>
            </w:tcBorders>
            <w:shd w:fill="FFFFFF" w:color="auto" w:val="clear"/>
            <w:vAlign w:val="top"/>
          </w:tcPr>
          <w:p>
            <w:pPr>
              <w:pBdr>
                <w:top w:val="none" w:color="000000" w:sz="0" w:space="0"/>
                <w:left w:val="none" w:color="000000" w:sz="0" w:space="0"/>
                <w:bottom w:val="none" w:color="000000" w:sz="0" w:space="0"/>
                <w:right w:val="none" w:color="000000" w:sz="0" w:space="0"/>
              </w:pBdr>
              <w:pStyle w:val="Normal"/>
              <w:spacing w:before="120" w:after="120"/>
              <w:ind w:left="120" w:right="120"/>
              <w:rPr>
                <w:rFonts w:ascii="Times New Roman" w:eastAsia="Arial" w:hAnsi="Times New Roman" w:cs="Times New Roman"/>
                <w:color w:val="000000"/>
              </w:rPr>
            </w:pPr>
          </w:p>
        </w:tc>
        <w:tc>
          <w:tcPr>
            <w:tcW w:type="pct" w:w="999"/>
            <w:tcMar>
              <w:top w:w="0" w:type="dxa"/>
              <w:left w:w="0" w:type="dxa"/>
              <w:bottom w:w="0" w:type="dxa"/>
              <w:right w:w="0" w:type="dxa"/>
            </w:tcMar>
            <w:tcBorders>
              <w:top w:val="none" w:color="000000" w:sz="0" w:space="0"/>
              <w:left w:val="none" w:color="000000" w:sz="0" w:space="0"/>
              <w:bottom w:val="none" w:color="000000" w:sz="0" w:space="0"/>
              <w:right w:val="none" w:color="000000" w:sz="0" w:space="0"/>
            </w:tcBorders>
            <w:shd w:fill="FFFFFF" w:color="auto" w:val="clear"/>
            <w:vAlign w:val="top"/>
          </w:tcPr>
          <w:p>
            <w:pPr>
              <w:pBdr>
                <w:top w:val="none" w:color="000000" w:sz="0" w:space="0"/>
                <w:left w:val="none" w:color="000000" w:sz="0" w:space="0"/>
                <w:bottom w:val="none" w:color="000000" w:sz="0" w:space="0"/>
                <w:right w:val="none" w:color="000000" w:sz="0" w:space="0"/>
              </w:pBdr>
              <w:pStyle w:val="Normal"/>
              <w:spacing w:before="120" w:after="120"/>
              <w:ind w:left="120" w:right="120"/>
              <w:rPr>
                <w:rFonts w:ascii="Times New Roman" w:eastAsia="Arial" w:hAnsi="Times New Roman" w:cs="Times New Roman"/>
                <w:color w:val="000000"/>
              </w:rPr>
            </w:pPr>
            <w:r>
              <w:rPr>
                <w:rFonts w:ascii="Times New Roman" w:eastAsia="Arial" w:hAnsi="Times New Roman" w:cs="Times New Roman"/>
                <w:color w:val="000000"/>
              </w:rPr>
              <w:t xml:space="preserve">-0.010</w:t>
            </w:r>
          </w:p>
        </w:tc>
        <w:tc>
          <w:tcPr>
            <w:tcW w:type="pct" w:w="754"/>
            <w:tcMar>
              <w:top w:w="0" w:type="dxa"/>
              <w:left w:w="0" w:type="dxa"/>
              <w:bottom w:w="0" w:type="dxa"/>
              <w:right w:w="0" w:type="dxa"/>
            </w:tcMar>
            <w:tcBorders>
              <w:top w:val="none" w:color="000000" w:sz="0" w:space="0"/>
              <w:left w:val="none" w:color="000000" w:sz="0" w:space="0"/>
              <w:bottom w:val="none" w:color="000000" w:sz="0" w:space="0"/>
              <w:right w:val="none" w:color="000000" w:sz="0" w:space="0"/>
            </w:tcBorders>
            <w:shd w:fill="FFFFFF" w:color="auto" w:val="clear"/>
            <w:vAlign w:val="top"/>
          </w:tcPr>
          <w:p>
            <w:pPr>
              <w:pBdr>
                <w:top w:val="none" w:color="000000" w:sz="0" w:space="0"/>
                <w:left w:val="none" w:color="000000" w:sz="0" w:space="0"/>
                <w:bottom w:val="none" w:color="000000" w:sz="0" w:space="0"/>
                <w:right w:val="none" w:color="000000" w:sz="0" w:space="0"/>
              </w:pBdr>
              <w:pStyle w:val="Normal"/>
              <w:spacing w:before="120" w:after="120"/>
              <w:ind w:left="120" w:right="120"/>
              <w:rPr>
                <w:rFonts w:ascii="Times New Roman" w:eastAsia="Arial" w:hAnsi="Times New Roman" w:cs="Times New Roman"/>
                <w:color w:val="000000"/>
              </w:rPr>
            </w:pPr>
            <w:r>
              <w:rPr>
                <w:rFonts w:ascii="Times New Roman" w:eastAsia="Arial" w:hAnsi="Times New Roman" w:cs="Times New Roman"/>
                <w:color w:val="000000"/>
              </w:rPr>
              <w:t xml:space="preserve">0.010</w:t>
            </w:r>
          </w:p>
        </w:tc>
        <w:tc>
          <w:tcPr>
            <w:tcW w:type="pct" w:w="847"/>
            <w:tcMar>
              <w:top w:w="0" w:type="dxa"/>
              <w:left w:w="0" w:type="dxa"/>
              <w:bottom w:w="0" w:type="dxa"/>
              <w:right w:w="0" w:type="dxa"/>
            </w:tcMar>
            <w:tcBorders>
              <w:top w:val="none" w:color="000000" w:sz="0" w:space="0"/>
              <w:left w:val="none" w:color="000000" w:sz="0" w:space="0"/>
              <w:bottom w:val="none" w:color="000000" w:sz="0" w:space="0"/>
              <w:right w:val="none" w:color="000000" w:sz="0" w:space="0"/>
            </w:tcBorders>
            <w:shd w:fill="FFFFFF" w:color="auto" w:val="clear"/>
            <w:vAlign w:val="top"/>
          </w:tcPr>
          <w:p>
            <w:pPr>
              <w:pBdr>
                <w:top w:val="none" w:color="000000" w:sz="0" w:space="0"/>
                <w:left w:val="none" w:color="000000" w:sz="0" w:space="0"/>
                <w:bottom w:val="none" w:color="000000" w:sz="0" w:space="0"/>
                <w:right w:val="none" w:color="000000" w:sz="0" w:space="0"/>
              </w:pBdr>
              <w:pStyle w:val="Normal"/>
              <w:spacing w:before="120" w:after="120"/>
              <w:ind w:left="120" w:right="120"/>
              <w:rPr>
                <w:rFonts w:ascii="Times New Roman" w:eastAsia="Arial" w:hAnsi="Times New Roman" w:cs="Times New Roman"/>
                <w:color w:val="000000"/>
              </w:rPr>
            </w:pPr>
            <w:r>
              <w:rPr>
                <w:rFonts w:ascii="Times New Roman" w:eastAsia="Arial" w:hAnsi="Times New Roman" w:cs="Times New Roman"/>
                <w:color w:val="000000"/>
              </w:rPr>
              <w:t xml:space="preserve">0.296</w:t>
            </w:r>
          </w:p>
        </w:tc>
      </w:tr>
      <w:tr>
        <w:tblPrEx>
          <w:tblBorders>
            <w:top w:val="none" w:sz="0" w:space="0"/>
            <w:left w:val="none" w:sz="0" w:space="0"/>
            <w:bottom w:val="none" w:sz="0" w:space="0"/>
            <w:right w:val="none" w:sz="0" w:space="0"/>
            <w:insideH w:val="none" w:sz="0" w:space="0"/>
            <w:insideV w:val="none" w:sz="0" w:space="0"/>
          </w:tblBorders>
        </w:tblPrEx>
        <w:trPr>
          <w:trHeight w:hRule="atLeast" w:val="20"/>
        </w:trPr>
        <w:tc>
          <w:tcPr>
            <w:tcW w:type="pct" w:w="1965"/>
            <w:tcMar>
              <w:top w:w="0" w:type="dxa"/>
              <w:left w:w="0" w:type="dxa"/>
              <w:bottom w:w="0" w:type="dxa"/>
              <w:right w:w="0" w:type="dxa"/>
            </w:tcMar>
            <w:tcBorders>
              <w:top w:val="none" w:color="000000" w:sz="0" w:space="0"/>
              <w:left w:val="none" w:color="000000" w:sz="0" w:space="0"/>
              <w:bottom w:val="none" w:color="000000" w:sz="0" w:space="0"/>
              <w:right w:val="none" w:color="000000" w:sz="0" w:space="0"/>
            </w:tcBorders>
            <w:shd w:fill="FFFFFF" w:color="auto" w:val="clear"/>
            <w:vAlign w:val="top"/>
          </w:tcPr>
          <w:p>
            <w:pPr>
              <w:pBdr>
                <w:top w:val="none" w:color="000000" w:sz="0" w:space="0"/>
                <w:left w:val="none" w:color="000000" w:sz="0" w:space="0"/>
                <w:bottom w:val="none" w:color="000000" w:sz="0" w:space="0"/>
                <w:right w:val="none" w:color="000000" w:sz="0" w:space="0"/>
              </w:pBdr>
              <w:pStyle w:val="Normal"/>
              <w:spacing w:before="120" w:after="120"/>
              <w:ind w:left="120" w:right="120"/>
              <w:rPr>
                <w:rFonts w:ascii="Times New Roman" w:eastAsia="Arial" w:hAnsi="Times New Roman" w:cs="Times New Roman"/>
                <w:color w:val="000000"/>
              </w:rPr>
            </w:pPr>
            <w:r>
              <w:rPr>
                <w:rFonts w:ascii="Times New Roman" w:eastAsia="Arial" w:hAnsi="Times New Roman" w:cs="Times New Roman"/>
                <w:color w:val="000000"/>
              </w:rPr>
              <w:t xml:space="preserve">Individualism</w:t>
            </w:r>
          </w:p>
        </w:tc>
        <w:tc>
          <w:tcPr>
            <w:tcW w:type="pct" w:w="435"/>
            <w:tcMar>
              <w:top w:w="0" w:type="dxa"/>
              <w:left w:w="0" w:type="dxa"/>
              <w:bottom w:w="0" w:type="dxa"/>
              <w:right w:w="0" w:type="dxa"/>
            </w:tcMar>
            <w:tcBorders>
              <w:top w:val="none" w:color="000000" w:sz="0" w:space="0"/>
              <w:left w:val="none" w:color="000000" w:sz="0" w:space="0"/>
              <w:bottom w:val="none" w:color="000000" w:sz="0" w:space="0"/>
              <w:right w:val="none" w:color="000000" w:sz="0" w:space="0"/>
            </w:tcBorders>
            <w:shd w:fill="FFFFFF" w:color="auto" w:val="clear"/>
            <w:vAlign w:val="top"/>
          </w:tcPr>
          <w:p>
            <w:pPr>
              <w:pBdr>
                <w:top w:val="none" w:color="000000" w:sz="0" w:space="0"/>
                <w:left w:val="none" w:color="000000" w:sz="0" w:space="0"/>
                <w:bottom w:val="none" w:color="000000" w:sz="0" w:space="0"/>
                <w:right w:val="none" w:color="000000" w:sz="0" w:space="0"/>
              </w:pBdr>
              <w:pStyle w:val="Normal"/>
              <w:spacing w:before="120" w:after="120"/>
              <w:ind w:left="120" w:right="120"/>
              <w:rPr>
                <w:rFonts w:ascii="Times New Roman" w:eastAsia="Arial" w:hAnsi="Times New Roman" w:cs="Times New Roman"/>
                <w:color w:val="000000"/>
              </w:rPr>
            </w:pPr>
          </w:p>
        </w:tc>
        <w:tc>
          <w:tcPr>
            <w:tcW w:type="pct" w:w="999"/>
            <w:tcMar>
              <w:top w:w="0" w:type="dxa"/>
              <w:left w:w="0" w:type="dxa"/>
              <w:bottom w:w="0" w:type="dxa"/>
              <w:right w:w="0" w:type="dxa"/>
            </w:tcMar>
            <w:tcBorders>
              <w:top w:val="none" w:color="000000" w:sz="0" w:space="0"/>
              <w:left w:val="none" w:color="000000" w:sz="0" w:space="0"/>
              <w:bottom w:val="none" w:color="000000" w:sz="0" w:space="0"/>
              <w:right w:val="none" w:color="000000" w:sz="0" w:space="0"/>
            </w:tcBorders>
            <w:shd w:fill="FFFFFF" w:color="auto" w:val="clear"/>
            <w:vAlign w:val="top"/>
          </w:tcPr>
          <w:p>
            <w:pPr>
              <w:pBdr>
                <w:top w:val="none" w:color="000000" w:sz="0" w:space="0"/>
                <w:left w:val="none" w:color="000000" w:sz="0" w:space="0"/>
                <w:bottom w:val="none" w:color="000000" w:sz="0" w:space="0"/>
                <w:right w:val="none" w:color="000000" w:sz="0" w:space="0"/>
              </w:pBdr>
              <w:pStyle w:val="Normal"/>
              <w:spacing w:before="120" w:after="120"/>
              <w:ind w:left="120" w:right="120"/>
              <w:rPr>
                <w:rFonts w:ascii="Times New Roman" w:eastAsia="Arial" w:hAnsi="Times New Roman" w:cs="Times New Roman"/>
                <w:color w:val="000000"/>
              </w:rPr>
            </w:pPr>
            <w:r>
              <w:rPr>
                <w:rFonts w:ascii="Times New Roman" w:eastAsia="Arial" w:hAnsi="Times New Roman" w:cs="Times New Roman"/>
                <w:color w:val="000000"/>
              </w:rPr>
              <w:t xml:space="preserve">0.035***</w:t>
            </w:r>
          </w:p>
        </w:tc>
        <w:tc>
          <w:tcPr>
            <w:tcW w:type="pct" w:w="754"/>
            <w:tcMar>
              <w:top w:w="0" w:type="dxa"/>
              <w:left w:w="0" w:type="dxa"/>
              <w:bottom w:w="0" w:type="dxa"/>
              <w:right w:w="0" w:type="dxa"/>
            </w:tcMar>
            <w:tcBorders>
              <w:top w:val="none" w:color="000000" w:sz="0" w:space="0"/>
              <w:left w:val="none" w:color="000000" w:sz="0" w:space="0"/>
              <w:bottom w:val="none" w:color="000000" w:sz="0" w:space="0"/>
              <w:right w:val="none" w:color="000000" w:sz="0" w:space="0"/>
            </w:tcBorders>
            <w:shd w:fill="FFFFFF" w:color="auto" w:val="clear"/>
            <w:vAlign w:val="top"/>
          </w:tcPr>
          <w:p>
            <w:pPr>
              <w:pBdr>
                <w:top w:val="none" w:color="000000" w:sz="0" w:space="0"/>
                <w:left w:val="none" w:color="000000" w:sz="0" w:space="0"/>
                <w:bottom w:val="none" w:color="000000" w:sz="0" w:space="0"/>
                <w:right w:val="none" w:color="000000" w:sz="0" w:space="0"/>
              </w:pBdr>
              <w:pStyle w:val="Normal"/>
              <w:spacing w:before="120" w:after="120"/>
              <w:ind w:left="120" w:right="120"/>
              <w:rPr>
                <w:rFonts w:ascii="Times New Roman" w:eastAsia="Arial" w:hAnsi="Times New Roman" w:cs="Times New Roman"/>
                <w:color w:val="000000"/>
              </w:rPr>
            </w:pPr>
            <w:r>
              <w:rPr>
                <w:rFonts w:ascii="Times New Roman" w:eastAsia="Arial" w:hAnsi="Times New Roman" w:cs="Times New Roman"/>
                <w:color w:val="000000"/>
              </w:rPr>
              <w:t xml:space="preserve">0.010</w:t>
            </w:r>
          </w:p>
        </w:tc>
        <w:tc>
          <w:tcPr>
            <w:tcW w:type="pct" w:w="847"/>
            <w:tcMar>
              <w:top w:w="0" w:type="dxa"/>
              <w:left w:w="0" w:type="dxa"/>
              <w:bottom w:w="0" w:type="dxa"/>
              <w:right w:w="0" w:type="dxa"/>
            </w:tcMar>
            <w:tcBorders>
              <w:top w:val="none" w:color="000000" w:sz="0" w:space="0"/>
              <w:left w:val="none" w:color="000000" w:sz="0" w:space="0"/>
              <w:bottom w:val="none" w:color="000000" w:sz="0" w:space="0"/>
              <w:right w:val="none" w:color="000000" w:sz="0" w:space="0"/>
            </w:tcBorders>
            <w:shd w:fill="FFFFFF" w:color="auto" w:val="clear"/>
            <w:vAlign w:val="top"/>
          </w:tcPr>
          <w:p>
            <w:pPr>
              <w:pBdr>
                <w:top w:val="none" w:color="000000" w:sz="0" w:space="0"/>
                <w:left w:val="none" w:color="000000" w:sz="0" w:space="0"/>
                <w:bottom w:val="none" w:color="000000" w:sz="0" w:space="0"/>
                <w:right w:val="none" w:color="000000" w:sz="0" w:space="0"/>
              </w:pBdr>
              <w:pStyle w:val="Normal"/>
              <w:spacing w:before="120" w:after="120"/>
              <w:ind w:left="120" w:right="120"/>
              <w:rPr>
                <w:rFonts w:ascii="Times New Roman" w:eastAsia="Arial" w:hAnsi="Times New Roman" w:cs="Times New Roman"/>
                <w:color w:val="000000"/>
              </w:rPr>
            </w:pPr>
            <w:r>
              <w:rPr>
                <w:rFonts w:ascii="Times New Roman" w:eastAsia="Arial" w:hAnsi="Times New Roman" w:cs="Times New Roman"/>
                <w:color w:val="000000"/>
              </w:rPr>
              <w:t xml:space="preserve">&lt;0.001</w:t>
            </w:r>
          </w:p>
        </w:tc>
      </w:tr>
      <w:tr>
        <w:tblPrEx>
          <w:tblBorders>
            <w:top w:val="none" w:sz="0" w:space="0"/>
            <w:left w:val="none" w:sz="0" w:space="0"/>
            <w:bottom w:val="none" w:sz="0" w:space="0"/>
            <w:right w:val="none" w:sz="0" w:space="0"/>
            <w:insideH w:val="none" w:sz="0" w:space="0"/>
            <w:insideV w:val="none" w:sz="0" w:space="0"/>
          </w:tblBorders>
        </w:tblPrEx>
        <w:trPr>
          <w:trHeight w:hRule="atLeast" w:val="20"/>
        </w:trPr>
        <w:tc>
          <w:tcPr>
            <w:tcW w:type="pct" w:w="1965"/>
            <w:tcMar>
              <w:top w:w="0" w:type="dxa"/>
              <w:left w:w="0" w:type="dxa"/>
              <w:bottom w:w="0" w:type="dxa"/>
              <w:right w:w="0" w:type="dxa"/>
            </w:tcMar>
            <w:tcBorders>
              <w:top w:val="none" w:color="000000" w:sz="0" w:space="0"/>
              <w:left w:val="none" w:color="000000" w:sz="0" w:space="0"/>
              <w:bottom w:val="none" w:color="000000" w:sz="0" w:space="0"/>
              <w:right w:val="none" w:color="000000" w:sz="0" w:space="0"/>
            </w:tcBorders>
            <w:shd w:fill="FFFFFF" w:color="auto" w:val="clear"/>
            <w:vAlign w:val="top"/>
          </w:tcPr>
          <w:p>
            <w:pPr>
              <w:pBdr>
                <w:top w:val="none" w:color="000000" w:sz="0" w:space="0"/>
                <w:left w:val="none" w:color="000000" w:sz="0" w:space="0"/>
                <w:bottom w:val="none" w:color="000000" w:sz="0" w:space="0"/>
                <w:right w:val="none" w:color="000000" w:sz="0" w:space="0"/>
              </w:pBdr>
              <w:pStyle w:val="Normal"/>
              <w:spacing w:before="120" w:after="120"/>
              <w:ind w:left="120" w:right="120"/>
              <w:rPr>
                <w:rFonts w:ascii="Times New Roman" w:eastAsia="Arial" w:hAnsi="Times New Roman" w:cs="Times New Roman"/>
                <w:color w:val="000000"/>
              </w:rPr>
            </w:pPr>
            <w:r>
              <w:rPr>
                <w:rFonts w:ascii="Times New Roman" w:eastAsia="Arial" w:hAnsi="Times New Roman" w:cs="Times New Roman"/>
                <w:color w:val="000000"/>
              </w:rPr>
              <w:t xml:space="preserve">Fatalism</w:t>
            </w:r>
          </w:p>
        </w:tc>
        <w:tc>
          <w:tcPr>
            <w:tcW w:type="pct" w:w="435"/>
            <w:tcMar>
              <w:top w:w="0" w:type="dxa"/>
              <w:left w:w="0" w:type="dxa"/>
              <w:bottom w:w="0" w:type="dxa"/>
              <w:right w:w="0" w:type="dxa"/>
            </w:tcMar>
            <w:tcBorders>
              <w:top w:val="none" w:color="000000" w:sz="0" w:space="0"/>
              <w:left w:val="none" w:color="000000" w:sz="0" w:space="0"/>
              <w:bottom w:val="none" w:color="000000" w:sz="0" w:space="0"/>
              <w:right w:val="none" w:color="000000" w:sz="0" w:space="0"/>
            </w:tcBorders>
            <w:shd w:fill="FFFFFF" w:color="auto" w:val="clear"/>
            <w:vAlign w:val="top"/>
          </w:tcPr>
          <w:p>
            <w:pPr>
              <w:pBdr>
                <w:top w:val="none" w:color="000000" w:sz="0" w:space="0"/>
                <w:left w:val="none" w:color="000000" w:sz="0" w:space="0"/>
                <w:bottom w:val="none" w:color="000000" w:sz="0" w:space="0"/>
                <w:right w:val="none" w:color="000000" w:sz="0" w:space="0"/>
              </w:pBdr>
              <w:pStyle w:val="Normal"/>
              <w:spacing w:before="120" w:after="120"/>
              <w:ind w:left="120" w:right="120"/>
              <w:rPr>
                <w:rFonts w:ascii="Times New Roman" w:eastAsia="Arial" w:hAnsi="Times New Roman" w:cs="Times New Roman"/>
                <w:color w:val="000000"/>
              </w:rPr>
            </w:pPr>
          </w:p>
        </w:tc>
        <w:tc>
          <w:tcPr>
            <w:tcW w:type="pct" w:w="999"/>
            <w:tcMar>
              <w:top w:w="0" w:type="dxa"/>
              <w:left w:w="0" w:type="dxa"/>
              <w:bottom w:w="0" w:type="dxa"/>
              <w:right w:w="0" w:type="dxa"/>
            </w:tcMar>
            <w:tcBorders>
              <w:top w:val="none" w:color="000000" w:sz="0" w:space="0"/>
              <w:left w:val="none" w:color="000000" w:sz="0" w:space="0"/>
              <w:bottom w:val="none" w:color="000000" w:sz="0" w:space="0"/>
              <w:right w:val="none" w:color="000000" w:sz="0" w:space="0"/>
            </w:tcBorders>
            <w:shd w:fill="FFFFFF" w:color="auto" w:val="clear"/>
            <w:vAlign w:val="top"/>
          </w:tcPr>
          <w:p>
            <w:pPr>
              <w:pBdr>
                <w:top w:val="none" w:color="000000" w:sz="0" w:space="0"/>
                <w:left w:val="none" w:color="000000" w:sz="0" w:space="0"/>
                <w:bottom w:val="none" w:color="000000" w:sz="0" w:space="0"/>
                <w:right w:val="none" w:color="000000" w:sz="0" w:space="0"/>
              </w:pBdr>
              <w:pStyle w:val="Normal"/>
              <w:spacing w:before="120" w:after="120"/>
              <w:ind w:left="120" w:right="120"/>
              <w:rPr>
                <w:rFonts w:ascii="Times New Roman" w:eastAsia="Arial" w:hAnsi="Times New Roman" w:cs="Times New Roman"/>
                <w:color w:val="000000"/>
              </w:rPr>
            </w:pPr>
            <w:r>
              <w:rPr>
                <w:rFonts w:ascii="Times New Roman" w:eastAsia="Arial" w:hAnsi="Times New Roman" w:cs="Times New Roman"/>
                <w:color w:val="000000"/>
              </w:rPr>
              <w:t xml:space="preserve">0.034***</w:t>
            </w:r>
          </w:p>
        </w:tc>
        <w:tc>
          <w:tcPr>
            <w:tcW w:type="pct" w:w="754"/>
            <w:tcMar>
              <w:top w:w="0" w:type="dxa"/>
              <w:left w:w="0" w:type="dxa"/>
              <w:bottom w:w="0" w:type="dxa"/>
              <w:right w:w="0" w:type="dxa"/>
            </w:tcMar>
            <w:tcBorders>
              <w:top w:val="none" w:color="000000" w:sz="0" w:space="0"/>
              <w:left w:val="none" w:color="000000" w:sz="0" w:space="0"/>
              <w:bottom w:val="none" w:color="000000" w:sz="0" w:space="0"/>
              <w:right w:val="none" w:color="000000" w:sz="0" w:space="0"/>
            </w:tcBorders>
            <w:shd w:fill="FFFFFF" w:color="auto" w:val="clear"/>
            <w:vAlign w:val="top"/>
          </w:tcPr>
          <w:p>
            <w:pPr>
              <w:pBdr>
                <w:top w:val="none" w:color="000000" w:sz="0" w:space="0"/>
                <w:left w:val="none" w:color="000000" w:sz="0" w:space="0"/>
                <w:bottom w:val="none" w:color="000000" w:sz="0" w:space="0"/>
                <w:right w:val="none" w:color="000000" w:sz="0" w:space="0"/>
              </w:pBdr>
              <w:pStyle w:val="Normal"/>
              <w:spacing w:before="120" w:after="120"/>
              <w:ind w:left="120" w:right="120"/>
              <w:rPr>
                <w:rFonts w:ascii="Times New Roman" w:eastAsia="Arial" w:hAnsi="Times New Roman" w:cs="Times New Roman"/>
                <w:color w:val="000000"/>
              </w:rPr>
            </w:pPr>
            <w:r>
              <w:rPr>
                <w:rFonts w:ascii="Times New Roman" w:eastAsia="Arial" w:hAnsi="Times New Roman" w:cs="Times New Roman"/>
                <w:color w:val="000000"/>
              </w:rPr>
              <w:t xml:space="preserve">0.009</w:t>
            </w:r>
          </w:p>
        </w:tc>
        <w:tc>
          <w:tcPr>
            <w:tcW w:type="pct" w:w="847"/>
            <w:tcMar>
              <w:top w:w="0" w:type="dxa"/>
              <w:left w:w="0" w:type="dxa"/>
              <w:bottom w:w="0" w:type="dxa"/>
              <w:right w:w="0" w:type="dxa"/>
            </w:tcMar>
            <w:tcBorders>
              <w:top w:val="none" w:color="000000" w:sz="0" w:space="0"/>
              <w:left w:val="none" w:color="000000" w:sz="0" w:space="0"/>
              <w:bottom w:val="none" w:color="000000" w:sz="0" w:space="0"/>
              <w:right w:val="none" w:color="000000" w:sz="0" w:space="0"/>
            </w:tcBorders>
            <w:shd w:fill="FFFFFF" w:color="auto" w:val="clear"/>
            <w:vAlign w:val="top"/>
          </w:tcPr>
          <w:p>
            <w:pPr>
              <w:pBdr>
                <w:top w:val="none" w:color="000000" w:sz="0" w:space="0"/>
                <w:left w:val="none" w:color="000000" w:sz="0" w:space="0"/>
                <w:bottom w:val="none" w:color="000000" w:sz="0" w:space="0"/>
                <w:right w:val="none" w:color="000000" w:sz="0" w:space="0"/>
              </w:pBdr>
              <w:pStyle w:val="Normal"/>
              <w:spacing w:before="120" w:after="120"/>
              <w:ind w:left="120" w:right="120"/>
              <w:rPr>
                <w:rFonts w:ascii="Times New Roman" w:eastAsia="Arial" w:hAnsi="Times New Roman" w:cs="Times New Roman"/>
                <w:color w:val="000000"/>
              </w:rPr>
            </w:pPr>
            <w:r>
              <w:rPr>
                <w:rFonts w:ascii="Times New Roman" w:eastAsia="Arial" w:hAnsi="Times New Roman" w:cs="Times New Roman"/>
                <w:color w:val="000000"/>
              </w:rPr>
              <w:t xml:space="preserve">&lt;0.001</w:t>
            </w:r>
          </w:p>
        </w:tc>
      </w:tr>
      <w:tr>
        <w:tblPrEx>
          <w:tblBorders>
            <w:top w:val="none" w:sz="0" w:space="0"/>
            <w:left w:val="none" w:sz="0" w:space="0"/>
            <w:bottom w:val="none" w:sz="0" w:space="0"/>
            <w:right w:val="none" w:sz="0" w:space="0"/>
            <w:insideH w:val="none" w:sz="0" w:space="0"/>
            <w:insideV w:val="none" w:sz="0" w:space="0"/>
          </w:tblBorders>
        </w:tblPrEx>
        <w:trPr>
          <w:trHeight w:hRule="atLeast" w:val="20"/>
        </w:trPr>
        <w:tc>
          <w:tcPr>
            <w:tcW w:type="pct" w:w="1965"/>
            <w:tcMar>
              <w:top w:w="0" w:type="dxa"/>
              <w:left w:w="0" w:type="dxa"/>
              <w:bottom w:w="0" w:type="dxa"/>
              <w:right w:w="0" w:type="dxa"/>
            </w:tcMar>
            <w:tcBorders>
              <w:top w:val="none" w:color="000000" w:sz="0" w:space="0"/>
              <w:left w:val="none" w:color="000000" w:sz="0" w:space="0"/>
              <w:bottom w:val="none" w:color="000000" w:sz="0" w:space="0"/>
              <w:right w:val="none" w:color="000000" w:sz="0" w:space="0"/>
            </w:tcBorders>
            <w:shd w:fill="FFFFFF" w:color="auto" w:val="clear"/>
            <w:vAlign w:val="top"/>
          </w:tcPr>
          <w:p>
            <w:pPr>
              <w:pBdr>
                <w:top w:val="none" w:color="000000" w:sz="0" w:space="0"/>
                <w:left w:val="none" w:color="000000" w:sz="0" w:space="0"/>
                <w:bottom w:val="none" w:color="000000" w:sz="0" w:space="0"/>
                <w:right w:val="none" w:color="000000" w:sz="0" w:space="0"/>
              </w:pBdr>
              <w:pStyle w:val="Normal"/>
              <w:spacing w:before="120" w:after="120"/>
              <w:ind w:left="120" w:right="120"/>
              <w:rPr>
                <w:rFonts w:ascii="Times New Roman" w:eastAsia="Arial" w:hAnsi="Times New Roman" w:cs="Times New Roman"/>
                <w:color w:val="000000"/>
              </w:rPr>
            </w:pPr>
            <w:r>
              <w:rPr>
                <w:rFonts w:ascii="Times New Roman" w:eastAsia="Arial" w:hAnsi="Times New Roman" w:cs="Times New Roman"/>
                <w:color w:val="000000"/>
              </w:rPr>
              <w:t xml:space="preserve">Conservative Ideology</w:t>
            </w:r>
          </w:p>
        </w:tc>
        <w:tc>
          <w:tcPr>
            <w:tcW w:type="pct" w:w="435"/>
            <w:tcMar>
              <w:top w:w="0" w:type="dxa"/>
              <w:left w:w="0" w:type="dxa"/>
              <w:bottom w:w="0" w:type="dxa"/>
              <w:right w:w="0" w:type="dxa"/>
            </w:tcMar>
            <w:tcBorders>
              <w:top w:val="none" w:color="000000" w:sz="0" w:space="0"/>
              <w:left w:val="none" w:color="000000" w:sz="0" w:space="0"/>
              <w:bottom w:val="none" w:color="000000" w:sz="0" w:space="0"/>
              <w:right w:val="none" w:color="000000" w:sz="0" w:space="0"/>
            </w:tcBorders>
            <w:shd w:fill="FFFFFF" w:color="auto" w:val="clear"/>
            <w:vAlign w:val="top"/>
          </w:tcPr>
          <w:p>
            <w:pPr>
              <w:pBdr>
                <w:top w:val="none" w:color="000000" w:sz="0" w:space="0"/>
                <w:left w:val="none" w:color="000000" w:sz="0" w:space="0"/>
                <w:bottom w:val="none" w:color="000000" w:sz="0" w:space="0"/>
                <w:right w:val="none" w:color="000000" w:sz="0" w:space="0"/>
              </w:pBdr>
              <w:pStyle w:val="Normal"/>
              <w:spacing w:before="120" w:after="120"/>
              <w:ind w:left="120" w:right="120"/>
              <w:rPr>
                <w:rFonts w:ascii="Times New Roman" w:eastAsia="Arial" w:hAnsi="Times New Roman" w:cs="Times New Roman"/>
                <w:color w:val="000000"/>
              </w:rPr>
            </w:pPr>
          </w:p>
        </w:tc>
        <w:tc>
          <w:tcPr>
            <w:tcW w:type="pct" w:w="999"/>
            <w:tcMar>
              <w:top w:w="0" w:type="dxa"/>
              <w:left w:w="0" w:type="dxa"/>
              <w:bottom w:w="0" w:type="dxa"/>
              <w:right w:w="0" w:type="dxa"/>
            </w:tcMar>
            <w:tcBorders>
              <w:top w:val="none" w:color="000000" w:sz="0" w:space="0"/>
              <w:left w:val="none" w:color="000000" w:sz="0" w:space="0"/>
              <w:bottom w:val="none" w:color="000000" w:sz="0" w:space="0"/>
              <w:right w:val="none" w:color="000000" w:sz="0" w:space="0"/>
            </w:tcBorders>
            <w:shd w:fill="FFFFFF" w:color="auto" w:val="clear"/>
            <w:vAlign w:val="top"/>
          </w:tcPr>
          <w:p>
            <w:pPr>
              <w:pBdr>
                <w:top w:val="none" w:color="000000" w:sz="0" w:space="0"/>
                <w:left w:val="none" w:color="000000" w:sz="0" w:space="0"/>
                <w:bottom w:val="none" w:color="000000" w:sz="0" w:space="0"/>
                <w:right w:val="none" w:color="000000" w:sz="0" w:space="0"/>
              </w:pBdr>
              <w:pStyle w:val="Normal"/>
              <w:spacing w:before="120" w:after="120"/>
              <w:ind w:left="120" w:right="120"/>
              <w:rPr>
                <w:rFonts w:ascii="Times New Roman" w:eastAsia="Arial" w:hAnsi="Times New Roman" w:cs="Times New Roman"/>
                <w:color w:val="000000"/>
              </w:rPr>
            </w:pPr>
            <w:r>
              <w:rPr>
                <w:rFonts w:ascii="Times New Roman" w:eastAsia="Arial" w:hAnsi="Times New Roman" w:cs="Times New Roman"/>
                <w:color w:val="000000"/>
              </w:rPr>
              <w:t xml:space="preserve">0.219***</w:t>
            </w:r>
          </w:p>
        </w:tc>
        <w:tc>
          <w:tcPr>
            <w:tcW w:type="pct" w:w="754"/>
            <w:tcMar>
              <w:top w:w="0" w:type="dxa"/>
              <w:left w:w="0" w:type="dxa"/>
              <w:bottom w:w="0" w:type="dxa"/>
              <w:right w:w="0" w:type="dxa"/>
            </w:tcMar>
            <w:tcBorders>
              <w:top w:val="none" w:color="000000" w:sz="0" w:space="0"/>
              <w:left w:val="none" w:color="000000" w:sz="0" w:space="0"/>
              <w:bottom w:val="none" w:color="000000" w:sz="0" w:space="0"/>
              <w:right w:val="none" w:color="000000" w:sz="0" w:space="0"/>
            </w:tcBorders>
            <w:shd w:fill="FFFFFF" w:color="auto" w:val="clear"/>
            <w:vAlign w:val="top"/>
          </w:tcPr>
          <w:p>
            <w:pPr>
              <w:pBdr>
                <w:top w:val="none" w:color="000000" w:sz="0" w:space="0"/>
                <w:left w:val="none" w:color="000000" w:sz="0" w:space="0"/>
                <w:bottom w:val="none" w:color="000000" w:sz="0" w:space="0"/>
                <w:right w:val="none" w:color="000000" w:sz="0" w:space="0"/>
              </w:pBdr>
              <w:pStyle w:val="Normal"/>
              <w:spacing w:before="120" w:after="120"/>
              <w:ind w:left="120" w:right="120"/>
              <w:rPr>
                <w:rFonts w:ascii="Times New Roman" w:eastAsia="Arial" w:hAnsi="Times New Roman" w:cs="Times New Roman"/>
                <w:color w:val="000000"/>
              </w:rPr>
            </w:pPr>
            <w:r>
              <w:rPr>
                <w:rFonts w:ascii="Times New Roman" w:eastAsia="Arial" w:hAnsi="Times New Roman" w:cs="Times New Roman"/>
                <w:color w:val="000000"/>
              </w:rPr>
              <w:t xml:space="preserve">0.023</w:t>
            </w:r>
          </w:p>
        </w:tc>
        <w:tc>
          <w:tcPr>
            <w:tcW w:type="pct" w:w="847"/>
            <w:tcMar>
              <w:top w:w="0" w:type="dxa"/>
              <w:left w:w="0" w:type="dxa"/>
              <w:bottom w:w="0" w:type="dxa"/>
              <w:right w:w="0" w:type="dxa"/>
            </w:tcMar>
            <w:tcBorders>
              <w:top w:val="none" w:color="000000" w:sz="0" w:space="0"/>
              <w:left w:val="none" w:color="000000" w:sz="0" w:space="0"/>
              <w:bottom w:val="none" w:color="000000" w:sz="0" w:space="0"/>
              <w:right w:val="none" w:color="000000" w:sz="0" w:space="0"/>
            </w:tcBorders>
            <w:shd w:fill="FFFFFF" w:color="auto" w:val="clear"/>
            <w:vAlign w:val="top"/>
          </w:tcPr>
          <w:p>
            <w:pPr>
              <w:pBdr>
                <w:top w:val="none" w:color="000000" w:sz="0" w:space="0"/>
                <w:left w:val="none" w:color="000000" w:sz="0" w:space="0"/>
                <w:bottom w:val="none" w:color="000000" w:sz="0" w:space="0"/>
                <w:right w:val="none" w:color="000000" w:sz="0" w:space="0"/>
              </w:pBdr>
              <w:pStyle w:val="Normal"/>
              <w:spacing w:before="120" w:after="120"/>
              <w:ind w:left="120" w:right="120"/>
              <w:rPr>
                <w:rFonts w:ascii="Times New Roman" w:eastAsia="Arial" w:hAnsi="Times New Roman" w:cs="Times New Roman"/>
                <w:color w:val="000000"/>
              </w:rPr>
            </w:pPr>
            <w:r>
              <w:rPr>
                <w:rFonts w:ascii="Times New Roman" w:eastAsia="Arial" w:hAnsi="Times New Roman" w:cs="Times New Roman"/>
                <w:color w:val="000000"/>
              </w:rPr>
              <w:t xml:space="preserve">&lt;0.001</w:t>
            </w:r>
          </w:p>
        </w:tc>
      </w:tr>
      <w:tr>
        <w:tblPrEx>
          <w:tblBorders>
            <w:top w:val="none" w:sz="0" w:space="0"/>
            <w:left w:val="none" w:sz="0" w:space="0"/>
            <w:bottom w:val="none" w:sz="0" w:space="0"/>
            <w:right w:val="none" w:sz="0" w:space="0"/>
            <w:insideH w:val="none" w:sz="0" w:space="0"/>
            <w:insideV w:val="none" w:sz="0" w:space="0"/>
          </w:tblBorders>
        </w:tblPrEx>
        <w:trPr>
          <w:trHeight w:hRule="atLeast" w:val="20"/>
        </w:trPr>
        <w:tc>
          <w:tcPr>
            <w:tcW w:type="pct" w:w="1965"/>
            <w:tcMar>
              <w:top w:w="0" w:type="dxa"/>
              <w:left w:w="0" w:type="dxa"/>
              <w:bottom w:w="0" w:type="dxa"/>
              <w:right w:w="0" w:type="dxa"/>
            </w:tcMar>
            <w:tcBorders>
              <w:top w:val="none" w:color="000000" w:sz="0" w:space="0"/>
              <w:left w:val="none" w:color="000000" w:sz="0" w:space="0"/>
              <w:bottom w:val="none" w:color="000000" w:sz="0" w:space="0"/>
              <w:right w:val="none" w:color="000000" w:sz="0" w:space="0"/>
            </w:tcBorders>
            <w:shd w:fill="FFFFFF" w:color="auto" w:val="clear"/>
            <w:vAlign w:val="top"/>
          </w:tcPr>
          <w:p>
            <w:pPr>
              <w:pBdr>
                <w:top w:val="none" w:color="000000" w:sz="0" w:space="0"/>
                <w:left w:val="none" w:color="000000" w:sz="0" w:space="0"/>
                <w:bottom w:val="none" w:color="000000" w:sz="0" w:space="0"/>
                <w:right w:val="none" w:color="000000" w:sz="0" w:space="0"/>
              </w:pBdr>
              <w:pStyle w:val="Normal"/>
              <w:spacing w:before="120" w:after="120"/>
              <w:ind w:left="120" w:right="120"/>
              <w:rPr>
                <w:rFonts w:ascii="Times New Roman" w:eastAsia="Arial" w:hAnsi="Times New Roman" w:cs="Times New Roman"/>
                <w:color w:val="000000"/>
              </w:rPr>
            </w:pPr>
            <w:r>
              <w:rPr>
                <w:rFonts w:ascii="Times New Roman" w:eastAsia="Arial" w:hAnsi="Times New Roman" w:cs="Times New Roman"/>
                <w:color w:val="000000"/>
              </w:rPr>
              <w:t xml:space="preserve">Age (Years)</w:t>
            </w:r>
          </w:p>
        </w:tc>
        <w:tc>
          <w:tcPr>
            <w:tcW w:type="pct" w:w="435"/>
            <w:tcMar>
              <w:top w:w="0" w:type="dxa"/>
              <w:left w:w="0" w:type="dxa"/>
              <w:bottom w:w="0" w:type="dxa"/>
              <w:right w:w="0" w:type="dxa"/>
            </w:tcMar>
            <w:tcBorders>
              <w:top w:val="none" w:color="000000" w:sz="0" w:space="0"/>
              <w:left w:val="none" w:color="000000" w:sz="0" w:space="0"/>
              <w:bottom w:val="none" w:color="000000" w:sz="0" w:space="0"/>
              <w:right w:val="none" w:color="000000" w:sz="0" w:space="0"/>
            </w:tcBorders>
            <w:shd w:fill="FFFFFF" w:color="auto" w:val="clear"/>
            <w:vAlign w:val="top"/>
          </w:tcPr>
          <w:p>
            <w:pPr>
              <w:pBdr>
                <w:top w:val="none" w:color="000000" w:sz="0" w:space="0"/>
                <w:left w:val="none" w:color="000000" w:sz="0" w:space="0"/>
                <w:bottom w:val="none" w:color="000000" w:sz="0" w:space="0"/>
                <w:right w:val="none" w:color="000000" w:sz="0" w:space="0"/>
              </w:pBdr>
              <w:pStyle w:val="Normal"/>
              <w:spacing w:before="120" w:after="120"/>
              <w:ind w:left="120" w:right="120"/>
              <w:rPr>
                <w:rFonts w:ascii="Times New Roman" w:eastAsia="Arial" w:hAnsi="Times New Roman" w:cs="Times New Roman"/>
                <w:color w:val="000000"/>
              </w:rPr>
            </w:pPr>
          </w:p>
        </w:tc>
        <w:tc>
          <w:tcPr>
            <w:tcW w:type="pct" w:w="999"/>
            <w:tcMar>
              <w:top w:w="0" w:type="dxa"/>
              <w:left w:w="0" w:type="dxa"/>
              <w:bottom w:w="0" w:type="dxa"/>
              <w:right w:w="0" w:type="dxa"/>
            </w:tcMar>
            <w:tcBorders>
              <w:top w:val="none" w:color="000000" w:sz="0" w:space="0"/>
              <w:left w:val="none" w:color="000000" w:sz="0" w:space="0"/>
              <w:bottom w:val="none" w:color="000000" w:sz="0" w:space="0"/>
              <w:right w:val="none" w:color="000000" w:sz="0" w:space="0"/>
            </w:tcBorders>
            <w:shd w:fill="FFFFFF" w:color="auto" w:val="clear"/>
            <w:vAlign w:val="top"/>
          </w:tcPr>
          <w:p>
            <w:pPr>
              <w:pBdr>
                <w:top w:val="none" w:color="000000" w:sz="0" w:space="0"/>
                <w:left w:val="none" w:color="000000" w:sz="0" w:space="0"/>
                <w:bottom w:val="none" w:color="000000" w:sz="0" w:space="0"/>
                <w:right w:val="none" w:color="000000" w:sz="0" w:space="0"/>
              </w:pBdr>
              <w:pStyle w:val="Normal"/>
              <w:spacing w:before="120" w:after="120"/>
              <w:ind w:left="120" w:right="120"/>
              <w:rPr>
                <w:rFonts w:ascii="Times New Roman" w:eastAsia="Arial" w:hAnsi="Times New Roman" w:cs="Times New Roman"/>
                <w:color w:val="000000"/>
              </w:rPr>
            </w:pPr>
            <w:r>
              <w:rPr>
                <w:rFonts w:ascii="Times New Roman" w:eastAsia="Arial" w:hAnsi="Times New Roman" w:cs="Times New Roman"/>
                <w:color w:val="000000"/>
              </w:rPr>
              <w:t xml:space="preserve">-0.007***</w:t>
            </w:r>
          </w:p>
        </w:tc>
        <w:tc>
          <w:tcPr>
            <w:tcW w:type="pct" w:w="754"/>
            <w:tcMar>
              <w:top w:w="0" w:type="dxa"/>
              <w:left w:w="0" w:type="dxa"/>
              <w:bottom w:w="0" w:type="dxa"/>
              <w:right w:w="0" w:type="dxa"/>
            </w:tcMar>
            <w:tcBorders>
              <w:top w:val="none" w:color="000000" w:sz="0" w:space="0"/>
              <w:left w:val="none" w:color="000000" w:sz="0" w:space="0"/>
              <w:bottom w:val="none" w:color="000000" w:sz="0" w:space="0"/>
              <w:right w:val="none" w:color="000000" w:sz="0" w:space="0"/>
            </w:tcBorders>
            <w:shd w:fill="FFFFFF" w:color="auto" w:val="clear"/>
            <w:vAlign w:val="top"/>
          </w:tcPr>
          <w:p>
            <w:pPr>
              <w:pBdr>
                <w:top w:val="none" w:color="000000" w:sz="0" w:space="0"/>
                <w:left w:val="none" w:color="000000" w:sz="0" w:space="0"/>
                <w:bottom w:val="none" w:color="000000" w:sz="0" w:space="0"/>
                <w:right w:val="none" w:color="000000" w:sz="0" w:space="0"/>
              </w:pBdr>
              <w:pStyle w:val="Normal"/>
              <w:spacing w:before="120" w:after="120"/>
              <w:ind w:left="120" w:right="120"/>
              <w:rPr>
                <w:rFonts w:ascii="Times New Roman" w:eastAsia="Arial" w:hAnsi="Times New Roman" w:cs="Times New Roman"/>
                <w:color w:val="000000"/>
              </w:rPr>
            </w:pPr>
            <w:r>
              <w:rPr>
                <w:rFonts w:ascii="Times New Roman" w:eastAsia="Arial" w:hAnsi="Times New Roman" w:cs="Times New Roman"/>
                <w:color w:val="000000"/>
              </w:rPr>
              <w:t xml:space="preserve">0.002</w:t>
            </w:r>
          </w:p>
        </w:tc>
        <w:tc>
          <w:tcPr>
            <w:tcW w:type="pct" w:w="847"/>
            <w:tcMar>
              <w:top w:w="0" w:type="dxa"/>
              <w:left w:w="0" w:type="dxa"/>
              <w:bottom w:w="0" w:type="dxa"/>
              <w:right w:w="0" w:type="dxa"/>
            </w:tcMar>
            <w:tcBorders>
              <w:top w:val="none" w:color="000000" w:sz="0" w:space="0"/>
              <w:left w:val="none" w:color="000000" w:sz="0" w:space="0"/>
              <w:bottom w:val="none" w:color="000000" w:sz="0" w:space="0"/>
              <w:right w:val="none" w:color="000000" w:sz="0" w:space="0"/>
            </w:tcBorders>
            <w:shd w:fill="FFFFFF" w:color="auto" w:val="clear"/>
            <w:vAlign w:val="top"/>
          </w:tcPr>
          <w:p>
            <w:pPr>
              <w:pBdr>
                <w:top w:val="none" w:color="000000" w:sz="0" w:space="0"/>
                <w:left w:val="none" w:color="000000" w:sz="0" w:space="0"/>
                <w:bottom w:val="none" w:color="000000" w:sz="0" w:space="0"/>
                <w:right w:val="none" w:color="000000" w:sz="0" w:space="0"/>
              </w:pBdr>
              <w:pStyle w:val="Normal"/>
              <w:spacing w:before="120" w:after="120"/>
              <w:ind w:left="120" w:right="120"/>
              <w:rPr>
                <w:rFonts w:ascii="Times New Roman" w:eastAsia="Arial" w:hAnsi="Times New Roman" w:cs="Times New Roman"/>
                <w:color w:val="000000"/>
              </w:rPr>
            </w:pPr>
            <w:r>
              <w:rPr>
                <w:rFonts w:ascii="Times New Roman" w:eastAsia="Arial" w:hAnsi="Times New Roman" w:cs="Times New Roman"/>
                <w:color w:val="000000"/>
              </w:rPr>
              <w:t xml:space="preserve">&lt;0.001</w:t>
            </w:r>
          </w:p>
        </w:tc>
      </w:tr>
      <w:tr>
        <w:tblPrEx>
          <w:tblBorders>
            <w:top w:val="none" w:sz="0" w:space="0"/>
            <w:left w:val="none" w:sz="0" w:space="0"/>
            <w:bottom w:val="none" w:sz="0" w:space="0"/>
            <w:right w:val="none" w:sz="0" w:space="0"/>
            <w:insideH w:val="none" w:sz="0" w:space="0"/>
            <w:insideV w:val="none" w:sz="0" w:space="0"/>
          </w:tblBorders>
        </w:tblPrEx>
        <w:trPr>
          <w:trHeight w:hRule="atLeast" w:val="20"/>
        </w:trPr>
        <w:tc>
          <w:tcPr>
            <w:tcW w:type="pct" w:w="1965"/>
            <w:tcMar>
              <w:top w:w="0" w:type="dxa"/>
              <w:left w:w="0" w:type="dxa"/>
              <w:bottom w:w="0" w:type="dxa"/>
              <w:right w:w="0" w:type="dxa"/>
            </w:tcMar>
            <w:tcBorders>
              <w:top w:val="none" w:color="000000" w:sz="0" w:space="0"/>
              <w:left w:val="none" w:color="000000" w:sz="0" w:space="0"/>
              <w:bottom w:val="none" w:color="000000" w:sz="0" w:space="0"/>
              <w:right w:val="none" w:color="000000" w:sz="0" w:space="0"/>
            </w:tcBorders>
            <w:shd w:fill="FFFFFF" w:color="auto" w:val="clear"/>
            <w:vAlign w:val="top"/>
          </w:tcPr>
          <w:p>
            <w:pPr>
              <w:pBdr>
                <w:top w:val="none" w:color="000000" w:sz="0" w:space="0"/>
                <w:left w:val="none" w:color="000000" w:sz="0" w:space="0"/>
                <w:bottom w:val="none" w:color="000000" w:sz="0" w:space="0"/>
                <w:right w:val="none" w:color="000000" w:sz="0" w:space="0"/>
              </w:pBdr>
              <w:pStyle w:val="Normal"/>
              <w:spacing w:before="120" w:after="120"/>
              <w:ind w:left="120" w:right="120"/>
              <w:rPr>
                <w:rFonts w:ascii="Times New Roman" w:eastAsia="Arial" w:hAnsi="Times New Roman" w:cs="Times New Roman"/>
                <w:color w:val="000000"/>
              </w:rPr>
            </w:pPr>
            <w:r>
              <w:rPr>
                <w:rFonts w:ascii="Times New Roman" w:eastAsia="Arial" w:hAnsi="Times New Roman" w:cs="Times New Roman"/>
                <w:color w:val="000000"/>
              </w:rPr>
              <w:t xml:space="preserve">Education</w:t>
            </w:r>
          </w:p>
        </w:tc>
        <w:tc>
          <w:tcPr>
            <w:tcW w:type="pct" w:w="435"/>
            <w:tcMar>
              <w:top w:w="0" w:type="dxa"/>
              <w:left w:w="0" w:type="dxa"/>
              <w:bottom w:w="0" w:type="dxa"/>
              <w:right w:w="0" w:type="dxa"/>
            </w:tcMar>
            <w:tcBorders>
              <w:top w:val="none" w:color="000000" w:sz="0" w:space="0"/>
              <w:left w:val="none" w:color="000000" w:sz="0" w:space="0"/>
              <w:bottom w:val="none" w:color="000000" w:sz="0" w:space="0"/>
              <w:right w:val="none" w:color="000000" w:sz="0" w:space="0"/>
            </w:tcBorders>
            <w:shd w:fill="FFFFFF" w:color="auto" w:val="clear"/>
            <w:vAlign w:val="top"/>
          </w:tcPr>
          <w:p>
            <w:pPr>
              <w:pBdr>
                <w:top w:val="none" w:color="000000" w:sz="0" w:space="0"/>
                <w:left w:val="none" w:color="000000" w:sz="0" w:space="0"/>
                <w:bottom w:val="none" w:color="000000" w:sz="0" w:space="0"/>
                <w:right w:val="none" w:color="000000" w:sz="0" w:space="0"/>
              </w:pBdr>
              <w:pStyle w:val="Normal"/>
              <w:spacing w:before="120" w:after="120"/>
              <w:ind w:left="120" w:right="120"/>
              <w:rPr>
                <w:rFonts w:ascii="Times New Roman" w:eastAsia="Arial" w:hAnsi="Times New Roman" w:cs="Times New Roman"/>
                <w:color w:val="000000"/>
              </w:rPr>
            </w:pPr>
          </w:p>
        </w:tc>
        <w:tc>
          <w:tcPr>
            <w:tcW w:type="pct" w:w="999"/>
            <w:tcMar>
              <w:top w:w="0" w:type="dxa"/>
              <w:left w:w="0" w:type="dxa"/>
              <w:bottom w:w="0" w:type="dxa"/>
              <w:right w:w="0" w:type="dxa"/>
            </w:tcMar>
            <w:tcBorders>
              <w:top w:val="none" w:color="000000" w:sz="0" w:space="0"/>
              <w:left w:val="none" w:color="000000" w:sz="0" w:space="0"/>
              <w:bottom w:val="none" w:color="000000" w:sz="0" w:space="0"/>
              <w:right w:val="none" w:color="000000" w:sz="0" w:space="0"/>
            </w:tcBorders>
            <w:shd w:fill="FFFFFF" w:color="auto" w:val="clear"/>
            <w:vAlign w:val="top"/>
          </w:tcPr>
          <w:p>
            <w:pPr>
              <w:pBdr>
                <w:top w:val="none" w:color="000000" w:sz="0" w:space="0"/>
                <w:left w:val="none" w:color="000000" w:sz="0" w:space="0"/>
                <w:bottom w:val="none" w:color="000000" w:sz="0" w:space="0"/>
                <w:right w:val="none" w:color="000000" w:sz="0" w:space="0"/>
              </w:pBdr>
              <w:pStyle w:val="Normal"/>
              <w:spacing w:before="120" w:after="120"/>
              <w:ind w:left="120" w:right="120"/>
              <w:rPr>
                <w:rFonts w:ascii="Times New Roman" w:eastAsia="Arial" w:hAnsi="Times New Roman" w:cs="Times New Roman"/>
                <w:color w:val="000000"/>
              </w:rPr>
            </w:pPr>
            <w:r>
              <w:rPr>
                <w:rFonts w:ascii="Times New Roman" w:eastAsia="Arial" w:hAnsi="Times New Roman" w:cs="Times New Roman"/>
                <w:color w:val="000000"/>
              </w:rPr>
              <w:t xml:space="preserve">0.012</w:t>
            </w:r>
          </w:p>
        </w:tc>
        <w:tc>
          <w:tcPr>
            <w:tcW w:type="pct" w:w="754"/>
            <w:tcMar>
              <w:top w:w="0" w:type="dxa"/>
              <w:left w:w="0" w:type="dxa"/>
              <w:bottom w:w="0" w:type="dxa"/>
              <w:right w:w="0" w:type="dxa"/>
            </w:tcMar>
            <w:tcBorders>
              <w:top w:val="none" w:color="000000" w:sz="0" w:space="0"/>
              <w:left w:val="none" w:color="000000" w:sz="0" w:space="0"/>
              <w:bottom w:val="none" w:color="000000" w:sz="0" w:space="0"/>
              <w:right w:val="none" w:color="000000" w:sz="0" w:space="0"/>
            </w:tcBorders>
            <w:shd w:fill="FFFFFF" w:color="auto" w:val="clear"/>
            <w:vAlign w:val="top"/>
          </w:tcPr>
          <w:p>
            <w:pPr>
              <w:pBdr>
                <w:top w:val="none" w:color="000000" w:sz="0" w:space="0"/>
                <w:left w:val="none" w:color="000000" w:sz="0" w:space="0"/>
                <w:bottom w:val="none" w:color="000000" w:sz="0" w:space="0"/>
                <w:right w:val="none" w:color="000000" w:sz="0" w:space="0"/>
              </w:pBdr>
              <w:pStyle w:val="Normal"/>
              <w:spacing w:before="120" w:after="120"/>
              <w:ind w:left="120" w:right="120"/>
              <w:rPr>
                <w:rFonts w:ascii="Times New Roman" w:eastAsia="Arial" w:hAnsi="Times New Roman" w:cs="Times New Roman"/>
                <w:color w:val="000000"/>
              </w:rPr>
            </w:pPr>
            <w:r>
              <w:rPr>
                <w:rFonts w:ascii="Times New Roman" w:eastAsia="Arial" w:hAnsi="Times New Roman" w:cs="Times New Roman"/>
                <w:color w:val="000000"/>
              </w:rPr>
              <w:t xml:space="preserve">0.020</w:t>
            </w:r>
          </w:p>
        </w:tc>
        <w:tc>
          <w:tcPr>
            <w:tcW w:type="pct" w:w="847"/>
            <w:tcMar>
              <w:top w:w="0" w:type="dxa"/>
              <w:left w:w="0" w:type="dxa"/>
              <w:bottom w:w="0" w:type="dxa"/>
              <w:right w:w="0" w:type="dxa"/>
            </w:tcMar>
            <w:tcBorders>
              <w:top w:val="none" w:color="000000" w:sz="0" w:space="0"/>
              <w:left w:val="none" w:color="000000" w:sz="0" w:space="0"/>
              <w:bottom w:val="none" w:color="000000" w:sz="0" w:space="0"/>
              <w:right w:val="none" w:color="000000" w:sz="0" w:space="0"/>
            </w:tcBorders>
            <w:shd w:fill="FFFFFF" w:color="auto" w:val="clear"/>
            <w:vAlign w:val="top"/>
          </w:tcPr>
          <w:p>
            <w:pPr>
              <w:pBdr>
                <w:top w:val="none" w:color="000000" w:sz="0" w:space="0"/>
                <w:left w:val="none" w:color="000000" w:sz="0" w:space="0"/>
                <w:bottom w:val="none" w:color="000000" w:sz="0" w:space="0"/>
                <w:right w:val="none" w:color="000000" w:sz="0" w:space="0"/>
              </w:pBdr>
              <w:pStyle w:val="Normal"/>
              <w:spacing w:before="120" w:after="120"/>
              <w:ind w:left="120" w:right="120"/>
              <w:rPr>
                <w:rFonts w:ascii="Times New Roman" w:eastAsia="Arial" w:hAnsi="Times New Roman" w:cs="Times New Roman"/>
                <w:color w:val="000000"/>
              </w:rPr>
            </w:pPr>
            <w:r>
              <w:rPr>
                <w:rFonts w:ascii="Times New Roman" w:eastAsia="Arial" w:hAnsi="Times New Roman" w:cs="Times New Roman"/>
                <w:color w:val="000000"/>
              </w:rPr>
              <w:t xml:space="preserve">0.542</w:t>
            </w:r>
          </w:p>
        </w:tc>
      </w:tr>
      <w:tr>
        <w:tblPrEx>
          <w:tblBorders>
            <w:top w:val="none" w:sz="0" w:space="0"/>
            <w:left w:val="none" w:sz="0" w:space="0"/>
            <w:bottom w:val="none" w:sz="0" w:space="0"/>
            <w:right w:val="none" w:sz="0" w:space="0"/>
            <w:insideH w:val="none" w:sz="0" w:space="0"/>
            <w:insideV w:val="none" w:sz="0" w:space="0"/>
          </w:tblBorders>
        </w:tblPrEx>
        <w:trPr>
          <w:trHeight w:hRule="atLeast" w:val="20"/>
        </w:trPr>
        <w:tc>
          <w:tcPr>
            <w:tcW w:type="pct" w:w="1965"/>
            <w:tcMar>
              <w:top w:w="0" w:type="dxa"/>
              <w:left w:w="0" w:type="dxa"/>
              <w:bottom w:w="0" w:type="dxa"/>
              <w:right w:w="0" w:type="dxa"/>
            </w:tcMar>
            <w:tcBorders>
              <w:top w:val="none" w:color="000000" w:sz="0" w:space="0"/>
              <w:left w:val="none" w:color="000000" w:sz="0" w:space="0"/>
              <w:bottom w:val="none" w:color="000000" w:sz="0" w:space="0"/>
              <w:right w:val="none" w:color="000000" w:sz="0" w:space="0"/>
            </w:tcBorders>
            <w:shd w:fill="FFFFFF" w:color="auto" w:val="clear"/>
            <w:vAlign w:val="top"/>
          </w:tcPr>
          <w:p>
            <w:pPr>
              <w:pBdr>
                <w:top w:val="none" w:color="000000" w:sz="0" w:space="0"/>
                <w:left w:val="none" w:color="000000" w:sz="0" w:space="0"/>
                <w:bottom w:val="none" w:color="000000" w:sz="0" w:space="0"/>
                <w:right w:val="none" w:color="000000" w:sz="0" w:space="0"/>
              </w:pBdr>
              <w:pStyle w:val="Normal"/>
              <w:spacing w:before="120" w:after="120"/>
              <w:ind w:left="120" w:right="120"/>
              <w:rPr>
                <w:rFonts w:ascii="Times New Roman" w:eastAsia="Arial" w:hAnsi="Times New Roman" w:cs="Times New Roman"/>
                <w:color w:val="000000"/>
              </w:rPr>
            </w:pPr>
            <w:r>
              <w:rPr>
                <w:rFonts w:ascii="Times New Roman" w:eastAsia="Arial" w:hAnsi="Times New Roman" w:cs="Times New Roman"/>
                <w:color w:val="000000"/>
              </w:rPr>
              <w:t xml:space="preserve">Income</w:t>
            </w:r>
          </w:p>
        </w:tc>
        <w:tc>
          <w:tcPr>
            <w:tcW w:type="pct" w:w="435"/>
            <w:tcMar>
              <w:top w:w="0" w:type="dxa"/>
              <w:left w:w="0" w:type="dxa"/>
              <w:bottom w:w="0" w:type="dxa"/>
              <w:right w:w="0" w:type="dxa"/>
            </w:tcMar>
            <w:tcBorders>
              <w:top w:val="none" w:color="000000" w:sz="0" w:space="0"/>
              <w:left w:val="none" w:color="000000" w:sz="0" w:space="0"/>
              <w:bottom w:val="none" w:color="000000" w:sz="0" w:space="0"/>
              <w:right w:val="none" w:color="000000" w:sz="0" w:space="0"/>
            </w:tcBorders>
            <w:shd w:fill="FFFFFF" w:color="auto" w:val="clear"/>
            <w:vAlign w:val="top"/>
          </w:tcPr>
          <w:p>
            <w:pPr>
              <w:pBdr>
                <w:top w:val="none" w:color="000000" w:sz="0" w:space="0"/>
                <w:left w:val="none" w:color="000000" w:sz="0" w:space="0"/>
                <w:bottom w:val="none" w:color="000000" w:sz="0" w:space="0"/>
                <w:right w:val="none" w:color="000000" w:sz="0" w:space="0"/>
              </w:pBdr>
              <w:pStyle w:val="Normal"/>
              <w:spacing w:before="120" w:after="120"/>
              <w:ind w:left="120" w:right="120"/>
              <w:rPr>
                <w:rFonts w:ascii="Times New Roman" w:eastAsia="Arial" w:hAnsi="Times New Roman" w:cs="Times New Roman"/>
                <w:color w:val="000000"/>
              </w:rPr>
            </w:pPr>
          </w:p>
        </w:tc>
        <w:tc>
          <w:tcPr>
            <w:tcW w:type="pct" w:w="999"/>
            <w:tcMar>
              <w:top w:w="0" w:type="dxa"/>
              <w:left w:w="0" w:type="dxa"/>
              <w:bottom w:w="0" w:type="dxa"/>
              <w:right w:w="0" w:type="dxa"/>
            </w:tcMar>
            <w:tcBorders>
              <w:top w:val="none" w:color="000000" w:sz="0" w:space="0"/>
              <w:left w:val="none" w:color="000000" w:sz="0" w:space="0"/>
              <w:bottom w:val="none" w:color="000000" w:sz="0" w:space="0"/>
              <w:right w:val="none" w:color="000000" w:sz="0" w:space="0"/>
            </w:tcBorders>
            <w:shd w:fill="FFFFFF" w:color="auto" w:val="clear"/>
            <w:vAlign w:val="top"/>
          </w:tcPr>
          <w:p>
            <w:pPr>
              <w:pBdr>
                <w:top w:val="none" w:color="000000" w:sz="0" w:space="0"/>
                <w:left w:val="none" w:color="000000" w:sz="0" w:space="0"/>
                <w:bottom w:val="none" w:color="000000" w:sz="0" w:space="0"/>
                <w:right w:val="none" w:color="000000" w:sz="0" w:space="0"/>
              </w:pBdr>
              <w:pStyle w:val="Normal"/>
              <w:spacing w:before="120" w:after="120"/>
              <w:ind w:left="120" w:right="120"/>
              <w:rPr>
                <w:rFonts w:ascii="Times New Roman" w:eastAsia="Arial" w:hAnsi="Times New Roman" w:cs="Times New Roman"/>
                <w:color w:val="000000"/>
              </w:rPr>
            </w:pPr>
            <w:r>
              <w:rPr>
                <w:rFonts w:ascii="Times New Roman" w:eastAsia="Arial" w:hAnsi="Times New Roman" w:cs="Times New Roman"/>
                <w:color w:val="000000"/>
              </w:rPr>
              <w:t xml:space="preserve">0.004</w:t>
            </w:r>
          </w:p>
        </w:tc>
        <w:tc>
          <w:tcPr>
            <w:tcW w:type="pct" w:w="754"/>
            <w:tcMar>
              <w:top w:w="0" w:type="dxa"/>
              <w:left w:w="0" w:type="dxa"/>
              <w:bottom w:w="0" w:type="dxa"/>
              <w:right w:w="0" w:type="dxa"/>
            </w:tcMar>
            <w:tcBorders>
              <w:top w:val="none" w:color="000000" w:sz="0" w:space="0"/>
              <w:left w:val="none" w:color="000000" w:sz="0" w:space="0"/>
              <w:bottom w:val="none" w:color="000000" w:sz="0" w:space="0"/>
              <w:right w:val="none" w:color="000000" w:sz="0" w:space="0"/>
            </w:tcBorders>
            <w:shd w:fill="FFFFFF" w:color="auto" w:val="clear"/>
            <w:vAlign w:val="top"/>
          </w:tcPr>
          <w:p>
            <w:pPr>
              <w:pBdr>
                <w:top w:val="none" w:color="000000" w:sz="0" w:space="0"/>
                <w:left w:val="none" w:color="000000" w:sz="0" w:space="0"/>
                <w:bottom w:val="none" w:color="000000" w:sz="0" w:space="0"/>
                <w:right w:val="none" w:color="000000" w:sz="0" w:space="0"/>
              </w:pBdr>
              <w:pStyle w:val="Normal"/>
              <w:spacing w:before="120" w:after="120"/>
              <w:ind w:left="120" w:right="120"/>
              <w:rPr>
                <w:rFonts w:ascii="Times New Roman" w:eastAsia="Arial" w:hAnsi="Times New Roman" w:cs="Times New Roman"/>
                <w:color w:val="000000"/>
              </w:rPr>
            </w:pPr>
            <w:r>
              <w:rPr>
                <w:rFonts w:ascii="Times New Roman" w:eastAsia="Arial" w:hAnsi="Times New Roman" w:cs="Times New Roman"/>
                <w:color w:val="000000"/>
              </w:rPr>
              <w:t xml:space="preserve">0.005</w:t>
            </w:r>
          </w:p>
        </w:tc>
        <w:tc>
          <w:tcPr>
            <w:tcW w:type="pct" w:w="847"/>
            <w:tcMar>
              <w:top w:w="0" w:type="dxa"/>
              <w:left w:w="0" w:type="dxa"/>
              <w:bottom w:w="0" w:type="dxa"/>
              <w:right w:w="0" w:type="dxa"/>
            </w:tcMar>
            <w:tcBorders>
              <w:top w:val="none" w:color="000000" w:sz="0" w:space="0"/>
              <w:left w:val="none" w:color="000000" w:sz="0" w:space="0"/>
              <w:bottom w:val="none" w:color="000000" w:sz="0" w:space="0"/>
              <w:right w:val="none" w:color="000000" w:sz="0" w:space="0"/>
            </w:tcBorders>
            <w:shd w:fill="FFFFFF" w:color="auto" w:val="clear"/>
            <w:vAlign w:val="top"/>
          </w:tcPr>
          <w:p>
            <w:pPr>
              <w:pBdr>
                <w:top w:val="none" w:color="000000" w:sz="0" w:space="0"/>
                <w:left w:val="none" w:color="000000" w:sz="0" w:space="0"/>
                <w:bottom w:val="none" w:color="000000" w:sz="0" w:space="0"/>
                <w:right w:val="none" w:color="000000" w:sz="0" w:space="0"/>
              </w:pBdr>
              <w:pStyle w:val="Normal"/>
              <w:spacing w:before="120" w:after="120"/>
              <w:ind w:left="120" w:right="120"/>
              <w:rPr>
                <w:rFonts w:ascii="Times New Roman" w:eastAsia="Arial" w:hAnsi="Times New Roman" w:cs="Times New Roman"/>
                <w:color w:val="000000"/>
              </w:rPr>
            </w:pPr>
            <w:r>
              <w:rPr>
                <w:rFonts w:ascii="Times New Roman" w:eastAsia="Arial" w:hAnsi="Times New Roman" w:cs="Times New Roman"/>
                <w:color w:val="000000"/>
              </w:rPr>
              <w:t xml:space="preserve">0.431</w:t>
            </w:r>
          </w:p>
        </w:tc>
      </w:tr>
      <w:tr>
        <w:tblPrEx>
          <w:tblBorders>
            <w:top w:val="none" w:sz="0" w:space="0"/>
            <w:left w:val="none" w:sz="0" w:space="0"/>
            <w:bottom w:val="none" w:sz="0" w:space="0"/>
            <w:right w:val="none" w:sz="0" w:space="0"/>
            <w:insideH w:val="none" w:sz="0" w:space="0"/>
            <w:insideV w:val="none" w:sz="0" w:space="0"/>
          </w:tblBorders>
        </w:tblPrEx>
        <w:trPr>
          <w:trHeight w:hRule="atLeast" w:val="20"/>
        </w:trPr>
        <w:tc>
          <w:tcPr>
            <w:tcW w:type="pct" w:w="1965"/>
            <w:tcMar>
              <w:top w:w="0" w:type="dxa"/>
              <w:left w:w="0" w:type="dxa"/>
              <w:bottom w:w="0" w:type="dxa"/>
              <w:right w:w="0" w:type="dxa"/>
            </w:tcMar>
            <w:tcBorders>
              <w:top w:val="none" w:color="000000" w:sz="0" w:space="0"/>
              <w:left w:val="none" w:color="000000" w:sz="0" w:space="0"/>
              <w:bottom w:val="none" w:color="000000" w:sz="0" w:space="0"/>
              <w:right w:val="none" w:color="000000" w:sz="0" w:space="0"/>
            </w:tcBorders>
            <w:shd w:fill="FFFFFF" w:color="auto" w:val="clear"/>
            <w:vAlign w:val="top"/>
          </w:tcPr>
          <w:p>
            <w:pPr>
              <w:pBdr>
                <w:top w:val="none" w:color="000000" w:sz="0" w:space="0"/>
                <w:left w:val="none" w:color="000000" w:sz="0" w:space="0"/>
                <w:bottom w:val="none" w:color="000000" w:sz="0" w:space="0"/>
                <w:right w:val="none" w:color="000000" w:sz="0" w:space="0"/>
              </w:pBdr>
              <w:pStyle w:val="Normal"/>
              <w:spacing w:before="120" w:after="120"/>
              <w:ind w:left="120" w:right="120"/>
              <w:rPr>
                <w:rFonts w:ascii="Times New Roman" w:eastAsia="Arial" w:hAnsi="Times New Roman" w:cs="Times New Roman"/>
                <w:color w:val="000000"/>
              </w:rPr>
            </w:pPr>
            <w:r>
              <w:rPr>
                <w:rFonts w:ascii="Times New Roman" w:eastAsia="Arial" w:hAnsi="Times New Roman" w:cs="Times New Roman"/>
                <w:color w:val="000000"/>
              </w:rPr>
              <w:t xml:space="preserve">Male</w:t>
            </w:r>
          </w:p>
        </w:tc>
        <w:tc>
          <w:tcPr>
            <w:tcW w:type="pct" w:w="435"/>
            <w:tcMar>
              <w:top w:w="0" w:type="dxa"/>
              <w:left w:w="0" w:type="dxa"/>
              <w:bottom w:w="0" w:type="dxa"/>
              <w:right w:w="0" w:type="dxa"/>
            </w:tcMar>
            <w:tcBorders>
              <w:top w:val="none" w:color="000000" w:sz="0" w:space="0"/>
              <w:left w:val="none" w:color="000000" w:sz="0" w:space="0"/>
              <w:bottom w:val="none" w:color="000000" w:sz="0" w:space="0"/>
              <w:right w:val="none" w:color="000000" w:sz="0" w:space="0"/>
            </w:tcBorders>
            <w:shd w:fill="FFFFFF" w:color="auto" w:val="clear"/>
            <w:vAlign w:val="top"/>
          </w:tcPr>
          <w:p>
            <w:pPr>
              <w:pBdr>
                <w:top w:val="none" w:color="000000" w:sz="0" w:space="0"/>
                <w:left w:val="none" w:color="000000" w:sz="0" w:space="0"/>
                <w:bottom w:val="none" w:color="000000" w:sz="0" w:space="0"/>
                <w:right w:val="none" w:color="000000" w:sz="0" w:space="0"/>
              </w:pBdr>
              <w:pStyle w:val="Normal"/>
              <w:spacing w:before="120" w:after="120"/>
              <w:ind w:left="120" w:right="120"/>
              <w:rPr>
                <w:rFonts w:ascii="Times New Roman" w:eastAsia="Arial" w:hAnsi="Times New Roman" w:cs="Times New Roman"/>
                <w:color w:val="000000"/>
              </w:rPr>
            </w:pPr>
          </w:p>
        </w:tc>
        <w:tc>
          <w:tcPr>
            <w:tcW w:type="pct" w:w="999"/>
            <w:tcMar>
              <w:top w:w="0" w:type="dxa"/>
              <w:left w:w="0" w:type="dxa"/>
              <w:bottom w:w="0" w:type="dxa"/>
              <w:right w:w="0" w:type="dxa"/>
            </w:tcMar>
            <w:tcBorders>
              <w:top w:val="none" w:color="000000" w:sz="0" w:space="0"/>
              <w:left w:val="none" w:color="000000" w:sz="0" w:space="0"/>
              <w:bottom w:val="none" w:color="000000" w:sz="0" w:space="0"/>
              <w:right w:val="none" w:color="000000" w:sz="0" w:space="0"/>
            </w:tcBorders>
            <w:shd w:fill="FFFFFF" w:color="auto" w:val="clear"/>
            <w:vAlign w:val="top"/>
          </w:tcPr>
          <w:p>
            <w:pPr>
              <w:pBdr>
                <w:top w:val="none" w:color="000000" w:sz="0" w:space="0"/>
                <w:left w:val="none" w:color="000000" w:sz="0" w:space="0"/>
                <w:bottom w:val="none" w:color="000000" w:sz="0" w:space="0"/>
                <w:right w:val="none" w:color="000000" w:sz="0" w:space="0"/>
              </w:pBdr>
              <w:pStyle w:val="Normal"/>
              <w:spacing w:before="120" w:after="120"/>
              <w:ind w:left="120" w:right="120"/>
              <w:rPr>
                <w:rFonts w:ascii="Times New Roman" w:eastAsia="Arial" w:hAnsi="Times New Roman" w:cs="Times New Roman"/>
                <w:color w:val="000000"/>
              </w:rPr>
            </w:pPr>
            <w:r>
              <w:rPr>
                <w:rFonts w:ascii="Times New Roman" w:eastAsia="Arial" w:hAnsi="Times New Roman" w:cs="Times New Roman"/>
                <w:color w:val="000000"/>
              </w:rPr>
              <w:t xml:space="preserve">-0.003</w:t>
            </w:r>
          </w:p>
        </w:tc>
        <w:tc>
          <w:tcPr>
            <w:tcW w:type="pct" w:w="754"/>
            <w:tcMar>
              <w:top w:w="0" w:type="dxa"/>
              <w:left w:w="0" w:type="dxa"/>
              <w:bottom w:w="0" w:type="dxa"/>
              <w:right w:w="0" w:type="dxa"/>
            </w:tcMar>
            <w:tcBorders>
              <w:top w:val="none" w:color="000000" w:sz="0" w:space="0"/>
              <w:left w:val="none" w:color="000000" w:sz="0" w:space="0"/>
              <w:bottom w:val="none" w:color="000000" w:sz="0" w:space="0"/>
              <w:right w:val="none" w:color="000000" w:sz="0" w:space="0"/>
            </w:tcBorders>
            <w:shd w:fill="FFFFFF" w:color="auto" w:val="clear"/>
            <w:vAlign w:val="top"/>
          </w:tcPr>
          <w:p>
            <w:pPr>
              <w:pBdr>
                <w:top w:val="none" w:color="000000" w:sz="0" w:space="0"/>
                <w:left w:val="none" w:color="000000" w:sz="0" w:space="0"/>
                <w:bottom w:val="none" w:color="000000" w:sz="0" w:space="0"/>
                <w:right w:val="none" w:color="000000" w:sz="0" w:space="0"/>
              </w:pBdr>
              <w:pStyle w:val="Normal"/>
              <w:spacing w:before="120" w:after="120"/>
              <w:ind w:left="120" w:right="120"/>
              <w:rPr>
                <w:rFonts w:ascii="Times New Roman" w:eastAsia="Arial" w:hAnsi="Times New Roman" w:cs="Times New Roman"/>
                <w:color w:val="000000"/>
              </w:rPr>
            </w:pPr>
            <w:r>
              <w:rPr>
                <w:rFonts w:ascii="Times New Roman" w:eastAsia="Arial" w:hAnsi="Times New Roman" w:cs="Times New Roman"/>
                <w:color w:val="000000"/>
              </w:rPr>
              <w:t xml:space="preserve">0.050</w:t>
            </w:r>
          </w:p>
        </w:tc>
        <w:tc>
          <w:tcPr>
            <w:tcW w:type="pct" w:w="847"/>
            <w:tcMar>
              <w:top w:w="0" w:type="dxa"/>
              <w:left w:w="0" w:type="dxa"/>
              <w:bottom w:w="0" w:type="dxa"/>
              <w:right w:w="0" w:type="dxa"/>
            </w:tcMar>
            <w:tcBorders>
              <w:top w:val="none" w:color="000000" w:sz="0" w:space="0"/>
              <w:left w:val="none" w:color="000000" w:sz="0" w:space="0"/>
              <w:bottom w:val="none" w:color="000000" w:sz="0" w:space="0"/>
              <w:right w:val="none" w:color="000000" w:sz="0" w:space="0"/>
            </w:tcBorders>
            <w:shd w:fill="FFFFFF" w:color="auto" w:val="clear"/>
            <w:vAlign w:val="top"/>
          </w:tcPr>
          <w:p>
            <w:pPr>
              <w:pBdr>
                <w:top w:val="none" w:color="000000" w:sz="0" w:space="0"/>
                <w:left w:val="none" w:color="000000" w:sz="0" w:space="0"/>
                <w:bottom w:val="none" w:color="000000" w:sz="0" w:space="0"/>
                <w:right w:val="none" w:color="000000" w:sz="0" w:space="0"/>
              </w:pBdr>
              <w:pStyle w:val="Normal"/>
              <w:spacing w:before="120" w:after="120"/>
              <w:ind w:left="120" w:right="120"/>
              <w:rPr>
                <w:rFonts w:ascii="Times New Roman" w:eastAsia="Arial" w:hAnsi="Times New Roman" w:cs="Times New Roman"/>
                <w:color w:val="000000"/>
              </w:rPr>
            </w:pPr>
            <w:r>
              <w:rPr>
                <w:rFonts w:ascii="Times New Roman" w:eastAsia="Arial" w:hAnsi="Times New Roman" w:cs="Times New Roman"/>
                <w:color w:val="000000"/>
              </w:rPr>
              <w:t xml:space="preserve">0.955</w:t>
            </w:r>
          </w:p>
        </w:tc>
      </w:tr>
      <w:tr>
        <w:tblPrEx>
          <w:tblBorders>
            <w:top w:val="none" w:sz="0" w:space="0"/>
            <w:left w:val="none" w:sz="0" w:space="0"/>
            <w:bottom w:val="none" w:sz="0" w:space="0"/>
            <w:right w:val="none" w:sz="0" w:space="0"/>
            <w:insideH w:val="none" w:sz="0" w:space="0"/>
            <w:insideV w:val="none" w:sz="0" w:space="0"/>
          </w:tblBorders>
        </w:tblPrEx>
        <w:trPr>
          <w:trHeight w:hRule="atLeast" w:val="20"/>
        </w:trPr>
        <w:tc>
          <w:tcPr>
            <w:tcW w:type="pct" w:w="1965"/>
            <w:tcMar>
              <w:top w:w="0" w:type="dxa"/>
              <w:left w:w="0" w:type="dxa"/>
              <w:bottom w:w="0" w:type="dxa"/>
              <w:right w:w="0" w:type="dxa"/>
            </w:tcMar>
            <w:tcBorders>
              <w:top w:val="none" w:color="000000" w:sz="0" w:space="0"/>
              <w:left w:val="none" w:color="000000" w:sz="0" w:space="0"/>
              <w:bottom w:val="none" w:color="000000" w:sz="0" w:space="0"/>
              <w:right w:val="none" w:color="000000" w:sz="0" w:space="0"/>
            </w:tcBorders>
            <w:shd w:fill="FFFFFF" w:color="auto" w:val="clear"/>
            <w:vAlign w:val="top"/>
          </w:tcPr>
          <w:p>
            <w:pPr>
              <w:pBdr>
                <w:top w:val="none" w:color="000000" w:sz="0" w:space="0"/>
                <w:left w:val="none" w:color="000000" w:sz="0" w:space="0"/>
                <w:bottom w:val="none" w:color="000000" w:sz="0" w:space="0"/>
                <w:right w:val="none" w:color="000000" w:sz="0" w:space="0"/>
              </w:pBdr>
              <w:pStyle w:val="Normal"/>
              <w:spacing w:before="120" w:after="120"/>
              <w:ind w:left="120" w:right="120"/>
              <w:rPr>
                <w:rFonts w:ascii="Times New Roman" w:eastAsia="Arial" w:hAnsi="Times New Roman" w:cs="Times New Roman"/>
                <w:color w:val="000000"/>
              </w:rPr>
            </w:pPr>
            <w:r>
              <w:rPr>
                <w:rFonts w:ascii="Times New Roman" w:eastAsia="Arial" w:hAnsi="Times New Roman" w:cs="Times New Roman"/>
                <w:color w:val="000000"/>
              </w:rPr>
              <w:t xml:space="preserve">White</w:t>
            </w:r>
          </w:p>
        </w:tc>
        <w:tc>
          <w:tcPr>
            <w:tcW w:type="pct" w:w="435"/>
            <w:tcMar>
              <w:top w:w="0" w:type="dxa"/>
              <w:left w:w="0" w:type="dxa"/>
              <w:bottom w:w="0" w:type="dxa"/>
              <w:right w:w="0" w:type="dxa"/>
            </w:tcMar>
            <w:tcBorders>
              <w:top w:val="none" w:color="000000" w:sz="0" w:space="0"/>
              <w:left w:val="none" w:color="000000" w:sz="0" w:space="0"/>
              <w:bottom w:val="none" w:color="000000" w:sz="0" w:space="0"/>
              <w:right w:val="none" w:color="000000" w:sz="0" w:space="0"/>
            </w:tcBorders>
            <w:shd w:fill="FFFFFF" w:color="auto" w:val="clear"/>
            <w:vAlign w:val="top"/>
          </w:tcPr>
          <w:p>
            <w:pPr>
              <w:pBdr>
                <w:top w:val="none" w:color="000000" w:sz="0" w:space="0"/>
                <w:left w:val="none" w:color="000000" w:sz="0" w:space="0"/>
                <w:bottom w:val="none" w:color="000000" w:sz="0" w:space="0"/>
                <w:right w:val="none" w:color="000000" w:sz="0" w:space="0"/>
              </w:pBdr>
              <w:pStyle w:val="Normal"/>
              <w:spacing w:before="120" w:after="120"/>
              <w:ind w:left="120" w:right="120"/>
              <w:rPr>
                <w:rFonts w:ascii="Times New Roman" w:eastAsia="Arial" w:hAnsi="Times New Roman" w:cs="Times New Roman"/>
                <w:color w:val="000000"/>
              </w:rPr>
            </w:pPr>
          </w:p>
        </w:tc>
        <w:tc>
          <w:tcPr>
            <w:tcW w:type="pct" w:w="999"/>
            <w:tcMar>
              <w:top w:w="0" w:type="dxa"/>
              <w:left w:w="0" w:type="dxa"/>
              <w:bottom w:w="0" w:type="dxa"/>
              <w:right w:w="0" w:type="dxa"/>
            </w:tcMar>
            <w:tcBorders>
              <w:top w:val="none" w:color="000000" w:sz="0" w:space="0"/>
              <w:left w:val="none" w:color="000000" w:sz="0" w:space="0"/>
              <w:bottom w:val="none" w:color="000000" w:sz="0" w:space="0"/>
              <w:right w:val="none" w:color="000000" w:sz="0" w:space="0"/>
            </w:tcBorders>
            <w:shd w:fill="FFFFFF" w:color="auto" w:val="clear"/>
            <w:vAlign w:val="top"/>
          </w:tcPr>
          <w:p>
            <w:pPr>
              <w:pBdr>
                <w:top w:val="none" w:color="000000" w:sz="0" w:space="0"/>
                <w:left w:val="none" w:color="000000" w:sz="0" w:space="0"/>
                <w:bottom w:val="none" w:color="000000" w:sz="0" w:space="0"/>
                <w:right w:val="none" w:color="000000" w:sz="0" w:space="0"/>
              </w:pBdr>
              <w:pStyle w:val="Normal"/>
              <w:spacing w:before="120" w:after="120"/>
              <w:ind w:left="120" w:right="120"/>
              <w:rPr>
                <w:rFonts w:ascii="Times New Roman" w:eastAsia="Arial" w:hAnsi="Times New Roman" w:cs="Times New Roman"/>
                <w:color w:val="000000"/>
              </w:rPr>
            </w:pPr>
            <w:r>
              <w:rPr>
                <w:rFonts w:ascii="Times New Roman" w:eastAsia="Arial" w:hAnsi="Times New Roman" w:cs="Times New Roman"/>
                <w:color w:val="000000"/>
              </w:rPr>
              <w:t xml:space="preserve">0.040</w:t>
            </w:r>
          </w:p>
        </w:tc>
        <w:tc>
          <w:tcPr>
            <w:tcW w:type="pct" w:w="754"/>
            <w:tcMar>
              <w:top w:w="0" w:type="dxa"/>
              <w:left w:w="0" w:type="dxa"/>
              <w:bottom w:w="0" w:type="dxa"/>
              <w:right w:w="0" w:type="dxa"/>
            </w:tcMar>
            <w:tcBorders>
              <w:top w:val="none" w:color="000000" w:sz="0" w:space="0"/>
              <w:left w:val="none" w:color="000000" w:sz="0" w:space="0"/>
              <w:bottom w:val="none" w:color="000000" w:sz="0" w:space="0"/>
              <w:right w:val="none" w:color="000000" w:sz="0" w:space="0"/>
            </w:tcBorders>
            <w:shd w:fill="FFFFFF" w:color="auto" w:val="clear"/>
            <w:vAlign w:val="top"/>
          </w:tcPr>
          <w:p>
            <w:pPr>
              <w:pBdr>
                <w:top w:val="none" w:color="000000" w:sz="0" w:space="0"/>
                <w:left w:val="none" w:color="000000" w:sz="0" w:space="0"/>
                <w:bottom w:val="none" w:color="000000" w:sz="0" w:space="0"/>
                <w:right w:val="none" w:color="000000" w:sz="0" w:space="0"/>
              </w:pBdr>
              <w:pStyle w:val="Normal"/>
              <w:spacing w:before="120" w:after="120"/>
              <w:ind w:left="120" w:right="120"/>
              <w:rPr>
                <w:rFonts w:ascii="Times New Roman" w:eastAsia="Arial" w:hAnsi="Times New Roman" w:cs="Times New Roman"/>
                <w:color w:val="000000"/>
              </w:rPr>
            </w:pPr>
            <w:r>
              <w:rPr>
                <w:rFonts w:ascii="Times New Roman" w:eastAsia="Arial" w:hAnsi="Times New Roman" w:cs="Times New Roman"/>
                <w:color w:val="000000"/>
              </w:rPr>
              <w:t xml:space="preserve">0.058</w:t>
            </w:r>
          </w:p>
        </w:tc>
        <w:tc>
          <w:tcPr>
            <w:tcW w:type="pct" w:w="847"/>
            <w:tcMar>
              <w:top w:w="0" w:type="dxa"/>
              <w:left w:w="0" w:type="dxa"/>
              <w:bottom w:w="0" w:type="dxa"/>
              <w:right w:w="0" w:type="dxa"/>
            </w:tcMar>
            <w:tcBorders>
              <w:top w:val="none" w:color="000000" w:sz="0" w:space="0"/>
              <w:left w:val="none" w:color="000000" w:sz="0" w:space="0"/>
              <w:bottom w:val="none" w:color="000000" w:sz="0" w:space="0"/>
              <w:right w:val="none" w:color="000000" w:sz="0" w:space="0"/>
            </w:tcBorders>
            <w:shd w:fill="FFFFFF" w:color="auto" w:val="clear"/>
            <w:vAlign w:val="top"/>
          </w:tcPr>
          <w:p>
            <w:pPr>
              <w:pBdr>
                <w:top w:val="none" w:color="000000" w:sz="0" w:space="0"/>
                <w:left w:val="none" w:color="000000" w:sz="0" w:space="0"/>
                <w:bottom w:val="none" w:color="000000" w:sz="0" w:space="0"/>
                <w:right w:val="none" w:color="000000" w:sz="0" w:space="0"/>
              </w:pBdr>
              <w:pStyle w:val="Normal"/>
              <w:spacing w:before="120" w:after="120"/>
              <w:ind w:left="120" w:right="120"/>
              <w:rPr>
                <w:rFonts w:ascii="Times New Roman" w:eastAsia="Arial" w:hAnsi="Times New Roman" w:cs="Times New Roman"/>
                <w:color w:val="000000"/>
              </w:rPr>
            </w:pPr>
            <w:r>
              <w:rPr>
                <w:rFonts w:ascii="Times New Roman" w:eastAsia="Arial" w:hAnsi="Times New Roman" w:cs="Times New Roman"/>
                <w:color w:val="000000"/>
              </w:rPr>
              <w:t xml:space="preserve">0.493</w:t>
            </w:r>
          </w:p>
        </w:tc>
      </w:tr>
      <w:tr>
        <w:tblPrEx>
          <w:tblBorders>
            <w:top w:val="none" w:sz="0" w:space="0"/>
            <w:left w:val="none" w:sz="0" w:space="0"/>
            <w:bottom w:val="none" w:sz="0" w:space="0"/>
            <w:right w:val="none" w:sz="0" w:space="0"/>
            <w:insideH w:val="none" w:sz="0" w:space="0"/>
            <w:insideV w:val="none" w:sz="0" w:space="0"/>
          </w:tblBorders>
        </w:tblPrEx>
        <w:trPr>
          <w:trHeight w:hRule="atLeast" w:val="20"/>
        </w:trPr>
        <w:tc>
          <w:tcPr>
            <w:tcW w:type="pct" w:w="1965"/>
            <w:tcMar>
              <w:top w:w="0" w:type="dxa"/>
              <w:left w:w="0" w:type="dxa"/>
              <w:bottom w:w="0" w:type="dxa"/>
              <w:right w:w="0" w:type="dxa"/>
            </w:tcMar>
            <w:tcBorders>
              <w:top w:val="none" w:color="000000" w:sz="0" w:space="0"/>
              <w:left w:val="none" w:color="000000" w:sz="0" w:space="0"/>
              <w:bottom w:val="single" w:color="000000" w:sz="6" w:space="0"/>
              <w:right w:val="none" w:color="000000" w:sz="0" w:space="0"/>
            </w:tcBorders>
            <w:shd w:fill="FFFFFF" w:color="auto" w:val="clear"/>
            <w:vAlign w:val="top"/>
          </w:tcPr>
          <w:p>
            <w:pPr>
              <w:pBdr>
                <w:top w:val="none" w:color="000000" w:sz="0" w:space="0"/>
                <w:left w:val="none" w:color="000000" w:sz="0" w:space="0"/>
                <w:bottom w:val="none" w:color="000000" w:sz="0" w:space="0"/>
                <w:right w:val="none" w:color="000000" w:sz="0" w:space="0"/>
              </w:pBdr>
              <w:pStyle w:val="Normal"/>
              <w:spacing w:before="120" w:after="120"/>
              <w:ind w:left="120" w:right="120"/>
              <w:rPr>
                <w:rFonts w:ascii="Times New Roman" w:eastAsia="Arial" w:hAnsi="Times New Roman" w:cs="Times New Roman"/>
                <w:color w:val="000000"/>
              </w:rPr>
            </w:pPr>
            <w:r>
              <w:rPr>
                <w:rFonts w:ascii="Times New Roman" w:eastAsia="Arial" w:hAnsi="Times New Roman" w:cs="Times New Roman"/>
                <w:color w:val="000000"/>
              </w:rPr>
              <w:t xml:space="preserve">Constant</w:t>
            </w:r>
          </w:p>
        </w:tc>
        <w:tc>
          <w:tcPr>
            <w:tcW w:type="pct" w:w="435"/>
            <w:tcMar>
              <w:top w:w="0" w:type="dxa"/>
              <w:left w:w="0" w:type="dxa"/>
              <w:bottom w:w="0" w:type="dxa"/>
              <w:right w:w="0" w:type="dxa"/>
            </w:tcMar>
            <w:tcBorders>
              <w:top w:val="none" w:color="000000" w:sz="0" w:space="0"/>
              <w:left w:val="none" w:color="000000" w:sz="0" w:space="0"/>
              <w:bottom w:val="single" w:color="000000" w:sz="6" w:space="0"/>
              <w:right w:val="none" w:color="000000" w:sz="0" w:space="0"/>
            </w:tcBorders>
            <w:shd w:fill="FFFFFF" w:color="auto" w:val="clear"/>
            <w:vAlign w:val="top"/>
          </w:tcPr>
          <w:p>
            <w:pPr>
              <w:pBdr>
                <w:top w:val="none" w:color="000000" w:sz="0" w:space="0"/>
                <w:left w:val="none" w:color="000000" w:sz="0" w:space="0"/>
                <w:bottom w:val="none" w:color="000000" w:sz="0" w:space="0"/>
                <w:right w:val="none" w:color="000000" w:sz="0" w:space="0"/>
              </w:pBdr>
              <w:pStyle w:val="Normal"/>
              <w:spacing w:before="120" w:after="120"/>
              <w:ind w:left="120" w:right="120"/>
              <w:rPr>
                <w:rFonts w:ascii="Times New Roman" w:eastAsia="Arial" w:hAnsi="Times New Roman" w:cs="Times New Roman"/>
                <w:color w:val="000000"/>
              </w:rPr>
            </w:pPr>
          </w:p>
        </w:tc>
        <w:tc>
          <w:tcPr>
            <w:tcW w:type="pct" w:w="999"/>
            <w:tcMar>
              <w:top w:w="0" w:type="dxa"/>
              <w:left w:w="0" w:type="dxa"/>
              <w:bottom w:w="0" w:type="dxa"/>
              <w:right w:w="0" w:type="dxa"/>
            </w:tcMar>
            <w:tcBorders>
              <w:top w:val="none" w:color="000000" w:sz="0" w:space="0"/>
              <w:left w:val="none" w:color="000000" w:sz="0" w:space="0"/>
              <w:bottom w:val="single" w:color="000000" w:sz="6" w:space="0"/>
              <w:right w:val="none" w:color="000000" w:sz="0" w:space="0"/>
            </w:tcBorders>
            <w:shd w:fill="FFFFFF" w:color="auto" w:val="clear"/>
            <w:vAlign w:val="top"/>
          </w:tcPr>
          <w:p>
            <w:pPr>
              <w:pBdr>
                <w:top w:val="none" w:color="000000" w:sz="0" w:space="0"/>
                <w:left w:val="none" w:color="000000" w:sz="0" w:space="0"/>
                <w:bottom w:val="none" w:color="000000" w:sz="0" w:space="0"/>
                <w:right w:val="none" w:color="000000" w:sz="0" w:space="0"/>
              </w:pBdr>
              <w:pStyle w:val="Normal"/>
              <w:spacing w:before="120" w:after="120"/>
              <w:ind w:left="120" w:right="120"/>
              <w:rPr>
                <w:rFonts w:ascii="Times New Roman" w:eastAsia="Arial" w:hAnsi="Times New Roman" w:cs="Times New Roman"/>
                <w:color w:val="000000"/>
              </w:rPr>
            </w:pPr>
            <w:r>
              <w:rPr>
                <w:rFonts w:ascii="Times New Roman" w:eastAsia="Arial" w:hAnsi="Times New Roman" w:cs="Times New Roman"/>
                <w:color w:val="000000"/>
              </w:rPr>
              <w:t xml:space="preserve">1.384***</w:t>
            </w:r>
          </w:p>
        </w:tc>
        <w:tc>
          <w:tcPr>
            <w:tcW w:type="pct" w:w="754"/>
            <w:tcMar>
              <w:top w:w="0" w:type="dxa"/>
              <w:left w:w="0" w:type="dxa"/>
              <w:bottom w:w="0" w:type="dxa"/>
              <w:right w:w="0" w:type="dxa"/>
            </w:tcMar>
            <w:tcBorders>
              <w:top w:val="none" w:color="000000" w:sz="0" w:space="0"/>
              <w:left w:val="none" w:color="000000" w:sz="0" w:space="0"/>
              <w:bottom w:val="single" w:color="000000" w:sz="6" w:space="0"/>
              <w:right w:val="none" w:color="000000" w:sz="0" w:space="0"/>
            </w:tcBorders>
            <w:shd w:fill="FFFFFF" w:color="auto" w:val="clear"/>
            <w:vAlign w:val="top"/>
          </w:tcPr>
          <w:p>
            <w:pPr>
              <w:pBdr>
                <w:top w:val="none" w:color="000000" w:sz="0" w:space="0"/>
                <w:left w:val="none" w:color="000000" w:sz="0" w:space="0"/>
                <w:bottom w:val="none" w:color="000000" w:sz="0" w:space="0"/>
                <w:right w:val="none" w:color="000000" w:sz="0" w:space="0"/>
              </w:pBdr>
              <w:pStyle w:val="Normal"/>
              <w:spacing w:before="120" w:after="120"/>
              <w:ind w:left="120" w:right="120"/>
              <w:rPr>
                <w:rFonts w:ascii="Times New Roman" w:eastAsia="Arial" w:hAnsi="Times New Roman" w:cs="Times New Roman"/>
                <w:color w:val="000000"/>
              </w:rPr>
            </w:pPr>
            <w:r>
              <w:rPr>
                <w:rFonts w:ascii="Times New Roman" w:eastAsia="Arial" w:hAnsi="Times New Roman" w:cs="Times New Roman"/>
                <w:color w:val="000000"/>
              </w:rPr>
              <w:t xml:space="preserve">0.154</w:t>
            </w:r>
          </w:p>
        </w:tc>
        <w:tc>
          <w:tcPr>
            <w:tcW w:type="pct" w:w="847"/>
            <w:tcMar>
              <w:top w:w="0" w:type="dxa"/>
              <w:left w:w="0" w:type="dxa"/>
              <w:bottom w:w="0" w:type="dxa"/>
              <w:right w:w="0" w:type="dxa"/>
            </w:tcMar>
            <w:tcBorders>
              <w:top w:val="none" w:color="000000" w:sz="0" w:space="0"/>
              <w:left w:val="none" w:color="000000" w:sz="0" w:space="0"/>
              <w:bottom w:val="single" w:color="000000" w:sz="6" w:space="0"/>
              <w:right w:val="none" w:color="000000" w:sz="0" w:space="0"/>
            </w:tcBorders>
            <w:shd w:fill="FFFFFF" w:color="auto" w:val="clear"/>
            <w:vAlign w:val="top"/>
          </w:tcPr>
          <w:p>
            <w:pPr>
              <w:pBdr>
                <w:top w:val="none" w:color="000000" w:sz="0" w:space="0"/>
                <w:left w:val="none" w:color="000000" w:sz="0" w:space="0"/>
                <w:bottom w:val="none" w:color="000000" w:sz="0" w:space="0"/>
                <w:right w:val="none" w:color="000000" w:sz="0" w:space="0"/>
              </w:pBdr>
              <w:pStyle w:val="Normal"/>
              <w:spacing w:before="120" w:after="120"/>
              <w:ind w:left="120" w:right="120"/>
              <w:rPr>
                <w:rFonts w:ascii="Times New Roman" w:eastAsia="Arial" w:hAnsi="Times New Roman" w:cs="Times New Roman"/>
                <w:color w:val="000000"/>
              </w:rPr>
            </w:pPr>
            <w:r>
              <w:rPr>
                <w:rFonts w:ascii="Times New Roman" w:eastAsia="Arial" w:hAnsi="Times New Roman" w:cs="Times New Roman"/>
                <w:color w:val="000000"/>
              </w:rPr>
              <w:t xml:space="preserve">&lt;0.001</w:t>
            </w:r>
          </w:p>
        </w:tc>
      </w:tr>
      <w:tr>
        <w:tblPrEx>
          <w:tblBorders>
            <w:top w:val="none" w:sz="0" w:space="0"/>
            <w:left w:val="none" w:sz="0" w:space="0"/>
            <w:bottom w:val="none" w:sz="0" w:space="0"/>
            <w:right w:val="none" w:sz="0" w:space="0"/>
            <w:insideH w:val="none" w:sz="0" w:space="0"/>
            <w:insideV w:val="none" w:sz="0" w:space="0"/>
          </w:tblBorders>
        </w:tblPrEx>
        <w:trPr>
          <w:trHeight w:hRule="atLeast" w:val="20"/>
        </w:trPr>
        <w:tc>
          <w:tcPr>
            <w:tcW w:type="pct" w:w="1965"/>
            <w:tcMar>
              <w:top w:w="0" w:type="dxa"/>
              <w:left w:w="0" w:type="dxa"/>
              <w:bottom w:w="0" w:type="dxa"/>
              <w:right w:w="0" w:type="dxa"/>
            </w:tcMar>
            <w:tcBorders>
              <w:top w:val="none" w:color="000000" w:sz="0" w:space="0"/>
              <w:left w:val="none" w:color="000000" w:sz="0" w:space="0"/>
              <w:right w:val="none" w:color="000000" w:sz="0" w:space="0"/>
            </w:tcBorders>
            <w:shd w:fill="FFFFFF" w:color="auto" w:val="clear"/>
            <w:vAlign w:val="top"/>
          </w:tcPr>
          <w:p>
            <w:pPr>
              <w:pBdr>
                <w:top w:val="none" w:color="000000" w:sz="0" w:space="0"/>
                <w:left w:val="none" w:color="000000" w:sz="0" w:space="0"/>
                <w:bottom w:val="none" w:color="000000" w:sz="0" w:space="0"/>
                <w:right w:val="none" w:color="000000" w:sz="0" w:space="0"/>
              </w:pBdr>
              <w:pStyle w:val="Normal"/>
              <w:spacing w:before="120" w:after="120"/>
              <w:ind w:left="120" w:right="120"/>
              <w:rPr>
                <w:rFonts w:ascii="Times New Roman" w:eastAsia="Arial" w:hAnsi="Times New Roman" w:cs="Times New Roman"/>
                <w:color w:val="000000"/>
              </w:rPr>
            </w:pPr>
            <w:r>
              <w:rPr>
                <w:rFonts w:ascii="Times New Roman" w:eastAsia="Arial" w:hAnsi="Times New Roman" w:cs="Times New Roman"/>
                <w:color w:val="000000"/>
              </w:rPr>
              <w:t xml:space="preserve">N</w:t>
            </w:r>
          </w:p>
        </w:tc>
        <w:tc>
          <w:tcPr>
            <w:tcW w:type="pct" w:w="435"/>
            <w:tcMar>
              <w:top w:w="0" w:type="dxa"/>
              <w:left w:w="0" w:type="dxa"/>
              <w:bottom w:w="0" w:type="dxa"/>
              <w:right w:w="0" w:type="dxa"/>
            </w:tcMar>
            <w:tcBorders>
              <w:top w:val="none" w:color="000000" w:sz="0" w:space="0"/>
              <w:left w:val="none" w:color="000000" w:sz="0" w:space="0"/>
              <w:right w:val="none" w:color="000000" w:sz="0" w:space="0"/>
            </w:tcBorders>
            <w:shd w:fill="FFFFFF" w:color="auto" w:val="clear"/>
            <w:vAlign w:val="top"/>
          </w:tcPr>
          <w:p>
            <w:pPr>
              <w:pBdr>
                <w:top w:val="none" w:color="000000" w:sz="0" w:space="0"/>
                <w:left w:val="none" w:color="000000" w:sz="0" w:space="0"/>
                <w:bottom w:val="none" w:color="000000" w:sz="0" w:space="0"/>
                <w:right w:val="none" w:color="000000" w:sz="0" w:space="0"/>
              </w:pBdr>
              <w:pStyle w:val="Normal"/>
              <w:spacing w:before="120" w:after="120"/>
              <w:ind w:left="120" w:right="120"/>
              <w:rPr>
                <w:rFonts w:ascii="Times New Roman" w:eastAsia="Arial" w:hAnsi="Times New Roman" w:cs="Times New Roman"/>
                <w:color w:val="000000"/>
              </w:rPr>
            </w:pPr>
          </w:p>
        </w:tc>
        <w:tc>
          <w:tcPr>
            <w:tcW w:type="pct" w:w="2600"/>
            <w:tcMar>
              <w:top w:w="0" w:type="dxa"/>
              <w:left w:w="0" w:type="dxa"/>
              <w:bottom w:w="0" w:type="dxa"/>
              <w:right w:w="0" w:type="dxa"/>
            </w:tcMar>
            <w:tcBorders>
              <w:top w:val="none" w:color="000000" w:sz="0" w:space="0"/>
              <w:left w:val="none" w:color="000000" w:sz="0" w:space="0"/>
              <w:right w:val="none" w:color="000000" w:sz="0" w:space="0"/>
            </w:tcBorders>
            <w:shd w:fill="FFFFFF" w:color="auto" w:val="clear"/>
            <w:vAlign w:val="top"/>
            <w:gridSpan w:val="3"/>
          </w:tcPr>
          <w:p>
            <w:pPr>
              <w:pBdr>
                <w:top w:val="none" w:color="000000" w:sz="0" w:space="0"/>
                <w:left w:val="none" w:color="000000" w:sz="0" w:space="0"/>
                <w:bottom w:val="none" w:color="000000" w:sz="0" w:space="0"/>
                <w:right w:val="none" w:color="000000" w:sz="0" w:space="0"/>
              </w:pBdr>
              <w:pStyle w:val="Normal"/>
              <w:spacing w:before="120" w:after="120"/>
              <w:ind w:left="120" w:right="120"/>
              <w:jc w:val="center"/>
              <w:rPr>
                <w:rFonts w:ascii="Times New Roman" w:eastAsia="Arial" w:hAnsi="Times New Roman" w:cs="Times New Roman"/>
                <w:color w:val="000000"/>
              </w:rPr>
            </w:pPr>
            <w:r>
              <w:rPr>
                <w:rFonts w:ascii="Times New Roman" w:eastAsia="Arial" w:hAnsi="Times New Roman" w:cs="Times New Roman"/>
                <w:color w:val="000000"/>
              </w:rPr>
              <w:t xml:space="preserve">1163</w:t>
            </w:r>
          </w:p>
        </w:tc>
      </w:tr>
      <w:tr>
        <w:tblPrEx>
          <w:tblBorders>
            <w:top w:val="none" w:sz="0" w:space="0"/>
            <w:left w:val="none" w:sz="0" w:space="0"/>
            <w:bottom w:val="none" w:sz="0" w:space="0"/>
            <w:right w:val="none" w:sz="0" w:space="0"/>
            <w:insideH w:val="none" w:sz="0" w:space="0"/>
            <w:insideV w:val="none" w:sz="0" w:space="0"/>
          </w:tblBorders>
        </w:tblPrEx>
        <w:trPr>
          <w:trHeight w:hRule="atLeast" w:val="20"/>
        </w:trPr>
        <w:tc>
          <w:tcPr>
            <w:tcW w:type="pct" w:w="1965"/>
            <w:tcMar>
              <w:top w:w="0" w:type="dxa"/>
              <w:left w:w="0" w:type="dxa"/>
              <w:bottom w:w="0" w:type="dxa"/>
              <w:right w:w="0" w:type="dxa"/>
            </w:tcMar>
            <w:tcBorders>
              <w:bottom w:val="single" w:color="000000" w:sz="6" w:space="0"/>
            </w:tcBorders>
            <w:shd w:fill="FFFFFF" w:color="auto" w:val="clear"/>
            <w:vAlign w:val="top"/>
          </w:tcPr>
          <w:p>
            <w:pPr>
              <w:pBdr>
                <w:top w:val="none" w:color="000000" w:sz="0" w:space="0"/>
                <w:left w:val="none" w:color="000000" w:sz="0" w:space="0"/>
                <w:bottom w:val="none" w:color="000000" w:sz="0" w:space="0"/>
                <w:right w:val="none" w:color="000000" w:sz="0" w:space="0"/>
              </w:pBdr>
              <w:pStyle w:val="Normal"/>
              <w:spacing w:before="120" w:after="120"/>
              <w:ind w:left="120" w:right="120"/>
              <w:rPr>
                <w:rFonts w:ascii="Times New Roman" w:eastAsia="Arial" w:hAnsi="Times New Roman" w:cs="Times New Roman"/>
                <w:color w:val="000000"/>
              </w:rPr>
            </w:pPr>
            <w:r>
              <w:rPr>
                <w:rFonts w:ascii="Times New Roman" w:eastAsia="Arial" w:hAnsi="Times New Roman" w:cs="Times New Roman"/>
                <w:color w:val="000000"/>
                <w:sz w:val="24"/>
                <w:szCs w:val="24"/>
              </w:rPr>
              <w:t xml:space="preserve">R2 Adj.</w:t>
            </w:r>
          </w:p>
        </w:tc>
        <w:tc>
          <w:tcPr>
            <w:tcW w:type="pct" w:w="435"/>
            <w:tcMar>
              <w:top w:w="0" w:type="dxa"/>
              <w:left w:w="0" w:type="dxa"/>
              <w:bottom w:w="0" w:type="dxa"/>
              <w:right w:w="0" w:type="dxa"/>
            </w:tcMar>
            <w:tcBorders>
              <w:bottom w:val="single" w:color="000000" w:sz="6" w:space="0"/>
            </w:tcBorders>
            <w:shd w:fill="FFFFFF" w:color="auto" w:val="clear"/>
            <w:vAlign w:val="top"/>
          </w:tcPr>
          <w:p>
            <w:pPr>
              <w:pBdr>
                <w:top w:val="none" w:color="000000" w:sz="0" w:space="0"/>
                <w:left w:val="none" w:color="000000" w:sz="0" w:space="0"/>
                <w:bottom w:val="none" w:color="000000" w:sz="0" w:space="0"/>
                <w:right w:val="none" w:color="000000" w:sz="0" w:space="0"/>
              </w:pBdr>
              <w:pStyle w:val="Normal"/>
              <w:spacing w:before="120" w:after="120"/>
              <w:ind w:left="120" w:right="120"/>
              <w:rPr>
                <w:rFonts w:ascii="Times New Roman" w:eastAsia="Arial" w:hAnsi="Times New Roman" w:cs="Times New Roman"/>
                <w:color w:val="000000"/>
              </w:rPr>
            </w:pPr>
          </w:p>
        </w:tc>
        <w:tc>
          <w:tcPr>
            <w:tcW w:type="pct" w:w="2600"/>
            <w:tcMar>
              <w:top w:w="0" w:type="dxa"/>
              <w:left w:w="0" w:type="dxa"/>
              <w:bottom w:w="0" w:type="dxa"/>
              <w:right w:w="0" w:type="dxa"/>
            </w:tcMar>
            <w:tcBorders>
              <w:bottom w:val="single" w:color="000000" w:sz="6" w:space="0"/>
            </w:tcBorders>
            <w:shd w:fill="FFFFFF" w:color="auto" w:val="clear"/>
            <w:vAlign w:val="top"/>
            <w:gridSpan w:val="3"/>
          </w:tcPr>
          <w:p>
            <w:pPr>
              <w:pBdr>
                <w:top w:val="none" w:color="000000" w:sz="0" w:space="0"/>
                <w:left w:val="none" w:color="000000" w:sz="0" w:space="0"/>
                <w:bottom w:val="none" w:color="000000" w:sz="0" w:space="0"/>
                <w:right w:val="none" w:color="000000" w:sz="0" w:space="0"/>
              </w:pBdr>
              <w:pStyle w:val="Normal"/>
              <w:spacing w:before="120" w:after="120"/>
              <w:ind w:left="120" w:right="120"/>
              <w:jc w:val="center"/>
              <w:rPr>
                <w:rFonts w:ascii="Times New Roman" w:eastAsia="Arial" w:hAnsi="Times New Roman" w:cs="Times New Roman"/>
                <w:color w:val="000000"/>
              </w:rPr>
            </w:pPr>
            <w:r>
              <w:rPr>
                <w:rFonts w:ascii="Times New Roman" w:eastAsia="Arial" w:hAnsi="Times New Roman" w:cs="Times New Roman"/>
                <w:color w:val="000000"/>
              </w:rPr>
              <w:t xml:space="preserve">0.212</w:t>
            </w:r>
          </w:p>
        </w:tc>
      </w:tr>
      <w:tr>
        <w:tblPrEx>
          <w:tblBorders>
            <w:top w:val="none" w:sz="0" w:space="0"/>
            <w:left w:val="none" w:sz="0" w:space="0"/>
            <w:bottom w:val="none" w:sz="0" w:space="0"/>
            <w:right w:val="none" w:sz="0" w:space="0"/>
            <w:insideH w:val="none" w:sz="0" w:space="0"/>
            <w:insideV w:val="none" w:sz="0" w:space="0"/>
          </w:tblBorders>
        </w:tblPrEx>
        <w:trPr>
          <w:trHeight w:hRule="atLeast" w:val="20"/>
        </w:trPr>
        <w:tc>
          <w:tcPr>
            <w:tcW w:type="pct" w:w="5000"/>
            <w:tcMar>
              <w:top w:w="0" w:type="dxa"/>
              <w:left w:w="0" w:type="dxa"/>
              <w:bottom w:w="0" w:type="dxa"/>
              <w:right w:w="0" w:type="dxa"/>
            </w:tcMar>
            <w:tcBorders>
              <w:top w:val="single" w:color="000000" w:sz="6" w:space="0"/>
              <w:left w:val="none" w:color="000000" w:sz="0" w:space="0"/>
              <w:bottom w:val="single" w:color="000000" w:sz="8" w:space="0"/>
              <w:right w:val="none" w:color="000000" w:sz="0" w:space="0"/>
            </w:tcBorders>
            <w:shd w:fill="FFFFFF" w:color="auto" w:val="clear"/>
            <w:vAlign w:val="top"/>
            <w:gridSpan w:val="5"/>
          </w:tcPr>
          <w:p>
            <w:pPr>
              <w:pBdr>
                <w:top w:val="none" w:color="000000" w:sz="0" w:space="0"/>
                <w:left w:val="none" w:color="000000" w:sz="0" w:space="0"/>
                <w:bottom w:val="none" w:color="000000" w:sz="0" w:space="0"/>
                <w:right w:val="none" w:color="000000" w:sz="0" w:space="0"/>
              </w:pBdr>
              <w:pStyle w:val="Normal"/>
              <w:spacing w:before="120" w:after="120"/>
              <w:ind w:left="120" w:right="120"/>
              <w:rPr>
                <w:rFonts w:ascii="Times New Roman" w:eastAsia="Arial" w:hAnsi="Times New Roman" w:cs="Times New Roman"/>
                <w:color w:val="000000"/>
              </w:rPr>
            </w:pPr>
            <w:r>
              <w:rPr>
                <w:rFonts w:ascii="Times New Roman" w:eastAsia="Arial" w:hAnsi="Times New Roman" w:cs="Times New Roman"/>
                <w:color w:val="000000"/>
              </w:rPr>
              <w:t xml:space="preserve">+ p &lt; 0.1, * p &lt; 0.05, ** p &lt; 0.01, *** p &lt; 0.001</w:t>
            </w:r>
          </w:p>
        </w:tc>
      </w:tr>
    </w:tbl>
    <w:p>
      <w:pPr>
        <w:pBdr/>
        <w:pStyle w:val="Normal"/>
        <w:spacing/>
        <w:ind/>
        <w:rPr>
          <w:rFonts w:ascii="Times New Roman" w:hAnsi="Times New Roman" w:cs="Times New Roman"/>
        </w:rPr>
      </w:pPr>
    </w:p>
    <w:p>
      <w:pPr>
        <w:pBdr/>
        <w:pStyle w:val="Normal"/>
        <w:spacing w:after="0" w:line="480" w:lineRule="auto"/>
        <w:ind w:firstLine="720"/>
        <w:rPr>
          <w:rFonts w:ascii="Times New Roman" w:hAnsi="Times New Roman" w:cs="Times New Roman"/>
          <w:color w:val="000000"/>
          <w:sz w:val="24"/>
          <w:szCs w:val="24"/>
        </w:rPr>
      </w:pPr>
      <w:r>
        <w:rPr>
          <w:rFonts w:ascii="Times New Roman" w:hAnsi="Times New Roman" w:cs="Times New Roman"/>
          <w:color w:val="000000"/>
          <w:sz w:val="24"/>
          <w:szCs w:val="24"/>
        </w:rPr>
        <w:t xml:space="preserve">For general burdens, with respect to cultural theory, we find support for hypotheses 1a and 1c, as hierarchy and individualism are associated with greater acceptance of burdens. However, we do not find support for hypothesis 1b, as egalitarianism is not associated with attitudes towards general burdens. Fatalism, for which we did not have strong theoretical expectations, is also positively associated with general burden tolerance. As expected, conservative ideology is positively associated with burden tolerance, consistent with hypothesis 5a and previous research. Regarding the control variables, age is negatively associated with burden tolerance, but none of the other measures are statistically significant.</w:t>
      </w:r>
    </w:p>
    <w:p>
      <w:pPr>
        <w:pBdr>
          <w:top w:val="none" w:color="000000" w:sz="0" w:space="0"/>
          <w:left w:val="none" w:color="000000" w:sz="0" w:space="0"/>
          <w:bottom w:val="none" w:color="000000" w:sz="0" w:space="0"/>
          <w:right w:val="none" w:color="000000" w:sz="0" w:space="0"/>
        </w:pBdr>
        <w:pStyle w:val="Table Caption"/>
        <w:keepNext/>
        <w:spacing w:before="60" w:after="60"/>
        <w:ind w:left="60" w:right="60"/>
        <w:rPr>
          <w:rFonts w:ascii="Times New Roman" w:hAnsi="Times New Roman" w:cs="Times New Roman"/>
          <w:i w:val="0"/>
          <w:iCs w:val="0"/>
        </w:rPr>
      </w:pPr>
      <w:r>
        <w:rPr>
          <w:rFonts w:ascii="Times New Roman" w:hAnsi="Times New Roman" w:cs="Times New Roman"/>
          <w:i w:val="0"/>
          <w:iCs w:val="0"/>
        </w:rPr>
        <w:t xml:space="preserve">Table 4: OLS Analysis of Support for Issue-Specific Burdens</w:t>
      </w:r>
    </w:p>
    <w:tbl>
      <w:tblPr>
        <w:tblW w:w="5000" w:type="pct"/>
        <w:jc w:val="center"/>
        <w:tblInd w:w="0" w:type="dxa"/>
        <w:tblCellMar>
          <w:top w:w="0" w:type="dxa"/>
          <w:left w:w="108" w:type="dxa"/>
          <w:bottom w:w="0" w:type="dxa"/>
          <w:right w:w="108" w:type="dxa"/>
        </w:tblCellMar>
        <w:tblBorders>
          <w:top w:val="none" w:sz="0" w:space="0"/>
          <w:left w:val="none" w:sz="0" w:space="0"/>
          <w:bottom w:val="none" w:sz="0" w:space="0"/>
          <w:right w:val="none" w:sz="0" w:space="0"/>
          <w:insideH w:val="none" w:sz="0" w:space="0"/>
          <w:insideV w:val="none" w:sz="0" w:space="0"/>
        </w:tblBorders>
        <w:shd w:fill="auto" w:color="auto"/>
      </w:tblPr>
      <w:tblGrid>
        <w:gridCol w:w="4000"/>
        <w:gridCol w:w="1660"/>
        <w:gridCol w:w="1660"/>
        <w:gridCol w:w="2039"/>
      </w:tblGrid>
      <w:tr>
        <w:tblPrEx>
          <w:tblBorders>
            <w:top w:val="none" w:sz="0" w:space="0"/>
            <w:left w:val="none" w:sz="0" w:space="0"/>
            <w:bottom w:val="none" w:sz="0" w:space="0"/>
            <w:right w:val="none" w:sz="0" w:space="0"/>
            <w:insideH w:val="none" w:sz="0" w:space="0"/>
            <w:insideV w:val="none" w:sz="0" w:space="0"/>
          </w:tblBorders>
        </w:tblPrEx>
        <w:trPr>
          <w:trHeight w:hRule="atLeast" w:val="20"/>
        </w:trPr>
        <w:tc>
          <w:tcPr>
            <w:tcW w:type="pct" w:w="2137"/>
            <w:tcMar>
              <w:top w:w="0" w:type="dxa"/>
              <w:left w:w="0" w:type="dxa"/>
              <w:bottom w:w="0" w:type="dxa"/>
              <w:right w:w="0" w:type="dxa"/>
            </w:tcMar>
            <w:tcBorders>
              <w:top w:val="single" w:color="000000" w:sz="8" w:space="0"/>
              <w:left w:val="none" w:color="000000" w:sz="0" w:space="0"/>
              <w:bottom w:val="single" w:color="000000" w:sz="8" w:space="0"/>
              <w:right w:val="none" w:color="000000" w:sz="0" w:space="0"/>
            </w:tcBorders>
            <w:shd w:fill="FFFFFF" w:color="auto" w:val="clear"/>
            <w:vAlign w:val="top"/>
          </w:tcPr>
          <w:p>
            <w:pPr>
              <w:pBdr>
                <w:top w:val="none" w:color="000000" w:sz="0" w:space="0"/>
                <w:left w:val="none" w:color="000000" w:sz="0" w:space="0"/>
                <w:bottom w:val="none" w:color="000000" w:sz="0" w:space="0"/>
                <w:right w:val="none" w:color="000000" w:sz="0" w:space="0"/>
              </w:pBdr>
              <w:pStyle w:val="Normal"/>
              <w:spacing w:before="120" w:after="120"/>
              <w:ind w:left="120" w:right="120"/>
              <w:rPr>
                <w:rFonts w:ascii="Times New Roman" w:eastAsia="Arial" w:hAnsi="Times New Roman" w:cs="Times New Roman"/>
                <w:color w:val="000000"/>
                <w:sz w:val="24"/>
                <w:szCs w:val="24"/>
              </w:rPr>
            </w:pPr>
            <w:r>
              <w:rPr>
                <w:rFonts w:ascii="Times New Roman" w:eastAsia="Arial" w:hAnsi="Times New Roman" w:cs="Times New Roman"/>
                <w:color w:val="000000"/>
                <w:sz w:val="24"/>
                <w:szCs w:val="24"/>
              </w:rPr>
              <w:t xml:space="preserve"> </w:t>
            </w:r>
          </w:p>
        </w:tc>
        <w:tc>
          <w:tcPr>
            <w:tcW w:type="pct" w:w="887"/>
            <w:tcMar>
              <w:top w:w="0" w:type="dxa"/>
              <w:left w:w="0" w:type="dxa"/>
              <w:bottom w:w="0" w:type="dxa"/>
              <w:right w:w="0" w:type="dxa"/>
            </w:tcMar>
            <w:tcBorders>
              <w:top w:val="single" w:color="000000" w:sz="8" w:space="0"/>
              <w:left w:val="none" w:color="000000" w:sz="0" w:space="0"/>
              <w:bottom w:val="single" w:color="000000" w:sz="8" w:space="0"/>
              <w:right w:val="none" w:color="000000" w:sz="0" w:space="0"/>
            </w:tcBorders>
            <w:shd w:fill="FFFFFF" w:color="auto" w:val="clear"/>
            <w:vAlign w:val="top"/>
          </w:tcPr>
          <w:p>
            <w:pPr>
              <w:pBdr>
                <w:top w:val="none" w:color="000000" w:sz="0" w:space="0"/>
                <w:left w:val="none" w:color="000000" w:sz="0" w:space="0"/>
                <w:bottom w:val="none" w:color="000000" w:sz="0" w:space="0"/>
                <w:right w:val="none" w:color="000000" w:sz="0" w:space="0"/>
              </w:pBdr>
              <w:pStyle w:val="Normal"/>
              <w:spacing w:before="120" w:after="120"/>
              <w:ind w:left="120" w:right="120"/>
              <w:rPr>
                <w:rFonts w:ascii="Times New Roman" w:eastAsia="Arial" w:hAnsi="Times New Roman" w:cs="Times New Roman"/>
                <w:color w:val="000000"/>
                <w:sz w:val="24"/>
                <w:szCs w:val="24"/>
              </w:rPr>
            </w:pPr>
            <w:r>
              <w:rPr>
                <w:rFonts w:ascii="Times New Roman" w:eastAsia="Arial" w:hAnsi="Times New Roman" w:cs="Times New Roman"/>
                <w:color w:val="000000"/>
                <w:sz w:val="24"/>
                <w:szCs w:val="24"/>
              </w:rPr>
              <w:t xml:space="preserve">SNAP</w:t>
            </w:r>
          </w:p>
        </w:tc>
        <w:tc>
          <w:tcPr>
            <w:tcW w:type="pct" w:w="887"/>
            <w:tcMar>
              <w:top w:w="0" w:type="dxa"/>
              <w:left w:w="0" w:type="dxa"/>
              <w:bottom w:w="0" w:type="dxa"/>
              <w:right w:w="0" w:type="dxa"/>
            </w:tcMar>
            <w:tcBorders>
              <w:top w:val="single" w:color="000000" w:sz="8" w:space="0"/>
              <w:left w:val="none" w:color="000000" w:sz="0" w:space="0"/>
              <w:bottom w:val="single" w:color="000000" w:sz="8" w:space="0"/>
              <w:right w:val="none" w:color="000000" w:sz="0" w:space="0"/>
            </w:tcBorders>
            <w:shd w:fill="FFFFFF" w:color="auto" w:val="clear"/>
            <w:vAlign w:val="top"/>
          </w:tcPr>
          <w:p>
            <w:pPr>
              <w:pBdr>
                <w:top w:val="none" w:color="000000" w:sz="0" w:space="0"/>
                <w:left w:val="none" w:color="000000" w:sz="0" w:space="0"/>
                <w:bottom w:val="none" w:color="000000" w:sz="0" w:space="0"/>
                <w:right w:val="none" w:color="000000" w:sz="0" w:space="0"/>
              </w:pBdr>
              <w:pStyle w:val="Normal"/>
              <w:spacing w:before="120" w:after="120"/>
              <w:ind w:left="120" w:right="120"/>
              <w:rPr>
                <w:rFonts w:ascii="Times New Roman" w:eastAsia="Arial" w:hAnsi="Times New Roman" w:cs="Times New Roman"/>
                <w:color w:val="000000"/>
                <w:sz w:val="24"/>
                <w:szCs w:val="24"/>
              </w:rPr>
            </w:pPr>
            <w:r>
              <w:rPr>
                <w:rFonts w:ascii="Times New Roman" w:eastAsia="Arial" w:hAnsi="Times New Roman" w:cs="Times New Roman"/>
                <w:color w:val="000000"/>
                <w:sz w:val="24"/>
                <w:szCs w:val="24"/>
              </w:rPr>
              <w:t xml:space="preserve">Voting</w:t>
            </w:r>
          </w:p>
        </w:tc>
        <w:tc>
          <w:tcPr>
            <w:tcW w:type="pct" w:w="1089"/>
            <w:tcMar>
              <w:top w:w="0" w:type="dxa"/>
              <w:left w:w="0" w:type="dxa"/>
              <w:bottom w:w="0" w:type="dxa"/>
              <w:right w:w="0" w:type="dxa"/>
            </w:tcMar>
            <w:tcBorders>
              <w:top w:val="single" w:color="000000" w:sz="8" w:space="0"/>
              <w:left w:val="none" w:color="000000" w:sz="0" w:space="0"/>
              <w:bottom w:val="single" w:color="000000" w:sz="8" w:space="0"/>
              <w:right w:val="none" w:color="000000" w:sz="0" w:space="0"/>
            </w:tcBorders>
            <w:shd w:fill="FFFFFF" w:color="auto" w:val="clear"/>
            <w:vAlign w:val="top"/>
          </w:tcPr>
          <w:p>
            <w:pPr>
              <w:pBdr>
                <w:top w:val="none" w:color="000000" w:sz="0" w:space="0"/>
                <w:left w:val="none" w:color="000000" w:sz="0" w:space="0"/>
                <w:bottom w:val="none" w:color="000000" w:sz="0" w:space="0"/>
                <w:right w:val="none" w:color="000000" w:sz="0" w:space="0"/>
              </w:pBdr>
              <w:pStyle w:val="Normal"/>
              <w:spacing w:before="120" w:after="120"/>
              <w:ind w:left="120" w:right="120"/>
              <w:rPr>
                <w:rFonts w:ascii="Times New Roman" w:eastAsia="Arial" w:hAnsi="Times New Roman" w:cs="Times New Roman"/>
                <w:color w:val="000000"/>
                <w:sz w:val="24"/>
                <w:szCs w:val="24"/>
              </w:rPr>
            </w:pPr>
            <w:r>
              <w:rPr>
                <w:rFonts w:ascii="Times New Roman" w:eastAsia="Arial" w:hAnsi="Times New Roman" w:cs="Times New Roman"/>
                <w:color w:val="000000"/>
                <w:sz w:val="24"/>
                <w:szCs w:val="24"/>
              </w:rPr>
              <w:t xml:space="preserve">Gun Control</w:t>
            </w:r>
          </w:p>
        </w:tc>
      </w:tr>
      <w:tr>
        <w:tblPrEx>
          <w:tblBorders>
            <w:top w:val="none" w:sz="0" w:space="0"/>
            <w:left w:val="none" w:sz="0" w:space="0"/>
            <w:bottom w:val="none" w:sz="0" w:space="0"/>
            <w:right w:val="none" w:sz="0" w:space="0"/>
            <w:insideH w:val="none" w:sz="0" w:space="0"/>
            <w:insideV w:val="none" w:sz="0" w:space="0"/>
          </w:tblBorders>
        </w:tblPrEx>
        <w:trPr>
          <w:trHeight w:hRule="atLeast" w:val="20"/>
        </w:trPr>
        <w:tc>
          <w:tcPr>
            <w:tcW w:type="pct" w:w="2137"/>
            <w:tcMar>
              <w:top w:w="0" w:type="dxa"/>
              <w:left w:w="0" w:type="dxa"/>
              <w:bottom w:w="0" w:type="dxa"/>
              <w:right w:w="0" w:type="dxa"/>
            </w:tcMar>
            <w:tcBorders>
              <w:top w:val="single" w:color="000000" w:sz="8" w:space="0"/>
              <w:left w:val="none" w:color="000000" w:sz="0" w:space="0"/>
              <w:bottom w:val="none" w:color="000000" w:sz="0" w:space="0"/>
              <w:right w:val="none" w:color="000000" w:sz="0" w:space="0"/>
            </w:tcBorders>
            <w:shd w:fill="FFFFFF" w:color="auto" w:val="clear"/>
            <w:vAlign w:val="top"/>
          </w:tcPr>
          <w:p>
            <w:pPr>
              <w:pBdr>
                <w:top w:val="none" w:color="000000" w:sz="0" w:space="0"/>
                <w:left w:val="none" w:color="000000" w:sz="0" w:space="0"/>
                <w:bottom w:val="none" w:color="000000" w:sz="0" w:space="0"/>
                <w:right w:val="none" w:color="000000" w:sz="0" w:space="0"/>
              </w:pBdr>
              <w:pStyle w:val="Normal"/>
              <w:spacing w:before="120" w:after="120"/>
              <w:ind w:left="120" w:right="120"/>
              <w:rPr>
                <w:rFonts w:ascii="Times New Roman" w:eastAsia="Arial" w:hAnsi="Times New Roman" w:cs="Times New Roman"/>
                <w:color w:val="000000"/>
                <w:sz w:val="24"/>
                <w:szCs w:val="24"/>
              </w:rPr>
            </w:pPr>
            <w:r>
              <w:rPr>
                <w:rFonts w:ascii="Times New Roman" w:eastAsia="Arial" w:hAnsi="Times New Roman" w:cs="Times New Roman"/>
                <w:color w:val="000000"/>
                <w:sz w:val="24"/>
                <w:szCs w:val="24"/>
              </w:rPr>
              <w:t xml:space="preserve">General Burden Index</w:t>
            </w:r>
          </w:p>
        </w:tc>
        <w:tc>
          <w:tcPr>
            <w:tcW w:type="pct" w:w="887"/>
            <w:tcMar>
              <w:top w:w="0" w:type="dxa"/>
              <w:left w:w="0" w:type="dxa"/>
              <w:bottom w:w="0" w:type="dxa"/>
              <w:right w:w="0" w:type="dxa"/>
            </w:tcMar>
            <w:tcBorders>
              <w:top w:val="single" w:color="000000" w:sz="8" w:space="0"/>
              <w:left w:val="none" w:color="000000" w:sz="0" w:space="0"/>
              <w:bottom w:val="none" w:color="000000" w:sz="0" w:space="0"/>
              <w:right w:val="none" w:color="000000" w:sz="0" w:space="0"/>
            </w:tcBorders>
            <w:shd w:fill="FFFFFF" w:color="auto" w:val="clear"/>
            <w:vAlign w:val="top"/>
          </w:tcPr>
          <w:p>
            <w:pPr>
              <w:pBdr>
                <w:top w:val="none" w:color="000000" w:sz="0" w:space="0"/>
                <w:left w:val="none" w:color="000000" w:sz="0" w:space="0"/>
                <w:bottom w:val="none" w:color="000000" w:sz="0" w:space="0"/>
                <w:right w:val="none" w:color="000000" w:sz="0" w:space="0"/>
              </w:pBdr>
              <w:pStyle w:val="Normal"/>
              <w:spacing w:before="120" w:after="120"/>
              <w:ind w:left="120" w:right="120"/>
              <w:rPr>
                <w:rFonts w:ascii="Times New Roman" w:eastAsia="Arial" w:hAnsi="Times New Roman" w:cs="Times New Roman"/>
                <w:color w:val="000000"/>
                <w:sz w:val="24"/>
                <w:szCs w:val="24"/>
              </w:rPr>
            </w:pPr>
            <w:r>
              <w:rPr>
                <w:rFonts w:ascii="Times New Roman" w:eastAsia="Arial" w:hAnsi="Times New Roman" w:cs="Times New Roman"/>
                <w:color w:val="000000"/>
                <w:sz w:val="24"/>
                <w:szCs w:val="24"/>
              </w:rPr>
              <w:t xml:space="preserve">0.720***</w:t>
            </w:r>
          </w:p>
        </w:tc>
        <w:tc>
          <w:tcPr>
            <w:tcW w:type="pct" w:w="887"/>
            <w:tcMar>
              <w:top w:w="0" w:type="dxa"/>
              <w:left w:w="0" w:type="dxa"/>
              <w:bottom w:w="0" w:type="dxa"/>
              <w:right w:w="0" w:type="dxa"/>
            </w:tcMar>
            <w:tcBorders>
              <w:top w:val="single" w:color="000000" w:sz="8" w:space="0"/>
              <w:left w:val="none" w:color="000000" w:sz="0" w:space="0"/>
              <w:bottom w:val="none" w:color="000000" w:sz="0" w:space="0"/>
              <w:right w:val="none" w:color="000000" w:sz="0" w:space="0"/>
            </w:tcBorders>
            <w:shd w:fill="FFFFFF" w:color="auto" w:val="clear"/>
            <w:vAlign w:val="top"/>
          </w:tcPr>
          <w:p>
            <w:pPr>
              <w:pBdr>
                <w:top w:val="none" w:color="000000" w:sz="0" w:space="0"/>
                <w:left w:val="none" w:color="000000" w:sz="0" w:space="0"/>
                <w:bottom w:val="none" w:color="000000" w:sz="0" w:space="0"/>
                <w:right w:val="none" w:color="000000" w:sz="0" w:space="0"/>
              </w:pBdr>
              <w:pStyle w:val="Normal"/>
              <w:spacing w:before="120" w:after="120"/>
              <w:ind w:left="120" w:right="120"/>
              <w:rPr>
                <w:rFonts w:ascii="Times New Roman" w:eastAsia="Arial" w:hAnsi="Times New Roman" w:cs="Times New Roman"/>
                <w:color w:val="000000"/>
                <w:sz w:val="24"/>
                <w:szCs w:val="24"/>
              </w:rPr>
            </w:pPr>
            <w:r>
              <w:rPr>
                <w:rFonts w:ascii="Times New Roman" w:eastAsia="Arial" w:hAnsi="Times New Roman" w:cs="Times New Roman"/>
                <w:color w:val="000000"/>
                <w:sz w:val="24"/>
                <w:szCs w:val="24"/>
              </w:rPr>
              <w:t xml:space="preserve">0.408***</w:t>
            </w:r>
          </w:p>
        </w:tc>
        <w:tc>
          <w:tcPr>
            <w:tcW w:type="pct" w:w="1089"/>
            <w:tcMar>
              <w:top w:w="0" w:type="dxa"/>
              <w:left w:w="0" w:type="dxa"/>
              <w:bottom w:w="0" w:type="dxa"/>
              <w:right w:w="0" w:type="dxa"/>
            </w:tcMar>
            <w:tcBorders>
              <w:top w:val="single" w:color="000000" w:sz="8" w:space="0"/>
              <w:left w:val="none" w:color="000000" w:sz="0" w:space="0"/>
              <w:bottom w:val="none" w:color="000000" w:sz="0" w:space="0"/>
              <w:right w:val="none" w:color="000000" w:sz="0" w:space="0"/>
            </w:tcBorders>
            <w:shd w:fill="FFFFFF" w:color="auto" w:val="clear"/>
            <w:vAlign w:val="top"/>
          </w:tcPr>
          <w:p>
            <w:pPr>
              <w:pBdr>
                <w:top w:val="none" w:color="000000" w:sz="0" w:space="0"/>
                <w:left w:val="none" w:color="000000" w:sz="0" w:space="0"/>
                <w:bottom w:val="none" w:color="000000" w:sz="0" w:space="0"/>
                <w:right w:val="none" w:color="000000" w:sz="0" w:space="0"/>
              </w:pBdr>
              <w:pStyle w:val="Normal"/>
              <w:spacing w:before="120" w:after="120"/>
              <w:ind w:left="120" w:right="120"/>
              <w:rPr>
                <w:rFonts w:ascii="Times New Roman" w:eastAsia="Arial" w:hAnsi="Times New Roman" w:cs="Times New Roman"/>
                <w:color w:val="000000"/>
                <w:sz w:val="24"/>
                <w:szCs w:val="24"/>
              </w:rPr>
            </w:pPr>
            <w:r>
              <w:rPr>
                <w:rFonts w:ascii="Times New Roman" w:eastAsia="Arial" w:hAnsi="Times New Roman" w:cs="Times New Roman"/>
                <w:color w:val="000000"/>
                <w:sz w:val="24"/>
                <w:szCs w:val="24"/>
              </w:rPr>
              <w:t xml:space="preserve">-0.128+</w:t>
            </w:r>
          </w:p>
        </w:tc>
      </w:tr>
      <w:tr>
        <w:tblPrEx>
          <w:tblBorders>
            <w:top w:val="none" w:sz="0" w:space="0"/>
            <w:left w:val="none" w:sz="0" w:space="0"/>
            <w:bottom w:val="none" w:sz="0" w:space="0"/>
            <w:right w:val="none" w:sz="0" w:space="0"/>
            <w:insideH w:val="none" w:sz="0" w:space="0"/>
            <w:insideV w:val="none" w:sz="0" w:space="0"/>
          </w:tblBorders>
        </w:tblPrEx>
        <w:trPr>
          <w:trHeight w:hRule="atLeast" w:val="20"/>
        </w:trPr>
        <w:tc>
          <w:tcPr>
            <w:tcW w:type="pct" w:w="2137"/>
            <w:tcMar>
              <w:top w:w="0" w:type="dxa"/>
              <w:left w:w="0" w:type="dxa"/>
              <w:bottom w:w="0" w:type="dxa"/>
              <w:right w:w="0" w:type="dxa"/>
            </w:tcMar>
            <w:tcBorders>
              <w:top w:val="none" w:color="000000" w:sz="0" w:space="0"/>
              <w:left w:val="none" w:color="000000" w:sz="0" w:space="0"/>
              <w:bottom w:val="none" w:color="000000" w:sz="0" w:space="0"/>
              <w:right w:val="none" w:color="000000" w:sz="0" w:space="0"/>
            </w:tcBorders>
            <w:shd w:fill="FFFFFF" w:color="auto" w:val="clear"/>
            <w:vAlign w:val="top"/>
          </w:tcPr>
          <w:p>
            <w:pPr>
              <w:pBdr>
                <w:top w:val="none" w:color="000000" w:sz="0" w:space="0"/>
                <w:left w:val="none" w:color="000000" w:sz="0" w:space="0"/>
                <w:bottom w:val="none" w:color="000000" w:sz="0" w:space="0"/>
                <w:right w:val="none" w:color="000000" w:sz="0" w:space="0"/>
              </w:pBdr>
              <w:pStyle w:val="Normal"/>
              <w:spacing w:before="120" w:after="120"/>
              <w:ind w:left="120" w:right="120"/>
              <w:rPr>
                <w:rFonts w:ascii="Times New Roman" w:eastAsia="Arial" w:hAnsi="Times New Roman" w:cs="Times New Roman"/>
                <w:color w:val="000000"/>
                <w:sz w:val="24"/>
                <w:szCs w:val="24"/>
              </w:rPr>
            </w:pPr>
          </w:p>
        </w:tc>
        <w:tc>
          <w:tcPr>
            <w:tcW w:type="pct" w:w="887"/>
            <w:tcMar>
              <w:top w:w="0" w:type="dxa"/>
              <w:left w:w="0" w:type="dxa"/>
              <w:bottom w:w="0" w:type="dxa"/>
              <w:right w:w="0" w:type="dxa"/>
            </w:tcMar>
            <w:tcBorders>
              <w:top w:val="none" w:color="000000" w:sz="0" w:space="0"/>
              <w:left w:val="none" w:color="000000" w:sz="0" w:space="0"/>
              <w:bottom w:val="none" w:color="000000" w:sz="0" w:space="0"/>
              <w:right w:val="none" w:color="000000" w:sz="0" w:space="0"/>
            </w:tcBorders>
            <w:shd w:fill="FFFFFF" w:color="auto" w:val="clear"/>
            <w:vAlign w:val="top"/>
          </w:tcPr>
          <w:p>
            <w:pPr>
              <w:pBdr>
                <w:top w:val="none" w:color="000000" w:sz="0" w:space="0"/>
                <w:left w:val="none" w:color="000000" w:sz="0" w:space="0"/>
                <w:bottom w:val="none" w:color="000000" w:sz="0" w:space="0"/>
                <w:right w:val="none" w:color="000000" w:sz="0" w:space="0"/>
              </w:pBdr>
              <w:pStyle w:val="Normal"/>
              <w:spacing w:before="120" w:after="120"/>
              <w:ind w:left="120" w:right="120"/>
              <w:rPr>
                <w:rFonts w:ascii="Times New Roman" w:eastAsia="Arial" w:hAnsi="Times New Roman" w:cs="Times New Roman"/>
                <w:color w:val="000000"/>
                <w:sz w:val="24"/>
                <w:szCs w:val="24"/>
              </w:rPr>
            </w:pPr>
            <w:r>
              <w:rPr>
                <w:rFonts w:ascii="Times New Roman" w:eastAsia="Arial" w:hAnsi="Times New Roman" w:cs="Times New Roman"/>
                <w:color w:val="000000"/>
                <w:sz w:val="24"/>
                <w:szCs w:val="24"/>
              </w:rPr>
              <w:t xml:space="preserve">(0.052)</w:t>
            </w:r>
          </w:p>
        </w:tc>
        <w:tc>
          <w:tcPr>
            <w:tcW w:type="pct" w:w="887"/>
            <w:tcMar>
              <w:top w:w="0" w:type="dxa"/>
              <w:left w:w="0" w:type="dxa"/>
              <w:bottom w:w="0" w:type="dxa"/>
              <w:right w:w="0" w:type="dxa"/>
            </w:tcMar>
            <w:tcBorders>
              <w:top w:val="none" w:color="000000" w:sz="0" w:space="0"/>
              <w:left w:val="none" w:color="000000" w:sz="0" w:space="0"/>
              <w:bottom w:val="none" w:color="000000" w:sz="0" w:space="0"/>
              <w:right w:val="none" w:color="000000" w:sz="0" w:space="0"/>
            </w:tcBorders>
            <w:shd w:fill="FFFFFF" w:color="auto" w:val="clear"/>
            <w:vAlign w:val="top"/>
          </w:tcPr>
          <w:p>
            <w:pPr>
              <w:pBdr>
                <w:top w:val="none" w:color="000000" w:sz="0" w:space="0"/>
                <w:left w:val="none" w:color="000000" w:sz="0" w:space="0"/>
                <w:bottom w:val="none" w:color="000000" w:sz="0" w:space="0"/>
                <w:right w:val="none" w:color="000000" w:sz="0" w:space="0"/>
              </w:pBdr>
              <w:pStyle w:val="Normal"/>
              <w:spacing w:before="120" w:after="120"/>
              <w:ind w:left="120" w:right="120"/>
              <w:rPr>
                <w:rFonts w:ascii="Times New Roman" w:eastAsia="Arial" w:hAnsi="Times New Roman" w:cs="Times New Roman"/>
                <w:color w:val="000000"/>
                <w:sz w:val="24"/>
                <w:szCs w:val="24"/>
              </w:rPr>
            </w:pPr>
            <w:r>
              <w:rPr>
                <w:rFonts w:ascii="Times New Roman" w:eastAsia="Arial" w:hAnsi="Times New Roman" w:cs="Times New Roman"/>
                <w:color w:val="000000"/>
                <w:sz w:val="24"/>
                <w:szCs w:val="24"/>
              </w:rPr>
              <w:t xml:space="preserve">(0.060)</w:t>
            </w:r>
          </w:p>
        </w:tc>
        <w:tc>
          <w:tcPr>
            <w:tcW w:type="pct" w:w="1089"/>
            <w:tcMar>
              <w:top w:w="0" w:type="dxa"/>
              <w:left w:w="0" w:type="dxa"/>
              <w:bottom w:w="0" w:type="dxa"/>
              <w:right w:w="0" w:type="dxa"/>
            </w:tcMar>
            <w:tcBorders>
              <w:top w:val="none" w:color="000000" w:sz="0" w:space="0"/>
              <w:left w:val="none" w:color="000000" w:sz="0" w:space="0"/>
              <w:bottom w:val="none" w:color="000000" w:sz="0" w:space="0"/>
              <w:right w:val="none" w:color="000000" w:sz="0" w:space="0"/>
            </w:tcBorders>
            <w:shd w:fill="FFFFFF" w:color="auto" w:val="clear"/>
            <w:vAlign w:val="top"/>
          </w:tcPr>
          <w:p>
            <w:pPr>
              <w:pBdr>
                <w:top w:val="none" w:color="000000" w:sz="0" w:space="0"/>
                <w:left w:val="none" w:color="000000" w:sz="0" w:space="0"/>
                <w:bottom w:val="none" w:color="000000" w:sz="0" w:space="0"/>
                <w:right w:val="none" w:color="000000" w:sz="0" w:space="0"/>
              </w:pBdr>
              <w:pStyle w:val="Normal"/>
              <w:spacing w:before="120" w:after="120"/>
              <w:ind w:left="120" w:right="120"/>
              <w:rPr>
                <w:rFonts w:ascii="Times New Roman" w:eastAsia="Arial" w:hAnsi="Times New Roman" w:cs="Times New Roman"/>
                <w:color w:val="000000"/>
                <w:sz w:val="24"/>
                <w:szCs w:val="24"/>
              </w:rPr>
            </w:pPr>
            <w:r>
              <w:rPr>
                <w:rFonts w:ascii="Times New Roman" w:eastAsia="Arial" w:hAnsi="Times New Roman" w:cs="Times New Roman"/>
                <w:color w:val="000000"/>
                <w:sz w:val="24"/>
                <w:szCs w:val="24"/>
              </w:rPr>
              <w:t xml:space="preserve">(0.073)</w:t>
            </w:r>
          </w:p>
        </w:tc>
      </w:tr>
      <w:tr>
        <w:tblPrEx>
          <w:tblBorders>
            <w:top w:val="none" w:sz="0" w:space="0"/>
            <w:left w:val="none" w:sz="0" w:space="0"/>
            <w:bottom w:val="none" w:sz="0" w:space="0"/>
            <w:right w:val="none" w:sz="0" w:space="0"/>
            <w:insideH w:val="none" w:sz="0" w:space="0"/>
            <w:insideV w:val="none" w:sz="0" w:space="0"/>
          </w:tblBorders>
        </w:tblPrEx>
        <w:trPr>
          <w:trHeight w:hRule="atLeast" w:val="20"/>
        </w:trPr>
        <w:tc>
          <w:tcPr>
            <w:tcW w:type="pct" w:w="2137"/>
            <w:tcMar>
              <w:top w:w="0" w:type="dxa"/>
              <w:left w:w="0" w:type="dxa"/>
              <w:bottom w:w="0" w:type="dxa"/>
              <w:right w:w="0" w:type="dxa"/>
            </w:tcMar>
            <w:tcBorders>
              <w:top w:val="none" w:color="000000" w:sz="0" w:space="0"/>
              <w:left w:val="none" w:color="000000" w:sz="0" w:space="0"/>
              <w:bottom w:val="none" w:color="000000" w:sz="0" w:space="0"/>
              <w:right w:val="none" w:color="000000" w:sz="0" w:space="0"/>
            </w:tcBorders>
            <w:shd w:fill="FFFFFF" w:color="auto" w:val="clear"/>
            <w:vAlign w:val="top"/>
          </w:tcPr>
          <w:p>
            <w:pPr>
              <w:pBdr>
                <w:top w:val="none" w:color="000000" w:sz="0" w:space="0"/>
                <w:left w:val="none" w:color="000000" w:sz="0" w:space="0"/>
                <w:bottom w:val="none" w:color="000000" w:sz="0" w:space="0"/>
                <w:right w:val="none" w:color="000000" w:sz="0" w:space="0"/>
              </w:pBdr>
              <w:pStyle w:val="Normal"/>
              <w:spacing w:before="120" w:after="120"/>
              <w:ind w:left="120" w:right="120"/>
              <w:rPr>
                <w:rFonts w:ascii="Times New Roman" w:eastAsia="Arial" w:hAnsi="Times New Roman" w:cs="Times New Roman"/>
                <w:color w:val="000000"/>
                <w:sz w:val="24"/>
                <w:szCs w:val="24"/>
              </w:rPr>
            </w:pPr>
            <w:r>
              <w:rPr>
                <w:rFonts w:ascii="Times New Roman" w:eastAsia="Arial" w:hAnsi="Times New Roman" w:cs="Times New Roman"/>
                <w:color w:val="000000"/>
                <w:sz w:val="24"/>
                <w:szCs w:val="24"/>
              </w:rPr>
              <w:t xml:space="preserve">Hierarchism</w:t>
            </w:r>
          </w:p>
        </w:tc>
        <w:tc>
          <w:tcPr>
            <w:tcW w:type="pct" w:w="887"/>
            <w:tcMar>
              <w:top w:w="0" w:type="dxa"/>
              <w:left w:w="0" w:type="dxa"/>
              <w:bottom w:w="0" w:type="dxa"/>
              <w:right w:w="0" w:type="dxa"/>
            </w:tcMar>
            <w:tcBorders>
              <w:top w:val="none" w:color="000000" w:sz="0" w:space="0"/>
              <w:left w:val="none" w:color="000000" w:sz="0" w:space="0"/>
              <w:bottom w:val="none" w:color="000000" w:sz="0" w:space="0"/>
              <w:right w:val="none" w:color="000000" w:sz="0" w:space="0"/>
            </w:tcBorders>
            <w:shd w:fill="FFFFFF" w:color="auto" w:val="clear"/>
            <w:vAlign w:val="top"/>
          </w:tcPr>
          <w:p>
            <w:pPr>
              <w:pBdr>
                <w:top w:val="none" w:color="000000" w:sz="0" w:space="0"/>
                <w:left w:val="none" w:color="000000" w:sz="0" w:space="0"/>
                <w:bottom w:val="none" w:color="000000" w:sz="0" w:space="0"/>
                <w:right w:val="none" w:color="000000" w:sz="0" w:space="0"/>
              </w:pBdr>
              <w:pStyle w:val="Normal"/>
              <w:spacing w:before="120" w:after="120"/>
              <w:ind w:left="120" w:right="120"/>
              <w:rPr>
                <w:rFonts w:ascii="Times New Roman" w:eastAsia="Arial" w:hAnsi="Times New Roman" w:cs="Times New Roman"/>
                <w:color w:val="000000"/>
                <w:sz w:val="24"/>
                <w:szCs w:val="24"/>
              </w:rPr>
            </w:pPr>
            <w:r>
              <w:rPr>
                <w:rFonts w:ascii="Times New Roman" w:eastAsia="Arial" w:hAnsi="Times New Roman" w:cs="Times New Roman"/>
                <w:color w:val="000000"/>
                <w:sz w:val="24"/>
                <w:szCs w:val="24"/>
              </w:rPr>
              <w:t xml:space="preserve">0.049**</w:t>
            </w:r>
          </w:p>
        </w:tc>
        <w:tc>
          <w:tcPr>
            <w:tcW w:type="pct" w:w="887"/>
            <w:tcMar>
              <w:top w:w="0" w:type="dxa"/>
              <w:left w:w="0" w:type="dxa"/>
              <w:bottom w:w="0" w:type="dxa"/>
              <w:right w:w="0" w:type="dxa"/>
            </w:tcMar>
            <w:tcBorders>
              <w:top w:val="none" w:color="000000" w:sz="0" w:space="0"/>
              <w:left w:val="none" w:color="000000" w:sz="0" w:space="0"/>
              <w:bottom w:val="none" w:color="000000" w:sz="0" w:space="0"/>
              <w:right w:val="none" w:color="000000" w:sz="0" w:space="0"/>
            </w:tcBorders>
            <w:shd w:fill="FFFFFF" w:color="auto" w:val="clear"/>
            <w:vAlign w:val="top"/>
          </w:tcPr>
          <w:p>
            <w:pPr>
              <w:pBdr>
                <w:top w:val="none" w:color="000000" w:sz="0" w:space="0"/>
                <w:left w:val="none" w:color="000000" w:sz="0" w:space="0"/>
                <w:bottom w:val="none" w:color="000000" w:sz="0" w:space="0"/>
                <w:right w:val="none" w:color="000000" w:sz="0" w:space="0"/>
              </w:pBdr>
              <w:pStyle w:val="Normal"/>
              <w:spacing w:before="120" w:after="120"/>
              <w:ind w:left="120" w:right="120"/>
              <w:rPr>
                <w:rFonts w:ascii="Times New Roman" w:eastAsia="Arial" w:hAnsi="Times New Roman" w:cs="Times New Roman"/>
                <w:color w:val="000000"/>
                <w:sz w:val="24"/>
                <w:szCs w:val="24"/>
              </w:rPr>
            </w:pPr>
            <w:r>
              <w:rPr>
                <w:rFonts w:ascii="Times New Roman" w:eastAsia="Arial" w:hAnsi="Times New Roman" w:cs="Times New Roman"/>
                <w:color w:val="000000"/>
                <w:sz w:val="24"/>
                <w:szCs w:val="24"/>
              </w:rPr>
              <w:t xml:space="preserve">0.066**</w:t>
            </w:r>
          </w:p>
        </w:tc>
        <w:tc>
          <w:tcPr>
            <w:tcW w:type="pct" w:w="1089"/>
            <w:tcMar>
              <w:top w:w="0" w:type="dxa"/>
              <w:left w:w="0" w:type="dxa"/>
              <w:bottom w:w="0" w:type="dxa"/>
              <w:right w:w="0" w:type="dxa"/>
            </w:tcMar>
            <w:tcBorders>
              <w:top w:val="none" w:color="000000" w:sz="0" w:space="0"/>
              <w:left w:val="none" w:color="000000" w:sz="0" w:space="0"/>
              <w:bottom w:val="none" w:color="000000" w:sz="0" w:space="0"/>
              <w:right w:val="none" w:color="000000" w:sz="0" w:space="0"/>
            </w:tcBorders>
            <w:shd w:fill="FFFFFF" w:color="auto" w:val="clear"/>
            <w:vAlign w:val="top"/>
          </w:tcPr>
          <w:p>
            <w:pPr>
              <w:pBdr>
                <w:top w:val="none" w:color="000000" w:sz="0" w:space="0"/>
                <w:left w:val="none" w:color="000000" w:sz="0" w:space="0"/>
                <w:bottom w:val="none" w:color="000000" w:sz="0" w:space="0"/>
                <w:right w:val="none" w:color="000000" w:sz="0" w:space="0"/>
              </w:pBdr>
              <w:pStyle w:val="Normal"/>
              <w:spacing w:before="120" w:after="120"/>
              <w:ind w:left="120" w:right="120"/>
              <w:rPr>
                <w:rFonts w:ascii="Times New Roman" w:eastAsia="Arial" w:hAnsi="Times New Roman" w:cs="Times New Roman"/>
                <w:color w:val="000000"/>
                <w:sz w:val="24"/>
                <w:szCs w:val="24"/>
              </w:rPr>
            </w:pPr>
            <w:r>
              <w:rPr>
                <w:rFonts w:ascii="Times New Roman" w:eastAsia="Arial" w:hAnsi="Times New Roman" w:cs="Times New Roman"/>
                <w:color w:val="000000"/>
                <w:sz w:val="24"/>
                <w:szCs w:val="24"/>
              </w:rPr>
              <w:t xml:space="preserve">0.064**</w:t>
            </w:r>
          </w:p>
        </w:tc>
      </w:tr>
      <w:tr>
        <w:tblPrEx>
          <w:tblBorders>
            <w:top w:val="none" w:sz="0" w:space="0"/>
            <w:left w:val="none" w:sz="0" w:space="0"/>
            <w:bottom w:val="none" w:sz="0" w:space="0"/>
            <w:right w:val="none" w:sz="0" w:space="0"/>
            <w:insideH w:val="none" w:sz="0" w:space="0"/>
            <w:insideV w:val="none" w:sz="0" w:space="0"/>
          </w:tblBorders>
        </w:tblPrEx>
        <w:trPr>
          <w:trHeight w:hRule="atLeast" w:val="20"/>
        </w:trPr>
        <w:tc>
          <w:tcPr>
            <w:tcW w:type="pct" w:w="2137"/>
            <w:tcMar>
              <w:top w:w="0" w:type="dxa"/>
              <w:left w:w="0" w:type="dxa"/>
              <w:bottom w:w="0" w:type="dxa"/>
              <w:right w:w="0" w:type="dxa"/>
            </w:tcMar>
            <w:tcBorders>
              <w:top w:val="none" w:color="000000" w:sz="0" w:space="0"/>
              <w:left w:val="none" w:color="000000" w:sz="0" w:space="0"/>
              <w:bottom w:val="none" w:color="000000" w:sz="0" w:space="0"/>
              <w:right w:val="none" w:color="000000" w:sz="0" w:space="0"/>
            </w:tcBorders>
            <w:shd w:fill="FFFFFF" w:color="auto" w:val="clear"/>
            <w:vAlign w:val="top"/>
          </w:tcPr>
          <w:p>
            <w:pPr>
              <w:pBdr>
                <w:top w:val="none" w:color="000000" w:sz="0" w:space="0"/>
                <w:left w:val="none" w:color="000000" w:sz="0" w:space="0"/>
                <w:bottom w:val="none" w:color="000000" w:sz="0" w:space="0"/>
                <w:right w:val="none" w:color="000000" w:sz="0" w:space="0"/>
              </w:pBdr>
              <w:pStyle w:val="Normal"/>
              <w:spacing w:before="120" w:after="120"/>
              <w:ind w:left="120" w:right="120"/>
              <w:rPr>
                <w:rFonts w:ascii="Times New Roman" w:eastAsia="Arial" w:hAnsi="Times New Roman" w:cs="Times New Roman"/>
                <w:color w:val="000000"/>
                <w:sz w:val="24"/>
                <w:szCs w:val="24"/>
              </w:rPr>
            </w:pPr>
          </w:p>
        </w:tc>
        <w:tc>
          <w:tcPr>
            <w:tcW w:type="pct" w:w="887"/>
            <w:tcMar>
              <w:top w:w="0" w:type="dxa"/>
              <w:left w:w="0" w:type="dxa"/>
              <w:bottom w:w="0" w:type="dxa"/>
              <w:right w:w="0" w:type="dxa"/>
            </w:tcMar>
            <w:tcBorders>
              <w:top w:val="none" w:color="000000" w:sz="0" w:space="0"/>
              <w:left w:val="none" w:color="000000" w:sz="0" w:space="0"/>
              <w:bottom w:val="none" w:color="000000" w:sz="0" w:space="0"/>
              <w:right w:val="none" w:color="000000" w:sz="0" w:space="0"/>
            </w:tcBorders>
            <w:shd w:fill="FFFFFF" w:color="auto" w:val="clear"/>
            <w:vAlign w:val="top"/>
          </w:tcPr>
          <w:p>
            <w:pPr>
              <w:pBdr>
                <w:top w:val="none" w:color="000000" w:sz="0" w:space="0"/>
                <w:left w:val="none" w:color="000000" w:sz="0" w:space="0"/>
                <w:bottom w:val="none" w:color="000000" w:sz="0" w:space="0"/>
                <w:right w:val="none" w:color="000000" w:sz="0" w:space="0"/>
              </w:pBdr>
              <w:pStyle w:val="Normal"/>
              <w:spacing w:before="120" w:after="120"/>
              <w:ind w:left="120" w:right="120"/>
              <w:rPr>
                <w:rFonts w:ascii="Times New Roman" w:eastAsia="Arial" w:hAnsi="Times New Roman" w:cs="Times New Roman"/>
                <w:color w:val="000000"/>
                <w:sz w:val="24"/>
                <w:szCs w:val="24"/>
              </w:rPr>
            </w:pPr>
            <w:r>
              <w:rPr>
                <w:rFonts w:ascii="Times New Roman" w:eastAsia="Arial" w:hAnsi="Times New Roman" w:cs="Times New Roman"/>
                <w:color w:val="000000"/>
                <w:sz w:val="24"/>
                <w:szCs w:val="24"/>
              </w:rPr>
              <w:t xml:space="preserve">(0.018)</w:t>
            </w:r>
          </w:p>
        </w:tc>
        <w:tc>
          <w:tcPr>
            <w:tcW w:type="pct" w:w="887"/>
            <w:tcMar>
              <w:top w:w="0" w:type="dxa"/>
              <w:left w:w="0" w:type="dxa"/>
              <w:bottom w:w="0" w:type="dxa"/>
              <w:right w:w="0" w:type="dxa"/>
            </w:tcMar>
            <w:tcBorders>
              <w:top w:val="none" w:color="000000" w:sz="0" w:space="0"/>
              <w:left w:val="none" w:color="000000" w:sz="0" w:space="0"/>
              <w:bottom w:val="none" w:color="000000" w:sz="0" w:space="0"/>
              <w:right w:val="none" w:color="000000" w:sz="0" w:space="0"/>
            </w:tcBorders>
            <w:shd w:fill="FFFFFF" w:color="auto" w:val="clear"/>
            <w:vAlign w:val="top"/>
          </w:tcPr>
          <w:p>
            <w:pPr>
              <w:pBdr>
                <w:top w:val="none" w:color="000000" w:sz="0" w:space="0"/>
                <w:left w:val="none" w:color="000000" w:sz="0" w:space="0"/>
                <w:bottom w:val="none" w:color="000000" w:sz="0" w:space="0"/>
                <w:right w:val="none" w:color="000000" w:sz="0" w:space="0"/>
              </w:pBdr>
              <w:pStyle w:val="Normal"/>
              <w:spacing w:before="120" w:after="120"/>
              <w:ind w:left="120" w:right="120"/>
              <w:rPr>
                <w:rFonts w:ascii="Times New Roman" w:eastAsia="Arial" w:hAnsi="Times New Roman" w:cs="Times New Roman"/>
                <w:color w:val="000000"/>
                <w:sz w:val="24"/>
                <w:szCs w:val="24"/>
              </w:rPr>
            </w:pPr>
            <w:r>
              <w:rPr>
                <w:rFonts w:ascii="Times New Roman" w:eastAsia="Arial" w:hAnsi="Times New Roman" w:cs="Times New Roman"/>
                <w:color w:val="000000"/>
                <w:sz w:val="24"/>
                <w:szCs w:val="24"/>
              </w:rPr>
              <w:t xml:space="preserve">(0.020)</w:t>
            </w:r>
          </w:p>
        </w:tc>
        <w:tc>
          <w:tcPr>
            <w:tcW w:type="pct" w:w="1089"/>
            <w:tcMar>
              <w:top w:w="0" w:type="dxa"/>
              <w:left w:w="0" w:type="dxa"/>
              <w:bottom w:w="0" w:type="dxa"/>
              <w:right w:w="0" w:type="dxa"/>
            </w:tcMar>
            <w:tcBorders>
              <w:top w:val="none" w:color="000000" w:sz="0" w:space="0"/>
              <w:left w:val="none" w:color="000000" w:sz="0" w:space="0"/>
              <w:bottom w:val="none" w:color="000000" w:sz="0" w:space="0"/>
              <w:right w:val="none" w:color="000000" w:sz="0" w:space="0"/>
            </w:tcBorders>
            <w:shd w:fill="FFFFFF" w:color="auto" w:val="clear"/>
            <w:vAlign w:val="top"/>
          </w:tcPr>
          <w:p>
            <w:pPr>
              <w:pBdr>
                <w:top w:val="none" w:color="000000" w:sz="0" w:space="0"/>
                <w:left w:val="none" w:color="000000" w:sz="0" w:space="0"/>
                <w:bottom w:val="none" w:color="000000" w:sz="0" w:space="0"/>
                <w:right w:val="none" w:color="000000" w:sz="0" w:space="0"/>
              </w:pBdr>
              <w:pStyle w:val="Normal"/>
              <w:spacing w:before="120" w:after="120"/>
              <w:ind w:left="120" w:right="120"/>
              <w:rPr>
                <w:rFonts w:ascii="Times New Roman" w:eastAsia="Arial" w:hAnsi="Times New Roman" w:cs="Times New Roman"/>
                <w:color w:val="000000"/>
                <w:sz w:val="24"/>
                <w:szCs w:val="24"/>
              </w:rPr>
            </w:pPr>
            <w:r>
              <w:rPr>
                <w:rFonts w:ascii="Times New Roman" w:eastAsia="Arial" w:hAnsi="Times New Roman" w:cs="Times New Roman"/>
                <w:color w:val="000000"/>
                <w:sz w:val="24"/>
                <w:szCs w:val="24"/>
              </w:rPr>
              <w:t xml:space="preserve">(0.024)</w:t>
            </w:r>
          </w:p>
        </w:tc>
      </w:tr>
      <w:tr>
        <w:tblPrEx>
          <w:tblBorders>
            <w:top w:val="none" w:sz="0" w:space="0"/>
            <w:left w:val="none" w:sz="0" w:space="0"/>
            <w:bottom w:val="none" w:sz="0" w:space="0"/>
            <w:right w:val="none" w:sz="0" w:space="0"/>
            <w:insideH w:val="none" w:sz="0" w:space="0"/>
            <w:insideV w:val="none" w:sz="0" w:space="0"/>
          </w:tblBorders>
        </w:tblPrEx>
        <w:trPr>
          <w:trHeight w:hRule="atLeast" w:val="20"/>
        </w:trPr>
        <w:tc>
          <w:tcPr>
            <w:tcW w:type="pct" w:w="2137"/>
            <w:tcMar>
              <w:top w:w="0" w:type="dxa"/>
              <w:left w:w="0" w:type="dxa"/>
              <w:bottom w:w="0" w:type="dxa"/>
              <w:right w:w="0" w:type="dxa"/>
            </w:tcMar>
            <w:tcBorders>
              <w:top w:val="none" w:color="000000" w:sz="0" w:space="0"/>
              <w:left w:val="none" w:color="000000" w:sz="0" w:space="0"/>
              <w:bottom w:val="none" w:color="000000" w:sz="0" w:space="0"/>
              <w:right w:val="none" w:color="000000" w:sz="0" w:space="0"/>
            </w:tcBorders>
            <w:shd w:fill="FFFFFF" w:color="auto" w:val="clear"/>
            <w:vAlign w:val="top"/>
          </w:tcPr>
          <w:p>
            <w:pPr>
              <w:pBdr>
                <w:top w:val="none" w:color="000000" w:sz="0" w:space="0"/>
                <w:left w:val="none" w:color="000000" w:sz="0" w:space="0"/>
                <w:bottom w:val="none" w:color="000000" w:sz="0" w:space="0"/>
                <w:right w:val="none" w:color="000000" w:sz="0" w:space="0"/>
              </w:pBdr>
              <w:pStyle w:val="Normal"/>
              <w:spacing w:before="120" w:after="120"/>
              <w:ind w:left="120" w:right="120"/>
              <w:rPr>
                <w:rFonts w:ascii="Times New Roman" w:eastAsia="Arial" w:hAnsi="Times New Roman" w:cs="Times New Roman"/>
                <w:color w:val="000000"/>
                <w:sz w:val="24"/>
                <w:szCs w:val="24"/>
              </w:rPr>
            </w:pPr>
            <w:r>
              <w:rPr>
                <w:rFonts w:ascii="Times New Roman" w:eastAsia="Arial" w:hAnsi="Times New Roman" w:cs="Times New Roman"/>
                <w:color w:val="000000"/>
                <w:sz w:val="24"/>
                <w:szCs w:val="24"/>
              </w:rPr>
              <w:t xml:space="preserve">Egalitarianism</w:t>
            </w:r>
          </w:p>
        </w:tc>
        <w:tc>
          <w:tcPr>
            <w:tcW w:type="pct" w:w="887"/>
            <w:tcMar>
              <w:top w:w="0" w:type="dxa"/>
              <w:left w:w="0" w:type="dxa"/>
              <w:bottom w:w="0" w:type="dxa"/>
              <w:right w:w="0" w:type="dxa"/>
            </w:tcMar>
            <w:tcBorders>
              <w:top w:val="none" w:color="000000" w:sz="0" w:space="0"/>
              <w:left w:val="none" w:color="000000" w:sz="0" w:space="0"/>
              <w:bottom w:val="none" w:color="000000" w:sz="0" w:space="0"/>
              <w:right w:val="none" w:color="000000" w:sz="0" w:space="0"/>
            </w:tcBorders>
            <w:shd w:fill="FFFFFF" w:color="auto" w:val="clear"/>
            <w:vAlign w:val="top"/>
          </w:tcPr>
          <w:p>
            <w:pPr>
              <w:pBdr>
                <w:top w:val="none" w:color="000000" w:sz="0" w:space="0"/>
                <w:left w:val="none" w:color="000000" w:sz="0" w:space="0"/>
                <w:bottom w:val="none" w:color="000000" w:sz="0" w:space="0"/>
                <w:right w:val="none" w:color="000000" w:sz="0" w:space="0"/>
              </w:pBdr>
              <w:pStyle w:val="Normal"/>
              <w:spacing w:before="120" w:after="120"/>
              <w:ind w:left="120" w:right="120"/>
              <w:rPr>
                <w:rFonts w:ascii="Times New Roman" w:eastAsia="Arial" w:hAnsi="Times New Roman" w:cs="Times New Roman"/>
                <w:color w:val="000000"/>
                <w:sz w:val="24"/>
                <w:szCs w:val="24"/>
              </w:rPr>
            </w:pPr>
            <w:r>
              <w:rPr>
                <w:rFonts w:ascii="Times New Roman" w:eastAsia="Arial" w:hAnsi="Times New Roman" w:cs="Times New Roman"/>
                <w:color w:val="000000"/>
                <w:sz w:val="24"/>
                <w:szCs w:val="24"/>
              </w:rPr>
              <w:t xml:space="preserve">-0.058***</w:t>
            </w:r>
          </w:p>
        </w:tc>
        <w:tc>
          <w:tcPr>
            <w:tcW w:type="pct" w:w="887"/>
            <w:tcMar>
              <w:top w:w="0" w:type="dxa"/>
              <w:left w:w="0" w:type="dxa"/>
              <w:bottom w:w="0" w:type="dxa"/>
              <w:right w:w="0" w:type="dxa"/>
            </w:tcMar>
            <w:tcBorders>
              <w:top w:val="none" w:color="000000" w:sz="0" w:space="0"/>
              <w:left w:val="none" w:color="000000" w:sz="0" w:space="0"/>
              <w:bottom w:val="none" w:color="000000" w:sz="0" w:space="0"/>
              <w:right w:val="none" w:color="000000" w:sz="0" w:space="0"/>
            </w:tcBorders>
            <w:shd w:fill="FFFFFF" w:color="auto" w:val="clear"/>
            <w:vAlign w:val="top"/>
          </w:tcPr>
          <w:p>
            <w:pPr>
              <w:pBdr>
                <w:top w:val="none" w:color="000000" w:sz="0" w:space="0"/>
                <w:left w:val="none" w:color="000000" w:sz="0" w:space="0"/>
                <w:bottom w:val="none" w:color="000000" w:sz="0" w:space="0"/>
                <w:right w:val="none" w:color="000000" w:sz="0" w:space="0"/>
              </w:pBdr>
              <w:pStyle w:val="Normal"/>
              <w:spacing w:before="120" w:after="120"/>
              <w:ind w:left="120" w:right="120"/>
              <w:rPr>
                <w:rFonts w:ascii="Times New Roman" w:eastAsia="Arial" w:hAnsi="Times New Roman" w:cs="Times New Roman"/>
                <w:color w:val="000000"/>
                <w:sz w:val="24"/>
                <w:szCs w:val="24"/>
              </w:rPr>
            </w:pPr>
            <w:r>
              <w:rPr>
                <w:rFonts w:ascii="Times New Roman" w:eastAsia="Arial" w:hAnsi="Times New Roman" w:cs="Times New Roman"/>
                <w:color w:val="000000"/>
                <w:sz w:val="24"/>
                <w:szCs w:val="24"/>
              </w:rPr>
              <w:t xml:space="preserve">-0.105***</w:t>
            </w:r>
          </w:p>
        </w:tc>
        <w:tc>
          <w:tcPr>
            <w:tcW w:type="pct" w:w="1089"/>
            <w:tcMar>
              <w:top w:w="0" w:type="dxa"/>
              <w:left w:w="0" w:type="dxa"/>
              <w:bottom w:w="0" w:type="dxa"/>
              <w:right w:w="0" w:type="dxa"/>
            </w:tcMar>
            <w:tcBorders>
              <w:top w:val="none" w:color="000000" w:sz="0" w:space="0"/>
              <w:left w:val="none" w:color="000000" w:sz="0" w:space="0"/>
              <w:bottom w:val="none" w:color="000000" w:sz="0" w:space="0"/>
              <w:right w:val="none" w:color="000000" w:sz="0" w:space="0"/>
            </w:tcBorders>
            <w:shd w:fill="FFFFFF" w:color="auto" w:val="clear"/>
            <w:vAlign w:val="top"/>
          </w:tcPr>
          <w:p>
            <w:pPr>
              <w:pBdr>
                <w:top w:val="none" w:color="000000" w:sz="0" w:space="0"/>
                <w:left w:val="none" w:color="000000" w:sz="0" w:space="0"/>
                <w:bottom w:val="none" w:color="000000" w:sz="0" w:space="0"/>
                <w:right w:val="none" w:color="000000" w:sz="0" w:space="0"/>
              </w:pBdr>
              <w:pStyle w:val="Normal"/>
              <w:spacing w:before="120" w:after="120"/>
              <w:ind w:left="120" w:right="120"/>
              <w:rPr>
                <w:rFonts w:ascii="Times New Roman" w:eastAsia="Arial" w:hAnsi="Times New Roman" w:cs="Times New Roman"/>
                <w:color w:val="000000"/>
                <w:sz w:val="24"/>
                <w:szCs w:val="24"/>
              </w:rPr>
            </w:pPr>
            <w:r>
              <w:rPr>
                <w:rFonts w:ascii="Times New Roman" w:eastAsia="Arial" w:hAnsi="Times New Roman" w:cs="Times New Roman"/>
                <w:color w:val="000000"/>
                <w:sz w:val="24"/>
                <w:szCs w:val="24"/>
              </w:rPr>
              <w:t xml:space="preserve">0.195***</w:t>
            </w:r>
          </w:p>
        </w:tc>
      </w:tr>
      <w:tr>
        <w:tblPrEx>
          <w:tblBorders>
            <w:top w:val="none" w:sz="0" w:space="0"/>
            <w:left w:val="none" w:sz="0" w:space="0"/>
            <w:bottom w:val="none" w:sz="0" w:space="0"/>
            <w:right w:val="none" w:sz="0" w:space="0"/>
            <w:insideH w:val="none" w:sz="0" w:space="0"/>
            <w:insideV w:val="none" w:sz="0" w:space="0"/>
          </w:tblBorders>
        </w:tblPrEx>
        <w:trPr>
          <w:trHeight w:hRule="atLeast" w:val="20"/>
        </w:trPr>
        <w:tc>
          <w:tcPr>
            <w:tcW w:type="pct" w:w="2137"/>
            <w:tcMar>
              <w:top w:w="0" w:type="dxa"/>
              <w:left w:w="0" w:type="dxa"/>
              <w:bottom w:w="0" w:type="dxa"/>
              <w:right w:w="0" w:type="dxa"/>
            </w:tcMar>
            <w:tcBorders>
              <w:top w:val="none" w:color="000000" w:sz="0" w:space="0"/>
              <w:left w:val="none" w:color="000000" w:sz="0" w:space="0"/>
              <w:bottom w:val="none" w:color="000000" w:sz="0" w:space="0"/>
              <w:right w:val="none" w:color="000000" w:sz="0" w:space="0"/>
            </w:tcBorders>
            <w:shd w:fill="FFFFFF" w:color="auto" w:val="clear"/>
            <w:vAlign w:val="top"/>
          </w:tcPr>
          <w:p>
            <w:pPr>
              <w:pBdr>
                <w:top w:val="none" w:color="000000" w:sz="0" w:space="0"/>
                <w:left w:val="none" w:color="000000" w:sz="0" w:space="0"/>
                <w:bottom w:val="none" w:color="000000" w:sz="0" w:space="0"/>
                <w:right w:val="none" w:color="000000" w:sz="0" w:space="0"/>
              </w:pBdr>
              <w:pStyle w:val="Normal"/>
              <w:spacing w:before="120" w:after="120"/>
              <w:ind w:left="120" w:right="120"/>
              <w:rPr>
                <w:rFonts w:ascii="Times New Roman" w:eastAsia="Arial" w:hAnsi="Times New Roman" w:cs="Times New Roman"/>
                <w:color w:val="000000"/>
                <w:sz w:val="24"/>
                <w:szCs w:val="24"/>
              </w:rPr>
            </w:pPr>
          </w:p>
        </w:tc>
        <w:tc>
          <w:tcPr>
            <w:tcW w:type="pct" w:w="887"/>
            <w:tcMar>
              <w:top w:w="0" w:type="dxa"/>
              <w:left w:w="0" w:type="dxa"/>
              <w:bottom w:w="0" w:type="dxa"/>
              <w:right w:w="0" w:type="dxa"/>
            </w:tcMar>
            <w:tcBorders>
              <w:top w:val="none" w:color="000000" w:sz="0" w:space="0"/>
              <w:left w:val="none" w:color="000000" w:sz="0" w:space="0"/>
              <w:bottom w:val="none" w:color="000000" w:sz="0" w:space="0"/>
              <w:right w:val="none" w:color="000000" w:sz="0" w:space="0"/>
            </w:tcBorders>
            <w:shd w:fill="FFFFFF" w:color="auto" w:val="clear"/>
            <w:vAlign w:val="top"/>
          </w:tcPr>
          <w:p>
            <w:pPr>
              <w:pBdr>
                <w:top w:val="none" w:color="000000" w:sz="0" w:space="0"/>
                <w:left w:val="none" w:color="000000" w:sz="0" w:space="0"/>
                <w:bottom w:val="none" w:color="000000" w:sz="0" w:space="0"/>
                <w:right w:val="none" w:color="000000" w:sz="0" w:space="0"/>
              </w:pBdr>
              <w:pStyle w:val="Normal"/>
              <w:spacing w:before="120" w:after="120"/>
              <w:ind w:left="120" w:right="120"/>
              <w:rPr>
                <w:rFonts w:ascii="Times New Roman" w:eastAsia="Arial" w:hAnsi="Times New Roman" w:cs="Times New Roman"/>
                <w:color w:val="000000"/>
                <w:sz w:val="24"/>
                <w:szCs w:val="24"/>
              </w:rPr>
            </w:pPr>
            <w:r>
              <w:rPr>
                <w:rFonts w:ascii="Times New Roman" w:eastAsia="Arial" w:hAnsi="Times New Roman" w:cs="Times New Roman"/>
                <w:color w:val="000000"/>
                <w:sz w:val="24"/>
                <w:szCs w:val="24"/>
              </w:rPr>
              <w:t xml:space="preserve">(0.017)</w:t>
            </w:r>
          </w:p>
        </w:tc>
        <w:tc>
          <w:tcPr>
            <w:tcW w:type="pct" w:w="887"/>
            <w:tcMar>
              <w:top w:w="0" w:type="dxa"/>
              <w:left w:w="0" w:type="dxa"/>
              <w:bottom w:w="0" w:type="dxa"/>
              <w:right w:w="0" w:type="dxa"/>
            </w:tcMar>
            <w:tcBorders>
              <w:top w:val="none" w:color="000000" w:sz="0" w:space="0"/>
              <w:left w:val="none" w:color="000000" w:sz="0" w:space="0"/>
              <w:bottom w:val="none" w:color="000000" w:sz="0" w:space="0"/>
              <w:right w:val="none" w:color="000000" w:sz="0" w:space="0"/>
            </w:tcBorders>
            <w:shd w:fill="FFFFFF" w:color="auto" w:val="clear"/>
            <w:vAlign w:val="top"/>
          </w:tcPr>
          <w:p>
            <w:pPr>
              <w:pBdr>
                <w:top w:val="none" w:color="000000" w:sz="0" w:space="0"/>
                <w:left w:val="none" w:color="000000" w:sz="0" w:space="0"/>
                <w:bottom w:val="none" w:color="000000" w:sz="0" w:space="0"/>
                <w:right w:val="none" w:color="000000" w:sz="0" w:space="0"/>
              </w:pBdr>
              <w:pStyle w:val="Normal"/>
              <w:spacing w:before="120" w:after="120"/>
              <w:ind w:left="120" w:right="120"/>
              <w:rPr>
                <w:rFonts w:ascii="Times New Roman" w:eastAsia="Arial" w:hAnsi="Times New Roman" w:cs="Times New Roman"/>
                <w:color w:val="000000"/>
                <w:sz w:val="24"/>
                <w:szCs w:val="24"/>
              </w:rPr>
            </w:pPr>
            <w:r>
              <w:rPr>
                <w:rFonts w:ascii="Times New Roman" w:eastAsia="Arial" w:hAnsi="Times New Roman" w:cs="Times New Roman"/>
                <w:color w:val="000000"/>
                <w:sz w:val="24"/>
                <w:szCs w:val="24"/>
              </w:rPr>
              <w:t xml:space="preserve">(0.020)</w:t>
            </w:r>
          </w:p>
        </w:tc>
        <w:tc>
          <w:tcPr>
            <w:tcW w:type="pct" w:w="1089"/>
            <w:tcMar>
              <w:top w:w="0" w:type="dxa"/>
              <w:left w:w="0" w:type="dxa"/>
              <w:bottom w:w="0" w:type="dxa"/>
              <w:right w:w="0" w:type="dxa"/>
            </w:tcMar>
            <w:tcBorders>
              <w:top w:val="none" w:color="000000" w:sz="0" w:space="0"/>
              <w:left w:val="none" w:color="000000" w:sz="0" w:space="0"/>
              <w:bottom w:val="none" w:color="000000" w:sz="0" w:space="0"/>
              <w:right w:val="none" w:color="000000" w:sz="0" w:space="0"/>
            </w:tcBorders>
            <w:shd w:fill="FFFFFF" w:color="auto" w:val="clear"/>
            <w:vAlign w:val="top"/>
          </w:tcPr>
          <w:p>
            <w:pPr>
              <w:pBdr>
                <w:top w:val="none" w:color="000000" w:sz="0" w:space="0"/>
                <w:left w:val="none" w:color="000000" w:sz="0" w:space="0"/>
                <w:bottom w:val="none" w:color="000000" w:sz="0" w:space="0"/>
                <w:right w:val="none" w:color="000000" w:sz="0" w:space="0"/>
              </w:pBdr>
              <w:pStyle w:val="Normal"/>
              <w:spacing w:before="120" w:after="120"/>
              <w:ind w:left="120" w:right="120"/>
              <w:rPr>
                <w:rFonts w:ascii="Times New Roman" w:eastAsia="Arial" w:hAnsi="Times New Roman" w:cs="Times New Roman"/>
                <w:color w:val="000000"/>
                <w:sz w:val="24"/>
                <w:szCs w:val="24"/>
              </w:rPr>
            </w:pPr>
            <w:r>
              <w:rPr>
                <w:rFonts w:ascii="Times New Roman" w:eastAsia="Arial" w:hAnsi="Times New Roman" w:cs="Times New Roman"/>
                <w:color w:val="000000"/>
                <w:sz w:val="24"/>
                <w:szCs w:val="24"/>
              </w:rPr>
              <w:t xml:space="preserve">(0.024)</w:t>
            </w:r>
          </w:p>
        </w:tc>
      </w:tr>
      <w:tr>
        <w:tblPrEx>
          <w:tblBorders>
            <w:top w:val="none" w:sz="0" w:space="0"/>
            <w:left w:val="none" w:sz="0" w:space="0"/>
            <w:bottom w:val="none" w:sz="0" w:space="0"/>
            <w:right w:val="none" w:sz="0" w:space="0"/>
            <w:insideH w:val="none" w:sz="0" w:space="0"/>
            <w:insideV w:val="none" w:sz="0" w:space="0"/>
          </w:tblBorders>
        </w:tblPrEx>
        <w:trPr>
          <w:trHeight w:hRule="atLeast" w:val="20"/>
        </w:trPr>
        <w:tc>
          <w:tcPr>
            <w:tcW w:type="pct" w:w="2137"/>
            <w:tcMar>
              <w:top w:w="0" w:type="dxa"/>
              <w:left w:w="0" w:type="dxa"/>
              <w:bottom w:w="0" w:type="dxa"/>
              <w:right w:w="0" w:type="dxa"/>
            </w:tcMar>
            <w:tcBorders>
              <w:top w:val="none" w:color="000000" w:sz="0" w:space="0"/>
              <w:left w:val="none" w:color="000000" w:sz="0" w:space="0"/>
              <w:bottom w:val="none" w:color="000000" w:sz="0" w:space="0"/>
              <w:right w:val="none" w:color="000000" w:sz="0" w:space="0"/>
            </w:tcBorders>
            <w:shd w:fill="FFFFFF" w:color="auto" w:val="clear"/>
            <w:vAlign w:val="top"/>
          </w:tcPr>
          <w:p>
            <w:pPr>
              <w:pBdr>
                <w:top w:val="none" w:color="000000" w:sz="0" w:space="0"/>
                <w:left w:val="none" w:color="000000" w:sz="0" w:space="0"/>
                <w:bottom w:val="none" w:color="000000" w:sz="0" w:space="0"/>
                <w:right w:val="none" w:color="000000" w:sz="0" w:space="0"/>
              </w:pBdr>
              <w:pStyle w:val="Normal"/>
              <w:spacing w:before="120" w:after="120"/>
              <w:ind w:left="120" w:right="120"/>
              <w:rPr>
                <w:rFonts w:ascii="Times New Roman" w:eastAsia="Arial" w:hAnsi="Times New Roman" w:cs="Times New Roman"/>
                <w:color w:val="000000"/>
                <w:sz w:val="24"/>
                <w:szCs w:val="24"/>
              </w:rPr>
            </w:pPr>
            <w:r>
              <w:rPr>
                <w:rFonts w:ascii="Times New Roman" w:eastAsia="Arial" w:hAnsi="Times New Roman" w:cs="Times New Roman"/>
                <w:color w:val="000000"/>
                <w:sz w:val="24"/>
                <w:szCs w:val="24"/>
              </w:rPr>
              <w:t xml:space="preserve">Individualism</w:t>
            </w:r>
          </w:p>
        </w:tc>
        <w:tc>
          <w:tcPr>
            <w:tcW w:type="pct" w:w="887"/>
            <w:tcMar>
              <w:top w:w="0" w:type="dxa"/>
              <w:left w:w="0" w:type="dxa"/>
              <w:bottom w:w="0" w:type="dxa"/>
              <w:right w:w="0" w:type="dxa"/>
            </w:tcMar>
            <w:tcBorders>
              <w:top w:val="none" w:color="000000" w:sz="0" w:space="0"/>
              <w:left w:val="none" w:color="000000" w:sz="0" w:space="0"/>
              <w:bottom w:val="none" w:color="000000" w:sz="0" w:space="0"/>
              <w:right w:val="none" w:color="000000" w:sz="0" w:space="0"/>
            </w:tcBorders>
            <w:shd w:fill="FFFFFF" w:color="auto" w:val="clear"/>
            <w:vAlign w:val="top"/>
          </w:tcPr>
          <w:p>
            <w:pPr>
              <w:pBdr>
                <w:top w:val="none" w:color="000000" w:sz="0" w:space="0"/>
                <w:left w:val="none" w:color="000000" w:sz="0" w:space="0"/>
                <w:bottom w:val="none" w:color="000000" w:sz="0" w:space="0"/>
                <w:right w:val="none" w:color="000000" w:sz="0" w:space="0"/>
              </w:pBdr>
              <w:pStyle w:val="Normal"/>
              <w:spacing w:before="120" w:after="120"/>
              <w:ind w:left="120" w:right="120"/>
              <w:rPr>
                <w:rFonts w:ascii="Times New Roman" w:eastAsia="Arial" w:hAnsi="Times New Roman" w:cs="Times New Roman"/>
                <w:color w:val="000000"/>
                <w:sz w:val="24"/>
                <w:szCs w:val="24"/>
              </w:rPr>
            </w:pPr>
            <w:r>
              <w:rPr>
                <w:rFonts w:ascii="Times New Roman" w:eastAsia="Arial" w:hAnsi="Times New Roman" w:cs="Times New Roman"/>
                <w:color w:val="000000"/>
                <w:sz w:val="24"/>
                <w:szCs w:val="24"/>
              </w:rPr>
              <w:t xml:space="preserve">0.080***</w:t>
            </w:r>
          </w:p>
        </w:tc>
        <w:tc>
          <w:tcPr>
            <w:tcW w:type="pct" w:w="887"/>
            <w:tcMar>
              <w:top w:w="0" w:type="dxa"/>
              <w:left w:w="0" w:type="dxa"/>
              <w:bottom w:w="0" w:type="dxa"/>
              <w:right w:w="0" w:type="dxa"/>
            </w:tcMar>
            <w:tcBorders>
              <w:top w:val="none" w:color="000000" w:sz="0" w:space="0"/>
              <w:left w:val="none" w:color="000000" w:sz="0" w:space="0"/>
              <w:bottom w:val="none" w:color="000000" w:sz="0" w:space="0"/>
              <w:right w:val="none" w:color="000000" w:sz="0" w:space="0"/>
            </w:tcBorders>
            <w:shd w:fill="FFFFFF" w:color="auto" w:val="clear"/>
            <w:vAlign w:val="top"/>
          </w:tcPr>
          <w:p>
            <w:pPr>
              <w:pBdr>
                <w:top w:val="none" w:color="000000" w:sz="0" w:space="0"/>
                <w:left w:val="none" w:color="000000" w:sz="0" w:space="0"/>
                <w:bottom w:val="none" w:color="000000" w:sz="0" w:space="0"/>
                <w:right w:val="none" w:color="000000" w:sz="0" w:space="0"/>
              </w:pBdr>
              <w:pStyle w:val="Normal"/>
              <w:spacing w:before="120" w:after="120"/>
              <w:ind w:left="120" w:right="120"/>
              <w:rPr>
                <w:rFonts w:ascii="Times New Roman" w:eastAsia="Arial" w:hAnsi="Times New Roman" w:cs="Times New Roman"/>
                <w:color w:val="000000"/>
                <w:sz w:val="24"/>
                <w:szCs w:val="24"/>
              </w:rPr>
            </w:pPr>
            <w:r>
              <w:rPr>
                <w:rFonts w:ascii="Times New Roman" w:eastAsia="Arial" w:hAnsi="Times New Roman" w:cs="Times New Roman"/>
                <w:color w:val="000000"/>
                <w:sz w:val="24"/>
                <w:szCs w:val="24"/>
              </w:rPr>
              <w:t xml:space="preserve">0.117***</w:t>
            </w:r>
          </w:p>
        </w:tc>
        <w:tc>
          <w:tcPr>
            <w:tcW w:type="pct" w:w="1089"/>
            <w:tcMar>
              <w:top w:w="0" w:type="dxa"/>
              <w:left w:w="0" w:type="dxa"/>
              <w:bottom w:w="0" w:type="dxa"/>
              <w:right w:w="0" w:type="dxa"/>
            </w:tcMar>
            <w:tcBorders>
              <w:top w:val="none" w:color="000000" w:sz="0" w:space="0"/>
              <w:left w:val="none" w:color="000000" w:sz="0" w:space="0"/>
              <w:bottom w:val="none" w:color="000000" w:sz="0" w:space="0"/>
              <w:right w:val="none" w:color="000000" w:sz="0" w:space="0"/>
            </w:tcBorders>
            <w:shd w:fill="FFFFFF" w:color="auto" w:val="clear"/>
            <w:vAlign w:val="top"/>
          </w:tcPr>
          <w:p>
            <w:pPr>
              <w:pBdr>
                <w:top w:val="none" w:color="000000" w:sz="0" w:space="0"/>
                <w:left w:val="none" w:color="000000" w:sz="0" w:space="0"/>
                <w:bottom w:val="none" w:color="000000" w:sz="0" w:space="0"/>
                <w:right w:val="none" w:color="000000" w:sz="0" w:space="0"/>
              </w:pBdr>
              <w:pStyle w:val="Normal"/>
              <w:spacing w:before="120" w:after="120"/>
              <w:ind w:left="120" w:right="120"/>
              <w:rPr>
                <w:rFonts w:ascii="Times New Roman" w:eastAsia="Arial" w:hAnsi="Times New Roman" w:cs="Times New Roman"/>
                <w:color w:val="000000"/>
                <w:sz w:val="24"/>
                <w:szCs w:val="24"/>
              </w:rPr>
            </w:pPr>
            <w:r>
              <w:rPr>
                <w:rFonts w:ascii="Times New Roman" w:eastAsia="Arial" w:hAnsi="Times New Roman" w:cs="Times New Roman"/>
                <w:color w:val="000000"/>
                <w:sz w:val="24"/>
                <w:szCs w:val="24"/>
              </w:rPr>
              <w:t xml:space="preserve">-0.030</w:t>
            </w:r>
          </w:p>
        </w:tc>
      </w:tr>
      <w:tr>
        <w:tblPrEx>
          <w:tblBorders>
            <w:top w:val="none" w:sz="0" w:space="0"/>
            <w:left w:val="none" w:sz="0" w:space="0"/>
            <w:bottom w:val="none" w:sz="0" w:space="0"/>
            <w:right w:val="none" w:sz="0" w:space="0"/>
            <w:insideH w:val="none" w:sz="0" w:space="0"/>
            <w:insideV w:val="none" w:sz="0" w:space="0"/>
          </w:tblBorders>
        </w:tblPrEx>
        <w:trPr>
          <w:trHeight w:hRule="atLeast" w:val="20"/>
        </w:trPr>
        <w:tc>
          <w:tcPr>
            <w:tcW w:type="pct" w:w="2137"/>
            <w:tcMar>
              <w:top w:w="0" w:type="dxa"/>
              <w:left w:w="0" w:type="dxa"/>
              <w:bottom w:w="0" w:type="dxa"/>
              <w:right w:w="0" w:type="dxa"/>
            </w:tcMar>
            <w:tcBorders>
              <w:top w:val="none" w:color="000000" w:sz="0" w:space="0"/>
              <w:left w:val="none" w:color="000000" w:sz="0" w:space="0"/>
              <w:bottom w:val="none" w:color="000000" w:sz="0" w:space="0"/>
              <w:right w:val="none" w:color="000000" w:sz="0" w:space="0"/>
            </w:tcBorders>
            <w:shd w:fill="FFFFFF" w:color="auto" w:val="clear"/>
            <w:vAlign w:val="top"/>
          </w:tcPr>
          <w:p>
            <w:pPr>
              <w:pBdr>
                <w:top w:val="none" w:color="000000" w:sz="0" w:space="0"/>
                <w:left w:val="none" w:color="000000" w:sz="0" w:space="0"/>
                <w:bottom w:val="none" w:color="000000" w:sz="0" w:space="0"/>
                <w:right w:val="none" w:color="000000" w:sz="0" w:space="0"/>
              </w:pBdr>
              <w:pStyle w:val="Normal"/>
              <w:spacing w:before="120" w:after="120"/>
              <w:ind w:left="120" w:right="120"/>
              <w:rPr>
                <w:rFonts w:ascii="Times New Roman" w:eastAsia="Arial" w:hAnsi="Times New Roman" w:cs="Times New Roman"/>
                <w:color w:val="000000"/>
                <w:sz w:val="24"/>
                <w:szCs w:val="24"/>
              </w:rPr>
            </w:pPr>
          </w:p>
        </w:tc>
        <w:tc>
          <w:tcPr>
            <w:tcW w:type="pct" w:w="887"/>
            <w:tcMar>
              <w:top w:w="0" w:type="dxa"/>
              <w:left w:w="0" w:type="dxa"/>
              <w:bottom w:w="0" w:type="dxa"/>
              <w:right w:w="0" w:type="dxa"/>
            </w:tcMar>
            <w:tcBorders>
              <w:top w:val="none" w:color="000000" w:sz="0" w:space="0"/>
              <w:left w:val="none" w:color="000000" w:sz="0" w:space="0"/>
              <w:bottom w:val="none" w:color="000000" w:sz="0" w:space="0"/>
              <w:right w:val="none" w:color="000000" w:sz="0" w:space="0"/>
            </w:tcBorders>
            <w:shd w:fill="FFFFFF" w:color="auto" w:val="clear"/>
            <w:vAlign w:val="top"/>
          </w:tcPr>
          <w:p>
            <w:pPr>
              <w:pBdr>
                <w:top w:val="none" w:color="000000" w:sz="0" w:space="0"/>
                <w:left w:val="none" w:color="000000" w:sz="0" w:space="0"/>
                <w:bottom w:val="none" w:color="000000" w:sz="0" w:space="0"/>
                <w:right w:val="none" w:color="000000" w:sz="0" w:space="0"/>
              </w:pBdr>
              <w:pStyle w:val="Normal"/>
              <w:spacing w:before="120" w:after="120"/>
              <w:ind w:left="120" w:right="120"/>
              <w:rPr>
                <w:rFonts w:ascii="Times New Roman" w:eastAsia="Arial" w:hAnsi="Times New Roman" w:cs="Times New Roman"/>
                <w:color w:val="000000"/>
                <w:sz w:val="24"/>
                <w:szCs w:val="24"/>
              </w:rPr>
            </w:pPr>
            <w:r>
              <w:rPr>
                <w:rFonts w:ascii="Times New Roman" w:eastAsia="Arial" w:hAnsi="Times New Roman" w:cs="Times New Roman"/>
                <w:color w:val="000000"/>
                <w:sz w:val="24"/>
                <w:szCs w:val="24"/>
              </w:rPr>
              <w:t xml:space="preserve">(0.018)</w:t>
            </w:r>
          </w:p>
        </w:tc>
        <w:tc>
          <w:tcPr>
            <w:tcW w:type="pct" w:w="887"/>
            <w:tcMar>
              <w:top w:w="0" w:type="dxa"/>
              <w:left w:w="0" w:type="dxa"/>
              <w:bottom w:w="0" w:type="dxa"/>
              <w:right w:w="0" w:type="dxa"/>
            </w:tcMar>
            <w:tcBorders>
              <w:top w:val="none" w:color="000000" w:sz="0" w:space="0"/>
              <w:left w:val="none" w:color="000000" w:sz="0" w:space="0"/>
              <w:bottom w:val="none" w:color="000000" w:sz="0" w:space="0"/>
              <w:right w:val="none" w:color="000000" w:sz="0" w:space="0"/>
            </w:tcBorders>
            <w:shd w:fill="FFFFFF" w:color="auto" w:val="clear"/>
            <w:vAlign w:val="top"/>
          </w:tcPr>
          <w:p>
            <w:pPr>
              <w:pBdr>
                <w:top w:val="none" w:color="000000" w:sz="0" w:space="0"/>
                <w:left w:val="none" w:color="000000" w:sz="0" w:space="0"/>
                <w:bottom w:val="none" w:color="000000" w:sz="0" w:space="0"/>
                <w:right w:val="none" w:color="000000" w:sz="0" w:space="0"/>
              </w:pBdr>
              <w:pStyle w:val="Normal"/>
              <w:spacing w:before="120" w:after="120"/>
              <w:ind w:left="120" w:right="120"/>
              <w:rPr>
                <w:rFonts w:ascii="Times New Roman" w:eastAsia="Arial" w:hAnsi="Times New Roman" w:cs="Times New Roman"/>
                <w:color w:val="000000"/>
                <w:sz w:val="24"/>
                <w:szCs w:val="24"/>
              </w:rPr>
            </w:pPr>
            <w:r>
              <w:rPr>
                <w:rFonts w:ascii="Times New Roman" w:eastAsia="Arial" w:hAnsi="Times New Roman" w:cs="Times New Roman"/>
                <w:color w:val="000000"/>
                <w:sz w:val="24"/>
                <w:szCs w:val="24"/>
              </w:rPr>
              <w:t xml:space="preserve">(0.020)</w:t>
            </w:r>
          </w:p>
        </w:tc>
        <w:tc>
          <w:tcPr>
            <w:tcW w:type="pct" w:w="1089"/>
            <w:tcMar>
              <w:top w:w="0" w:type="dxa"/>
              <w:left w:w="0" w:type="dxa"/>
              <w:bottom w:w="0" w:type="dxa"/>
              <w:right w:w="0" w:type="dxa"/>
            </w:tcMar>
            <w:tcBorders>
              <w:top w:val="none" w:color="000000" w:sz="0" w:space="0"/>
              <w:left w:val="none" w:color="000000" w:sz="0" w:space="0"/>
              <w:bottom w:val="none" w:color="000000" w:sz="0" w:space="0"/>
              <w:right w:val="none" w:color="000000" w:sz="0" w:space="0"/>
            </w:tcBorders>
            <w:shd w:fill="FFFFFF" w:color="auto" w:val="clear"/>
            <w:vAlign w:val="top"/>
          </w:tcPr>
          <w:p>
            <w:pPr>
              <w:pBdr>
                <w:top w:val="none" w:color="000000" w:sz="0" w:space="0"/>
                <w:left w:val="none" w:color="000000" w:sz="0" w:space="0"/>
                <w:bottom w:val="none" w:color="000000" w:sz="0" w:space="0"/>
                <w:right w:val="none" w:color="000000" w:sz="0" w:space="0"/>
              </w:pBdr>
              <w:pStyle w:val="Normal"/>
              <w:spacing w:before="120" w:after="120"/>
              <w:ind w:left="120" w:right="120"/>
              <w:rPr>
                <w:rFonts w:ascii="Times New Roman" w:eastAsia="Arial" w:hAnsi="Times New Roman" w:cs="Times New Roman"/>
                <w:color w:val="000000"/>
                <w:sz w:val="24"/>
                <w:szCs w:val="24"/>
              </w:rPr>
            </w:pPr>
            <w:r>
              <w:rPr>
                <w:rFonts w:ascii="Times New Roman" w:eastAsia="Arial" w:hAnsi="Times New Roman" w:cs="Times New Roman"/>
                <w:color w:val="000000"/>
                <w:sz w:val="24"/>
                <w:szCs w:val="24"/>
              </w:rPr>
              <w:t xml:space="preserve">(0.025)</w:t>
            </w:r>
          </w:p>
        </w:tc>
      </w:tr>
      <w:tr>
        <w:tblPrEx>
          <w:tblBorders>
            <w:top w:val="none" w:sz="0" w:space="0"/>
            <w:left w:val="none" w:sz="0" w:space="0"/>
            <w:bottom w:val="none" w:sz="0" w:space="0"/>
            <w:right w:val="none" w:sz="0" w:space="0"/>
            <w:insideH w:val="none" w:sz="0" w:space="0"/>
            <w:insideV w:val="none" w:sz="0" w:space="0"/>
          </w:tblBorders>
        </w:tblPrEx>
        <w:trPr>
          <w:trHeight w:hRule="atLeast" w:val="20"/>
        </w:trPr>
        <w:tc>
          <w:tcPr>
            <w:tcW w:type="pct" w:w="2137"/>
            <w:tcMar>
              <w:top w:w="0" w:type="dxa"/>
              <w:left w:w="0" w:type="dxa"/>
              <w:bottom w:w="0" w:type="dxa"/>
              <w:right w:w="0" w:type="dxa"/>
            </w:tcMar>
            <w:tcBorders>
              <w:top w:val="none" w:color="000000" w:sz="0" w:space="0"/>
              <w:left w:val="none" w:color="000000" w:sz="0" w:space="0"/>
              <w:bottom w:val="none" w:color="000000" w:sz="0" w:space="0"/>
              <w:right w:val="none" w:color="000000" w:sz="0" w:space="0"/>
            </w:tcBorders>
            <w:shd w:fill="FFFFFF" w:color="auto" w:val="clear"/>
            <w:vAlign w:val="top"/>
          </w:tcPr>
          <w:p>
            <w:pPr>
              <w:pBdr>
                <w:top w:val="none" w:color="000000" w:sz="0" w:space="0"/>
                <w:left w:val="none" w:color="000000" w:sz="0" w:space="0"/>
                <w:bottom w:val="none" w:color="000000" w:sz="0" w:space="0"/>
                <w:right w:val="none" w:color="000000" w:sz="0" w:space="0"/>
              </w:pBdr>
              <w:pStyle w:val="Normal"/>
              <w:spacing w:before="120" w:after="120"/>
              <w:ind w:left="120" w:right="120"/>
              <w:rPr>
                <w:rFonts w:ascii="Times New Roman" w:eastAsia="Arial" w:hAnsi="Times New Roman" w:cs="Times New Roman"/>
                <w:color w:val="000000"/>
                <w:sz w:val="24"/>
                <w:szCs w:val="24"/>
              </w:rPr>
            </w:pPr>
            <w:r>
              <w:rPr>
                <w:rFonts w:ascii="Times New Roman" w:eastAsia="Arial" w:hAnsi="Times New Roman" w:cs="Times New Roman"/>
                <w:color w:val="000000"/>
                <w:sz w:val="24"/>
                <w:szCs w:val="24"/>
              </w:rPr>
              <w:t xml:space="preserve">Fatalism</w:t>
            </w:r>
          </w:p>
        </w:tc>
        <w:tc>
          <w:tcPr>
            <w:tcW w:type="pct" w:w="887"/>
            <w:tcMar>
              <w:top w:w="0" w:type="dxa"/>
              <w:left w:w="0" w:type="dxa"/>
              <w:bottom w:w="0" w:type="dxa"/>
              <w:right w:w="0" w:type="dxa"/>
            </w:tcMar>
            <w:tcBorders>
              <w:top w:val="none" w:color="000000" w:sz="0" w:space="0"/>
              <w:left w:val="none" w:color="000000" w:sz="0" w:space="0"/>
              <w:bottom w:val="none" w:color="000000" w:sz="0" w:space="0"/>
              <w:right w:val="none" w:color="000000" w:sz="0" w:space="0"/>
            </w:tcBorders>
            <w:shd w:fill="FFFFFF" w:color="auto" w:val="clear"/>
            <w:vAlign w:val="top"/>
          </w:tcPr>
          <w:p>
            <w:pPr>
              <w:pBdr>
                <w:top w:val="none" w:color="000000" w:sz="0" w:space="0"/>
                <w:left w:val="none" w:color="000000" w:sz="0" w:space="0"/>
                <w:bottom w:val="none" w:color="000000" w:sz="0" w:space="0"/>
                <w:right w:val="none" w:color="000000" w:sz="0" w:space="0"/>
              </w:pBdr>
              <w:pStyle w:val="Normal"/>
              <w:spacing w:before="120" w:after="120"/>
              <w:ind w:left="120" w:right="120"/>
              <w:rPr>
                <w:rFonts w:ascii="Times New Roman" w:eastAsia="Arial" w:hAnsi="Times New Roman" w:cs="Times New Roman"/>
                <w:color w:val="000000"/>
                <w:sz w:val="24"/>
                <w:szCs w:val="24"/>
              </w:rPr>
            </w:pPr>
            <w:r>
              <w:rPr>
                <w:rFonts w:ascii="Times New Roman" w:eastAsia="Arial" w:hAnsi="Times New Roman" w:cs="Times New Roman"/>
                <w:color w:val="000000"/>
                <w:sz w:val="24"/>
                <w:szCs w:val="24"/>
              </w:rPr>
              <w:t xml:space="preserve">0.016</w:t>
            </w:r>
          </w:p>
        </w:tc>
        <w:tc>
          <w:tcPr>
            <w:tcW w:type="pct" w:w="887"/>
            <w:tcMar>
              <w:top w:w="0" w:type="dxa"/>
              <w:left w:w="0" w:type="dxa"/>
              <w:bottom w:w="0" w:type="dxa"/>
              <w:right w:w="0" w:type="dxa"/>
            </w:tcMar>
            <w:tcBorders>
              <w:top w:val="none" w:color="000000" w:sz="0" w:space="0"/>
              <w:left w:val="none" w:color="000000" w:sz="0" w:space="0"/>
              <w:bottom w:val="none" w:color="000000" w:sz="0" w:space="0"/>
              <w:right w:val="none" w:color="000000" w:sz="0" w:space="0"/>
            </w:tcBorders>
            <w:shd w:fill="FFFFFF" w:color="auto" w:val="clear"/>
            <w:vAlign w:val="top"/>
          </w:tcPr>
          <w:p>
            <w:pPr>
              <w:pBdr>
                <w:top w:val="none" w:color="000000" w:sz="0" w:space="0"/>
                <w:left w:val="none" w:color="000000" w:sz="0" w:space="0"/>
                <w:bottom w:val="none" w:color="000000" w:sz="0" w:space="0"/>
                <w:right w:val="none" w:color="000000" w:sz="0" w:space="0"/>
              </w:pBdr>
              <w:pStyle w:val="Normal"/>
              <w:spacing w:before="120" w:after="120"/>
              <w:ind w:left="120" w:right="120"/>
              <w:rPr>
                <w:rFonts w:ascii="Times New Roman" w:eastAsia="Arial" w:hAnsi="Times New Roman" w:cs="Times New Roman"/>
                <w:color w:val="000000"/>
                <w:sz w:val="24"/>
                <w:szCs w:val="24"/>
              </w:rPr>
            </w:pPr>
            <w:r>
              <w:rPr>
                <w:rFonts w:ascii="Times New Roman" w:eastAsia="Arial" w:hAnsi="Times New Roman" w:cs="Times New Roman"/>
                <w:color w:val="000000"/>
                <w:sz w:val="24"/>
                <w:szCs w:val="24"/>
              </w:rPr>
              <w:t xml:space="preserve">-0.035+</w:t>
            </w:r>
          </w:p>
        </w:tc>
        <w:tc>
          <w:tcPr>
            <w:tcW w:type="pct" w:w="1089"/>
            <w:tcMar>
              <w:top w:w="0" w:type="dxa"/>
              <w:left w:w="0" w:type="dxa"/>
              <w:bottom w:w="0" w:type="dxa"/>
              <w:right w:w="0" w:type="dxa"/>
            </w:tcMar>
            <w:tcBorders>
              <w:top w:val="none" w:color="000000" w:sz="0" w:space="0"/>
              <w:left w:val="none" w:color="000000" w:sz="0" w:space="0"/>
              <w:bottom w:val="none" w:color="000000" w:sz="0" w:space="0"/>
              <w:right w:val="none" w:color="000000" w:sz="0" w:space="0"/>
            </w:tcBorders>
            <w:shd w:fill="FFFFFF" w:color="auto" w:val="clear"/>
            <w:vAlign w:val="top"/>
          </w:tcPr>
          <w:p>
            <w:pPr>
              <w:pBdr>
                <w:top w:val="none" w:color="000000" w:sz="0" w:space="0"/>
                <w:left w:val="none" w:color="000000" w:sz="0" w:space="0"/>
                <w:bottom w:val="none" w:color="000000" w:sz="0" w:space="0"/>
                <w:right w:val="none" w:color="000000" w:sz="0" w:space="0"/>
              </w:pBdr>
              <w:pStyle w:val="Normal"/>
              <w:spacing w:before="120" w:after="120"/>
              <w:ind w:left="120" w:right="120"/>
              <w:rPr>
                <w:rFonts w:ascii="Times New Roman" w:eastAsia="Arial" w:hAnsi="Times New Roman" w:cs="Times New Roman"/>
                <w:color w:val="000000"/>
                <w:sz w:val="24"/>
                <w:szCs w:val="24"/>
              </w:rPr>
            </w:pPr>
            <w:r>
              <w:rPr>
                <w:rFonts w:ascii="Times New Roman" w:eastAsia="Arial" w:hAnsi="Times New Roman" w:cs="Times New Roman"/>
                <w:color w:val="000000"/>
                <w:sz w:val="24"/>
                <w:szCs w:val="24"/>
              </w:rPr>
              <w:t xml:space="preserve">0.053*</w:t>
            </w:r>
          </w:p>
        </w:tc>
      </w:tr>
      <w:tr>
        <w:tblPrEx>
          <w:tblBorders>
            <w:top w:val="none" w:sz="0" w:space="0"/>
            <w:left w:val="none" w:sz="0" w:space="0"/>
            <w:bottom w:val="none" w:sz="0" w:space="0"/>
            <w:right w:val="none" w:sz="0" w:space="0"/>
            <w:insideH w:val="none" w:sz="0" w:space="0"/>
            <w:insideV w:val="none" w:sz="0" w:space="0"/>
          </w:tblBorders>
        </w:tblPrEx>
        <w:trPr>
          <w:trHeight w:hRule="atLeast" w:val="20"/>
        </w:trPr>
        <w:tc>
          <w:tcPr>
            <w:tcW w:type="pct" w:w="2137"/>
            <w:tcMar>
              <w:top w:w="0" w:type="dxa"/>
              <w:left w:w="0" w:type="dxa"/>
              <w:bottom w:w="0" w:type="dxa"/>
              <w:right w:w="0" w:type="dxa"/>
            </w:tcMar>
            <w:tcBorders>
              <w:top w:val="none" w:color="000000" w:sz="0" w:space="0"/>
              <w:left w:val="none" w:color="000000" w:sz="0" w:space="0"/>
              <w:bottom w:val="none" w:color="000000" w:sz="0" w:space="0"/>
              <w:right w:val="none" w:color="000000" w:sz="0" w:space="0"/>
            </w:tcBorders>
            <w:shd w:fill="FFFFFF" w:color="auto" w:val="clear"/>
            <w:vAlign w:val="top"/>
          </w:tcPr>
          <w:p>
            <w:pPr>
              <w:pBdr>
                <w:top w:val="none" w:color="000000" w:sz="0" w:space="0"/>
                <w:left w:val="none" w:color="000000" w:sz="0" w:space="0"/>
                <w:bottom w:val="none" w:color="000000" w:sz="0" w:space="0"/>
                <w:right w:val="none" w:color="000000" w:sz="0" w:space="0"/>
              </w:pBdr>
              <w:pStyle w:val="Normal"/>
              <w:spacing w:before="120" w:after="120"/>
              <w:ind w:left="120" w:right="120"/>
              <w:rPr>
                <w:rFonts w:ascii="Times New Roman" w:eastAsia="Arial" w:hAnsi="Times New Roman" w:cs="Times New Roman"/>
                <w:color w:val="000000"/>
                <w:sz w:val="24"/>
                <w:szCs w:val="24"/>
              </w:rPr>
            </w:pPr>
          </w:p>
        </w:tc>
        <w:tc>
          <w:tcPr>
            <w:tcW w:type="pct" w:w="887"/>
            <w:tcMar>
              <w:top w:w="0" w:type="dxa"/>
              <w:left w:w="0" w:type="dxa"/>
              <w:bottom w:w="0" w:type="dxa"/>
              <w:right w:w="0" w:type="dxa"/>
            </w:tcMar>
            <w:tcBorders>
              <w:top w:val="none" w:color="000000" w:sz="0" w:space="0"/>
              <w:left w:val="none" w:color="000000" w:sz="0" w:space="0"/>
              <w:bottom w:val="none" w:color="000000" w:sz="0" w:space="0"/>
              <w:right w:val="none" w:color="000000" w:sz="0" w:space="0"/>
            </w:tcBorders>
            <w:shd w:fill="FFFFFF" w:color="auto" w:val="clear"/>
            <w:vAlign w:val="top"/>
          </w:tcPr>
          <w:p>
            <w:pPr>
              <w:pBdr>
                <w:top w:val="none" w:color="000000" w:sz="0" w:space="0"/>
                <w:left w:val="none" w:color="000000" w:sz="0" w:space="0"/>
                <w:bottom w:val="none" w:color="000000" w:sz="0" w:space="0"/>
                <w:right w:val="none" w:color="000000" w:sz="0" w:space="0"/>
              </w:pBdr>
              <w:pStyle w:val="Normal"/>
              <w:spacing w:before="120" w:after="120"/>
              <w:ind w:left="120" w:right="120"/>
              <w:rPr>
                <w:rFonts w:ascii="Times New Roman" w:eastAsia="Arial" w:hAnsi="Times New Roman" w:cs="Times New Roman"/>
                <w:color w:val="000000"/>
                <w:sz w:val="24"/>
                <w:szCs w:val="24"/>
              </w:rPr>
            </w:pPr>
            <w:r>
              <w:rPr>
                <w:rFonts w:ascii="Times New Roman" w:eastAsia="Arial" w:hAnsi="Times New Roman" w:cs="Times New Roman"/>
                <w:color w:val="000000"/>
                <w:sz w:val="24"/>
                <w:szCs w:val="24"/>
              </w:rPr>
              <w:t xml:space="preserve">(0.016)</w:t>
            </w:r>
          </w:p>
        </w:tc>
        <w:tc>
          <w:tcPr>
            <w:tcW w:type="pct" w:w="887"/>
            <w:tcMar>
              <w:top w:w="0" w:type="dxa"/>
              <w:left w:w="0" w:type="dxa"/>
              <w:bottom w:w="0" w:type="dxa"/>
              <w:right w:w="0" w:type="dxa"/>
            </w:tcMar>
            <w:tcBorders>
              <w:top w:val="none" w:color="000000" w:sz="0" w:space="0"/>
              <w:left w:val="none" w:color="000000" w:sz="0" w:space="0"/>
              <w:bottom w:val="none" w:color="000000" w:sz="0" w:space="0"/>
              <w:right w:val="none" w:color="000000" w:sz="0" w:space="0"/>
            </w:tcBorders>
            <w:shd w:fill="FFFFFF" w:color="auto" w:val="clear"/>
            <w:vAlign w:val="top"/>
          </w:tcPr>
          <w:p>
            <w:pPr>
              <w:pBdr>
                <w:top w:val="none" w:color="000000" w:sz="0" w:space="0"/>
                <w:left w:val="none" w:color="000000" w:sz="0" w:space="0"/>
                <w:bottom w:val="none" w:color="000000" w:sz="0" w:space="0"/>
                <w:right w:val="none" w:color="000000" w:sz="0" w:space="0"/>
              </w:pBdr>
              <w:pStyle w:val="Normal"/>
              <w:spacing w:before="120" w:after="120"/>
              <w:ind w:left="120" w:right="120"/>
              <w:rPr>
                <w:rFonts w:ascii="Times New Roman" w:eastAsia="Arial" w:hAnsi="Times New Roman" w:cs="Times New Roman"/>
                <w:color w:val="000000"/>
                <w:sz w:val="24"/>
                <w:szCs w:val="24"/>
              </w:rPr>
            </w:pPr>
            <w:r>
              <w:rPr>
                <w:rFonts w:ascii="Times New Roman" w:eastAsia="Arial" w:hAnsi="Times New Roman" w:cs="Times New Roman"/>
                <w:color w:val="000000"/>
                <w:sz w:val="24"/>
                <w:szCs w:val="24"/>
              </w:rPr>
              <w:t xml:space="preserve">(0.019)</w:t>
            </w:r>
          </w:p>
        </w:tc>
        <w:tc>
          <w:tcPr>
            <w:tcW w:type="pct" w:w="1089"/>
            <w:tcMar>
              <w:top w:w="0" w:type="dxa"/>
              <w:left w:w="0" w:type="dxa"/>
              <w:bottom w:w="0" w:type="dxa"/>
              <w:right w:w="0" w:type="dxa"/>
            </w:tcMar>
            <w:tcBorders>
              <w:top w:val="none" w:color="000000" w:sz="0" w:space="0"/>
              <w:left w:val="none" w:color="000000" w:sz="0" w:space="0"/>
              <w:bottom w:val="none" w:color="000000" w:sz="0" w:space="0"/>
              <w:right w:val="none" w:color="000000" w:sz="0" w:space="0"/>
            </w:tcBorders>
            <w:shd w:fill="FFFFFF" w:color="auto" w:val="clear"/>
            <w:vAlign w:val="top"/>
          </w:tcPr>
          <w:p>
            <w:pPr>
              <w:pBdr>
                <w:top w:val="none" w:color="000000" w:sz="0" w:space="0"/>
                <w:left w:val="none" w:color="000000" w:sz="0" w:space="0"/>
                <w:bottom w:val="none" w:color="000000" w:sz="0" w:space="0"/>
                <w:right w:val="none" w:color="000000" w:sz="0" w:space="0"/>
              </w:pBdr>
              <w:pStyle w:val="Normal"/>
              <w:spacing w:before="120" w:after="120"/>
              <w:ind w:left="120" w:right="120"/>
              <w:rPr>
                <w:rFonts w:ascii="Times New Roman" w:eastAsia="Arial" w:hAnsi="Times New Roman" w:cs="Times New Roman"/>
                <w:color w:val="000000"/>
                <w:sz w:val="24"/>
                <w:szCs w:val="24"/>
              </w:rPr>
            </w:pPr>
            <w:r>
              <w:rPr>
                <w:rFonts w:ascii="Times New Roman" w:eastAsia="Arial" w:hAnsi="Times New Roman" w:cs="Times New Roman"/>
                <w:color w:val="000000"/>
                <w:sz w:val="24"/>
                <w:szCs w:val="24"/>
              </w:rPr>
              <w:t xml:space="preserve">(0.023)</w:t>
            </w:r>
          </w:p>
        </w:tc>
      </w:tr>
      <w:tr>
        <w:tblPrEx>
          <w:tblBorders>
            <w:top w:val="none" w:sz="0" w:space="0"/>
            <w:left w:val="none" w:sz="0" w:space="0"/>
            <w:bottom w:val="none" w:sz="0" w:space="0"/>
            <w:right w:val="none" w:sz="0" w:space="0"/>
            <w:insideH w:val="none" w:sz="0" w:space="0"/>
            <w:insideV w:val="none" w:sz="0" w:space="0"/>
          </w:tblBorders>
        </w:tblPrEx>
        <w:trPr>
          <w:trHeight w:hRule="atLeast" w:val="20"/>
        </w:trPr>
        <w:tc>
          <w:tcPr>
            <w:tcW w:type="pct" w:w="2137"/>
            <w:tcMar>
              <w:top w:w="0" w:type="dxa"/>
              <w:left w:w="0" w:type="dxa"/>
              <w:bottom w:w="0" w:type="dxa"/>
              <w:right w:w="0" w:type="dxa"/>
            </w:tcMar>
            <w:tcBorders>
              <w:top w:val="none" w:color="000000" w:sz="0" w:space="0"/>
              <w:left w:val="none" w:color="000000" w:sz="0" w:space="0"/>
              <w:bottom w:val="none" w:color="000000" w:sz="0" w:space="0"/>
              <w:right w:val="none" w:color="000000" w:sz="0" w:space="0"/>
            </w:tcBorders>
            <w:shd w:fill="FFFFFF" w:color="auto" w:val="clear"/>
            <w:vAlign w:val="top"/>
          </w:tcPr>
          <w:p>
            <w:pPr>
              <w:pBdr>
                <w:top w:val="none" w:color="000000" w:sz="0" w:space="0"/>
                <w:left w:val="none" w:color="000000" w:sz="0" w:space="0"/>
                <w:bottom w:val="none" w:color="000000" w:sz="0" w:space="0"/>
                <w:right w:val="none" w:color="000000" w:sz="0" w:space="0"/>
              </w:pBdr>
              <w:pStyle w:val="Normal"/>
              <w:spacing w:before="120" w:after="120"/>
              <w:ind w:left="120" w:right="120"/>
              <w:rPr>
                <w:rFonts w:ascii="Times New Roman" w:eastAsia="Arial" w:hAnsi="Times New Roman" w:cs="Times New Roman"/>
                <w:color w:val="000000"/>
                <w:sz w:val="24"/>
                <w:szCs w:val="24"/>
              </w:rPr>
            </w:pPr>
            <w:r>
              <w:rPr>
                <w:rFonts w:ascii="Times New Roman" w:eastAsia="Arial" w:hAnsi="Times New Roman" w:cs="Times New Roman"/>
                <w:color w:val="000000"/>
                <w:sz w:val="24"/>
                <w:szCs w:val="24"/>
              </w:rPr>
              <w:t xml:space="preserve">Conservative Ideology</w:t>
            </w:r>
          </w:p>
        </w:tc>
        <w:tc>
          <w:tcPr>
            <w:tcW w:type="pct" w:w="887"/>
            <w:tcMar>
              <w:top w:w="0" w:type="dxa"/>
              <w:left w:w="0" w:type="dxa"/>
              <w:bottom w:w="0" w:type="dxa"/>
              <w:right w:w="0" w:type="dxa"/>
            </w:tcMar>
            <w:tcBorders>
              <w:top w:val="none" w:color="000000" w:sz="0" w:space="0"/>
              <w:left w:val="none" w:color="000000" w:sz="0" w:space="0"/>
              <w:bottom w:val="none" w:color="000000" w:sz="0" w:space="0"/>
              <w:right w:val="none" w:color="000000" w:sz="0" w:space="0"/>
            </w:tcBorders>
            <w:shd w:fill="FFFFFF" w:color="auto" w:val="clear"/>
            <w:vAlign w:val="top"/>
          </w:tcPr>
          <w:p>
            <w:pPr>
              <w:pBdr>
                <w:top w:val="none" w:color="000000" w:sz="0" w:space="0"/>
                <w:left w:val="none" w:color="000000" w:sz="0" w:space="0"/>
                <w:bottom w:val="none" w:color="000000" w:sz="0" w:space="0"/>
                <w:right w:val="none" w:color="000000" w:sz="0" w:space="0"/>
              </w:pBdr>
              <w:pStyle w:val="Normal"/>
              <w:spacing w:before="120" w:after="120"/>
              <w:ind w:left="120" w:right="120"/>
              <w:rPr>
                <w:rFonts w:ascii="Times New Roman" w:eastAsia="Arial" w:hAnsi="Times New Roman" w:cs="Times New Roman"/>
                <w:color w:val="000000"/>
                <w:sz w:val="24"/>
                <w:szCs w:val="24"/>
              </w:rPr>
            </w:pPr>
            <w:r>
              <w:rPr>
                <w:rFonts w:ascii="Times New Roman" w:eastAsia="Arial" w:hAnsi="Times New Roman" w:cs="Times New Roman"/>
                <w:color w:val="000000"/>
                <w:sz w:val="24"/>
                <w:szCs w:val="24"/>
              </w:rPr>
              <w:t xml:space="preserve">0.437***</w:t>
            </w:r>
          </w:p>
        </w:tc>
        <w:tc>
          <w:tcPr>
            <w:tcW w:type="pct" w:w="887"/>
            <w:tcMar>
              <w:top w:w="0" w:type="dxa"/>
              <w:left w:w="0" w:type="dxa"/>
              <w:bottom w:w="0" w:type="dxa"/>
              <w:right w:w="0" w:type="dxa"/>
            </w:tcMar>
            <w:tcBorders>
              <w:top w:val="none" w:color="000000" w:sz="0" w:space="0"/>
              <w:left w:val="none" w:color="000000" w:sz="0" w:space="0"/>
              <w:bottom w:val="none" w:color="000000" w:sz="0" w:space="0"/>
              <w:right w:val="none" w:color="000000" w:sz="0" w:space="0"/>
            </w:tcBorders>
            <w:shd w:fill="FFFFFF" w:color="auto" w:val="clear"/>
            <w:vAlign w:val="top"/>
          </w:tcPr>
          <w:p>
            <w:pPr>
              <w:pBdr>
                <w:top w:val="none" w:color="000000" w:sz="0" w:space="0"/>
                <w:left w:val="none" w:color="000000" w:sz="0" w:space="0"/>
                <w:bottom w:val="none" w:color="000000" w:sz="0" w:space="0"/>
                <w:right w:val="none" w:color="000000" w:sz="0" w:space="0"/>
              </w:pBdr>
              <w:pStyle w:val="Normal"/>
              <w:spacing w:before="120" w:after="120"/>
              <w:ind w:left="120" w:right="120"/>
              <w:rPr>
                <w:rFonts w:ascii="Times New Roman" w:eastAsia="Arial" w:hAnsi="Times New Roman" w:cs="Times New Roman"/>
                <w:color w:val="000000"/>
                <w:sz w:val="24"/>
                <w:szCs w:val="24"/>
              </w:rPr>
            </w:pPr>
            <w:r>
              <w:rPr>
                <w:rFonts w:ascii="Times New Roman" w:eastAsia="Arial" w:hAnsi="Times New Roman" w:cs="Times New Roman"/>
                <w:color w:val="000000"/>
                <w:sz w:val="24"/>
                <w:szCs w:val="24"/>
              </w:rPr>
              <w:t xml:space="preserve">0.848***</w:t>
            </w:r>
          </w:p>
        </w:tc>
        <w:tc>
          <w:tcPr>
            <w:tcW w:type="pct" w:w="1089"/>
            <w:tcMar>
              <w:top w:w="0" w:type="dxa"/>
              <w:left w:w="0" w:type="dxa"/>
              <w:bottom w:w="0" w:type="dxa"/>
              <w:right w:w="0" w:type="dxa"/>
            </w:tcMar>
            <w:tcBorders>
              <w:top w:val="none" w:color="000000" w:sz="0" w:space="0"/>
              <w:left w:val="none" w:color="000000" w:sz="0" w:space="0"/>
              <w:bottom w:val="none" w:color="000000" w:sz="0" w:space="0"/>
              <w:right w:val="none" w:color="000000" w:sz="0" w:space="0"/>
            </w:tcBorders>
            <w:shd w:fill="FFFFFF" w:color="auto" w:val="clear"/>
            <w:vAlign w:val="top"/>
          </w:tcPr>
          <w:p>
            <w:pPr>
              <w:pBdr>
                <w:top w:val="none" w:color="000000" w:sz="0" w:space="0"/>
                <w:left w:val="none" w:color="000000" w:sz="0" w:space="0"/>
                <w:bottom w:val="none" w:color="000000" w:sz="0" w:space="0"/>
                <w:right w:val="none" w:color="000000" w:sz="0" w:space="0"/>
              </w:pBdr>
              <w:pStyle w:val="Normal"/>
              <w:spacing w:before="120" w:after="120"/>
              <w:ind w:left="120" w:right="120"/>
              <w:rPr>
                <w:rFonts w:ascii="Times New Roman" w:eastAsia="Arial" w:hAnsi="Times New Roman" w:cs="Times New Roman"/>
                <w:color w:val="000000"/>
                <w:sz w:val="24"/>
                <w:szCs w:val="24"/>
              </w:rPr>
            </w:pPr>
            <w:r>
              <w:rPr>
                <w:rFonts w:ascii="Times New Roman" w:eastAsia="Arial" w:hAnsi="Times New Roman" w:cs="Times New Roman"/>
                <w:color w:val="000000"/>
                <w:sz w:val="24"/>
                <w:szCs w:val="24"/>
              </w:rPr>
              <w:t xml:space="preserve">-0.581***</w:t>
            </w:r>
          </w:p>
        </w:tc>
      </w:tr>
      <w:tr>
        <w:tblPrEx>
          <w:tblBorders>
            <w:top w:val="none" w:sz="0" w:space="0"/>
            <w:left w:val="none" w:sz="0" w:space="0"/>
            <w:bottom w:val="none" w:sz="0" w:space="0"/>
            <w:right w:val="none" w:sz="0" w:space="0"/>
            <w:insideH w:val="none" w:sz="0" w:space="0"/>
            <w:insideV w:val="none" w:sz="0" w:space="0"/>
          </w:tblBorders>
        </w:tblPrEx>
        <w:trPr>
          <w:trHeight w:hRule="atLeast" w:val="20"/>
        </w:trPr>
        <w:tc>
          <w:tcPr>
            <w:tcW w:type="pct" w:w="2137"/>
            <w:tcMar>
              <w:top w:w="0" w:type="dxa"/>
              <w:left w:w="0" w:type="dxa"/>
              <w:bottom w:w="0" w:type="dxa"/>
              <w:right w:w="0" w:type="dxa"/>
            </w:tcMar>
            <w:tcBorders>
              <w:top w:val="none" w:color="000000" w:sz="0" w:space="0"/>
              <w:left w:val="none" w:color="000000" w:sz="0" w:space="0"/>
              <w:bottom w:val="none" w:color="000000" w:sz="0" w:space="0"/>
              <w:right w:val="none" w:color="000000" w:sz="0" w:space="0"/>
            </w:tcBorders>
            <w:shd w:fill="FFFFFF" w:color="auto" w:val="clear"/>
            <w:vAlign w:val="top"/>
          </w:tcPr>
          <w:p>
            <w:pPr>
              <w:pBdr>
                <w:top w:val="none" w:color="000000" w:sz="0" w:space="0"/>
                <w:left w:val="none" w:color="000000" w:sz="0" w:space="0"/>
                <w:bottom w:val="none" w:color="000000" w:sz="0" w:space="0"/>
                <w:right w:val="none" w:color="000000" w:sz="0" w:space="0"/>
              </w:pBdr>
              <w:pStyle w:val="Normal"/>
              <w:spacing w:before="120" w:after="120"/>
              <w:ind w:left="120" w:right="120"/>
              <w:rPr>
                <w:rFonts w:ascii="Times New Roman" w:eastAsia="Arial" w:hAnsi="Times New Roman" w:cs="Times New Roman"/>
                <w:color w:val="000000"/>
                <w:sz w:val="24"/>
                <w:szCs w:val="24"/>
              </w:rPr>
            </w:pPr>
          </w:p>
        </w:tc>
        <w:tc>
          <w:tcPr>
            <w:tcW w:type="pct" w:w="887"/>
            <w:tcMar>
              <w:top w:w="0" w:type="dxa"/>
              <w:left w:w="0" w:type="dxa"/>
              <w:bottom w:w="0" w:type="dxa"/>
              <w:right w:w="0" w:type="dxa"/>
            </w:tcMar>
            <w:tcBorders>
              <w:top w:val="none" w:color="000000" w:sz="0" w:space="0"/>
              <w:left w:val="none" w:color="000000" w:sz="0" w:space="0"/>
              <w:bottom w:val="none" w:color="000000" w:sz="0" w:space="0"/>
              <w:right w:val="none" w:color="000000" w:sz="0" w:space="0"/>
            </w:tcBorders>
            <w:shd w:fill="FFFFFF" w:color="auto" w:val="clear"/>
            <w:vAlign w:val="top"/>
          </w:tcPr>
          <w:p>
            <w:pPr>
              <w:pBdr>
                <w:top w:val="none" w:color="000000" w:sz="0" w:space="0"/>
                <w:left w:val="none" w:color="000000" w:sz="0" w:space="0"/>
                <w:bottom w:val="none" w:color="000000" w:sz="0" w:space="0"/>
                <w:right w:val="none" w:color="000000" w:sz="0" w:space="0"/>
              </w:pBdr>
              <w:pStyle w:val="Normal"/>
              <w:spacing w:before="120" w:after="120"/>
              <w:ind w:left="120" w:right="120"/>
              <w:rPr>
                <w:rFonts w:ascii="Times New Roman" w:eastAsia="Arial" w:hAnsi="Times New Roman" w:cs="Times New Roman"/>
                <w:color w:val="000000"/>
                <w:sz w:val="24"/>
                <w:szCs w:val="24"/>
              </w:rPr>
            </w:pPr>
            <w:r>
              <w:rPr>
                <w:rFonts w:ascii="Times New Roman" w:eastAsia="Arial" w:hAnsi="Times New Roman" w:cs="Times New Roman"/>
                <w:color w:val="000000"/>
                <w:sz w:val="24"/>
                <w:szCs w:val="24"/>
              </w:rPr>
              <w:t xml:space="preserve">(0.042)</w:t>
            </w:r>
          </w:p>
        </w:tc>
        <w:tc>
          <w:tcPr>
            <w:tcW w:type="pct" w:w="887"/>
            <w:tcMar>
              <w:top w:w="0" w:type="dxa"/>
              <w:left w:w="0" w:type="dxa"/>
              <w:bottom w:w="0" w:type="dxa"/>
              <w:right w:w="0" w:type="dxa"/>
            </w:tcMar>
            <w:tcBorders>
              <w:top w:val="none" w:color="000000" w:sz="0" w:space="0"/>
              <w:left w:val="none" w:color="000000" w:sz="0" w:space="0"/>
              <w:bottom w:val="none" w:color="000000" w:sz="0" w:space="0"/>
              <w:right w:val="none" w:color="000000" w:sz="0" w:space="0"/>
            </w:tcBorders>
            <w:shd w:fill="FFFFFF" w:color="auto" w:val="clear"/>
            <w:vAlign w:val="top"/>
          </w:tcPr>
          <w:p>
            <w:pPr>
              <w:pBdr>
                <w:top w:val="none" w:color="000000" w:sz="0" w:space="0"/>
                <w:left w:val="none" w:color="000000" w:sz="0" w:space="0"/>
                <w:bottom w:val="none" w:color="000000" w:sz="0" w:space="0"/>
                <w:right w:val="none" w:color="000000" w:sz="0" w:space="0"/>
              </w:pBdr>
              <w:pStyle w:val="Normal"/>
              <w:spacing w:before="120" w:after="120"/>
              <w:ind w:left="120" w:right="120"/>
              <w:rPr>
                <w:rFonts w:ascii="Times New Roman" w:eastAsia="Arial" w:hAnsi="Times New Roman" w:cs="Times New Roman"/>
                <w:color w:val="000000"/>
                <w:sz w:val="24"/>
                <w:szCs w:val="24"/>
              </w:rPr>
            </w:pPr>
            <w:r>
              <w:rPr>
                <w:rFonts w:ascii="Times New Roman" w:eastAsia="Arial" w:hAnsi="Times New Roman" w:cs="Times New Roman"/>
                <w:color w:val="000000"/>
                <w:sz w:val="24"/>
                <w:szCs w:val="24"/>
              </w:rPr>
              <w:t xml:space="preserve">(0.049)</w:t>
            </w:r>
          </w:p>
        </w:tc>
        <w:tc>
          <w:tcPr>
            <w:tcW w:type="pct" w:w="1089"/>
            <w:tcMar>
              <w:top w:w="0" w:type="dxa"/>
              <w:left w:w="0" w:type="dxa"/>
              <w:bottom w:w="0" w:type="dxa"/>
              <w:right w:w="0" w:type="dxa"/>
            </w:tcMar>
            <w:tcBorders>
              <w:top w:val="none" w:color="000000" w:sz="0" w:space="0"/>
              <w:left w:val="none" w:color="000000" w:sz="0" w:space="0"/>
              <w:bottom w:val="none" w:color="000000" w:sz="0" w:space="0"/>
              <w:right w:val="none" w:color="000000" w:sz="0" w:space="0"/>
            </w:tcBorders>
            <w:shd w:fill="FFFFFF" w:color="auto" w:val="clear"/>
            <w:vAlign w:val="top"/>
          </w:tcPr>
          <w:p>
            <w:pPr>
              <w:pBdr>
                <w:top w:val="none" w:color="000000" w:sz="0" w:space="0"/>
                <w:left w:val="none" w:color="000000" w:sz="0" w:space="0"/>
                <w:bottom w:val="none" w:color="000000" w:sz="0" w:space="0"/>
                <w:right w:val="none" w:color="000000" w:sz="0" w:space="0"/>
              </w:pBdr>
              <w:pStyle w:val="Normal"/>
              <w:spacing w:before="120" w:after="120"/>
              <w:ind w:left="120" w:right="120"/>
              <w:rPr>
                <w:rFonts w:ascii="Times New Roman" w:eastAsia="Arial" w:hAnsi="Times New Roman" w:cs="Times New Roman"/>
                <w:color w:val="000000"/>
                <w:sz w:val="24"/>
                <w:szCs w:val="24"/>
              </w:rPr>
            </w:pPr>
            <w:r>
              <w:rPr>
                <w:rFonts w:ascii="Times New Roman" w:eastAsia="Arial" w:hAnsi="Times New Roman" w:cs="Times New Roman"/>
                <w:color w:val="000000"/>
                <w:sz w:val="24"/>
                <w:szCs w:val="24"/>
              </w:rPr>
              <w:t xml:space="preserve">(0.059)</w:t>
            </w:r>
          </w:p>
        </w:tc>
      </w:tr>
      <w:tr>
        <w:tblPrEx>
          <w:tblBorders>
            <w:top w:val="none" w:sz="0" w:space="0"/>
            <w:left w:val="none" w:sz="0" w:space="0"/>
            <w:bottom w:val="none" w:sz="0" w:space="0"/>
            <w:right w:val="none" w:sz="0" w:space="0"/>
            <w:insideH w:val="none" w:sz="0" w:space="0"/>
            <w:insideV w:val="none" w:sz="0" w:space="0"/>
          </w:tblBorders>
        </w:tblPrEx>
        <w:trPr>
          <w:trHeight w:hRule="atLeast" w:val="20"/>
        </w:trPr>
        <w:tc>
          <w:tcPr>
            <w:tcW w:type="pct" w:w="2137"/>
            <w:tcMar>
              <w:top w:w="0" w:type="dxa"/>
              <w:left w:w="0" w:type="dxa"/>
              <w:bottom w:w="0" w:type="dxa"/>
              <w:right w:w="0" w:type="dxa"/>
            </w:tcMar>
            <w:tcBorders>
              <w:top w:val="none" w:color="000000" w:sz="0" w:space="0"/>
              <w:left w:val="none" w:color="000000" w:sz="0" w:space="0"/>
              <w:bottom w:val="none" w:color="000000" w:sz="0" w:space="0"/>
              <w:right w:val="none" w:color="000000" w:sz="0" w:space="0"/>
            </w:tcBorders>
            <w:shd w:fill="FFFFFF" w:color="auto" w:val="clear"/>
            <w:vAlign w:val="top"/>
          </w:tcPr>
          <w:p>
            <w:pPr>
              <w:pBdr>
                <w:top w:val="none" w:color="000000" w:sz="0" w:space="0"/>
                <w:left w:val="none" w:color="000000" w:sz="0" w:space="0"/>
                <w:bottom w:val="none" w:color="000000" w:sz="0" w:space="0"/>
                <w:right w:val="none" w:color="000000" w:sz="0" w:space="0"/>
              </w:pBdr>
              <w:pStyle w:val="Normal"/>
              <w:spacing w:before="120" w:after="120"/>
              <w:ind w:left="120" w:right="120"/>
              <w:rPr>
                <w:rFonts w:ascii="Times New Roman" w:eastAsia="Arial" w:hAnsi="Times New Roman" w:cs="Times New Roman"/>
                <w:color w:val="000000"/>
                <w:sz w:val="24"/>
                <w:szCs w:val="24"/>
              </w:rPr>
            </w:pPr>
            <w:r>
              <w:rPr>
                <w:rFonts w:ascii="Times New Roman" w:eastAsia="Arial" w:hAnsi="Times New Roman" w:cs="Times New Roman"/>
                <w:color w:val="000000"/>
                <w:sz w:val="24"/>
                <w:szCs w:val="24"/>
              </w:rPr>
              <w:t xml:space="preserve">Received SNAP</w:t>
            </w:r>
          </w:p>
        </w:tc>
        <w:tc>
          <w:tcPr>
            <w:tcW w:type="pct" w:w="887"/>
            <w:tcMar>
              <w:top w:w="0" w:type="dxa"/>
              <w:left w:w="0" w:type="dxa"/>
              <w:bottom w:w="0" w:type="dxa"/>
              <w:right w:w="0" w:type="dxa"/>
            </w:tcMar>
            <w:tcBorders>
              <w:top w:val="none" w:color="000000" w:sz="0" w:space="0"/>
              <w:left w:val="none" w:color="000000" w:sz="0" w:space="0"/>
              <w:bottom w:val="none" w:color="000000" w:sz="0" w:space="0"/>
              <w:right w:val="none" w:color="000000" w:sz="0" w:space="0"/>
            </w:tcBorders>
            <w:shd w:fill="FFFFFF" w:color="auto" w:val="clear"/>
            <w:vAlign w:val="top"/>
          </w:tcPr>
          <w:p>
            <w:pPr>
              <w:pBdr>
                <w:top w:val="none" w:color="000000" w:sz="0" w:space="0"/>
                <w:left w:val="none" w:color="000000" w:sz="0" w:space="0"/>
                <w:bottom w:val="none" w:color="000000" w:sz="0" w:space="0"/>
                <w:right w:val="none" w:color="000000" w:sz="0" w:space="0"/>
              </w:pBdr>
              <w:pStyle w:val="Normal"/>
              <w:spacing w:before="120" w:after="120"/>
              <w:ind w:left="120" w:right="120"/>
              <w:rPr>
                <w:rFonts w:ascii="Times New Roman" w:eastAsia="Arial" w:hAnsi="Times New Roman" w:cs="Times New Roman"/>
                <w:color w:val="000000"/>
                <w:sz w:val="24"/>
                <w:szCs w:val="24"/>
              </w:rPr>
            </w:pPr>
            <w:r>
              <w:rPr>
                <w:rFonts w:ascii="Times New Roman" w:eastAsia="Arial" w:hAnsi="Times New Roman" w:cs="Times New Roman"/>
                <w:color w:val="000000"/>
                <w:sz w:val="24"/>
                <w:szCs w:val="24"/>
              </w:rPr>
              <w:t xml:space="preserve">-0.880***</w:t>
            </w:r>
          </w:p>
        </w:tc>
        <w:tc>
          <w:tcPr>
            <w:tcW w:type="pct" w:w="887"/>
            <w:tcMar>
              <w:top w:w="0" w:type="dxa"/>
              <w:left w:w="0" w:type="dxa"/>
              <w:bottom w:w="0" w:type="dxa"/>
              <w:right w:w="0" w:type="dxa"/>
            </w:tcMar>
            <w:tcBorders>
              <w:top w:val="none" w:color="000000" w:sz="0" w:space="0"/>
              <w:left w:val="none" w:color="000000" w:sz="0" w:space="0"/>
              <w:bottom w:val="none" w:color="000000" w:sz="0" w:space="0"/>
              <w:right w:val="none" w:color="000000" w:sz="0" w:space="0"/>
            </w:tcBorders>
            <w:shd w:fill="FFFFFF" w:color="auto" w:val="clear"/>
            <w:vAlign w:val="top"/>
          </w:tcPr>
          <w:p>
            <w:pPr>
              <w:pBdr>
                <w:top w:val="none" w:color="000000" w:sz="0" w:space="0"/>
                <w:left w:val="none" w:color="000000" w:sz="0" w:space="0"/>
                <w:bottom w:val="none" w:color="000000" w:sz="0" w:space="0"/>
                <w:right w:val="none" w:color="000000" w:sz="0" w:space="0"/>
              </w:pBdr>
              <w:pStyle w:val="Normal"/>
              <w:spacing w:before="120" w:after="120"/>
              <w:ind w:left="120" w:right="120"/>
              <w:rPr>
                <w:rFonts w:ascii="Times New Roman" w:eastAsia="Arial" w:hAnsi="Times New Roman" w:cs="Times New Roman"/>
                <w:color w:val="000000"/>
                <w:sz w:val="24"/>
                <w:szCs w:val="24"/>
              </w:rPr>
            </w:pPr>
            <w:r>
              <w:rPr>
                <w:rFonts w:ascii="Times New Roman" w:eastAsia="Arial" w:hAnsi="Times New Roman" w:cs="Times New Roman"/>
                <w:color w:val="000000"/>
                <w:sz w:val="24"/>
                <w:szCs w:val="24"/>
              </w:rPr>
              <w:t xml:space="preserve">-0.170</w:t>
            </w:r>
          </w:p>
        </w:tc>
        <w:tc>
          <w:tcPr>
            <w:tcW w:type="pct" w:w="1089"/>
            <w:tcMar>
              <w:top w:w="0" w:type="dxa"/>
              <w:left w:w="0" w:type="dxa"/>
              <w:bottom w:w="0" w:type="dxa"/>
              <w:right w:w="0" w:type="dxa"/>
            </w:tcMar>
            <w:tcBorders>
              <w:top w:val="none" w:color="000000" w:sz="0" w:space="0"/>
              <w:left w:val="none" w:color="000000" w:sz="0" w:space="0"/>
              <w:bottom w:val="none" w:color="000000" w:sz="0" w:space="0"/>
              <w:right w:val="none" w:color="000000" w:sz="0" w:space="0"/>
            </w:tcBorders>
            <w:shd w:fill="FFFFFF" w:color="auto" w:val="clear"/>
            <w:vAlign w:val="top"/>
          </w:tcPr>
          <w:p>
            <w:pPr>
              <w:pBdr>
                <w:top w:val="none" w:color="000000" w:sz="0" w:space="0"/>
                <w:left w:val="none" w:color="000000" w:sz="0" w:space="0"/>
                <w:bottom w:val="none" w:color="000000" w:sz="0" w:space="0"/>
                <w:right w:val="none" w:color="000000" w:sz="0" w:space="0"/>
              </w:pBdr>
              <w:pStyle w:val="Normal"/>
              <w:spacing w:before="120" w:after="120"/>
              <w:ind w:left="120" w:right="120"/>
              <w:rPr>
                <w:rFonts w:ascii="Times New Roman" w:eastAsia="Arial" w:hAnsi="Times New Roman" w:cs="Times New Roman"/>
                <w:color w:val="000000"/>
                <w:sz w:val="24"/>
                <w:szCs w:val="24"/>
              </w:rPr>
            </w:pPr>
            <w:r>
              <w:rPr>
                <w:rFonts w:ascii="Times New Roman" w:eastAsia="Arial" w:hAnsi="Times New Roman" w:cs="Times New Roman"/>
                <w:color w:val="000000"/>
                <w:sz w:val="24"/>
                <w:szCs w:val="24"/>
              </w:rPr>
              <w:t xml:space="preserve">0.135</w:t>
            </w:r>
          </w:p>
        </w:tc>
      </w:tr>
      <w:tr>
        <w:tblPrEx>
          <w:tblBorders>
            <w:top w:val="none" w:sz="0" w:space="0"/>
            <w:left w:val="none" w:sz="0" w:space="0"/>
            <w:bottom w:val="none" w:sz="0" w:space="0"/>
            <w:right w:val="none" w:sz="0" w:space="0"/>
            <w:insideH w:val="none" w:sz="0" w:space="0"/>
            <w:insideV w:val="none" w:sz="0" w:space="0"/>
          </w:tblBorders>
        </w:tblPrEx>
        <w:trPr>
          <w:trHeight w:hRule="atLeast" w:val="20"/>
        </w:trPr>
        <w:tc>
          <w:tcPr>
            <w:tcW w:type="pct" w:w="2137"/>
            <w:tcMar>
              <w:top w:w="0" w:type="dxa"/>
              <w:left w:w="0" w:type="dxa"/>
              <w:bottom w:w="0" w:type="dxa"/>
              <w:right w:w="0" w:type="dxa"/>
            </w:tcMar>
            <w:tcBorders>
              <w:top w:val="none" w:color="000000" w:sz="0" w:space="0"/>
              <w:left w:val="none" w:color="000000" w:sz="0" w:space="0"/>
              <w:bottom w:val="none" w:color="000000" w:sz="0" w:space="0"/>
              <w:right w:val="none" w:color="000000" w:sz="0" w:space="0"/>
            </w:tcBorders>
            <w:shd w:fill="FFFFFF" w:color="auto" w:val="clear"/>
            <w:vAlign w:val="top"/>
          </w:tcPr>
          <w:p>
            <w:pPr>
              <w:pBdr>
                <w:top w:val="none" w:color="000000" w:sz="0" w:space="0"/>
                <w:left w:val="none" w:color="000000" w:sz="0" w:space="0"/>
                <w:bottom w:val="none" w:color="000000" w:sz="0" w:space="0"/>
                <w:right w:val="none" w:color="000000" w:sz="0" w:space="0"/>
              </w:pBdr>
              <w:pStyle w:val="Normal"/>
              <w:spacing w:before="120" w:after="120"/>
              <w:ind w:left="120" w:right="120"/>
              <w:rPr>
                <w:rFonts w:ascii="Times New Roman" w:eastAsia="Arial" w:hAnsi="Times New Roman" w:cs="Times New Roman"/>
                <w:color w:val="000000"/>
                <w:sz w:val="24"/>
                <w:szCs w:val="24"/>
              </w:rPr>
            </w:pPr>
          </w:p>
        </w:tc>
        <w:tc>
          <w:tcPr>
            <w:tcW w:type="pct" w:w="887"/>
            <w:tcMar>
              <w:top w:w="0" w:type="dxa"/>
              <w:left w:w="0" w:type="dxa"/>
              <w:bottom w:w="0" w:type="dxa"/>
              <w:right w:w="0" w:type="dxa"/>
            </w:tcMar>
            <w:tcBorders>
              <w:top w:val="none" w:color="000000" w:sz="0" w:space="0"/>
              <w:left w:val="none" w:color="000000" w:sz="0" w:space="0"/>
              <w:bottom w:val="none" w:color="000000" w:sz="0" w:space="0"/>
              <w:right w:val="none" w:color="000000" w:sz="0" w:space="0"/>
            </w:tcBorders>
            <w:shd w:fill="FFFFFF" w:color="auto" w:val="clear"/>
            <w:vAlign w:val="top"/>
          </w:tcPr>
          <w:p>
            <w:pPr>
              <w:pBdr>
                <w:top w:val="none" w:color="000000" w:sz="0" w:space="0"/>
                <w:left w:val="none" w:color="000000" w:sz="0" w:space="0"/>
                <w:bottom w:val="none" w:color="000000" w:sz="0" w:space="0"/>
                <w:right w:val="none" w:color="000000" w:sz="0" w:space="0"/>
              </w:pBdr>
              <w:pStyle w:val="Normal"/>
              <w:spacing w:before="120" w:after="120"/>
              <w:ind w:left="120" w:right="120"/>
              <w:rPr>
                <w:rFonts w:ascii="Times New Roman" w:eastAsia="Arial" w:hAnsi="Times New Roman" w:cs="Times New Roman"/>
                <w:color w:val="000000"/>
                <w:sz w:val="24"/>
                <w:szCs w:val="24"/>
              </w:rPr>
            </w:pPr>
            <w:r>
              <w:rPr>
                <w:rFonts w:ascii="Times New Roman" w:eastAsia="Arial" w:hAnsi="Times New Roman" w:cs="Times New Roman"/>
                <w:color w:val="000000"/>
                <w:sz w:val="24"/>
                <w:szCs w:val="24"/>
              </w:rPr>
              <w:t xml:space="preserve">(0.097)</w:t>
            </w:r>
          </w:p>
        </w:tc>
        <w:tc>
          <w:tcPr>
            <w:tcW w:type="pct" w:w="887"/>
            <w:tcMar>
              <w:top w:w="0" w:type="dxa"/>
              <w:left w:w="0" w:type="dxa"/>
              <w:bottom w:w="0" w:type="dxa"/>
              <w:right w:w="0" w:type="dxa"/>
            </w:tcMar>
            <w:tcBorders>
              <w:top w:val="none" w:color="000000" w:sz="0" w:space="0"/>
              <w:left w:val="none" w:color="000000" w:sz="0" w:space="0"/>
              <w:bottom w:val="none" w:color="000000" w:sz="0" w:space="0"/>
              <w:right w:val="none" w:color="000000" w:sz="0" w:space="0"/>
            </w:tcBorders>
            <w:shd w:fill="FFFFFF" w:color="auto" w:val="clear"/>
            <w:vAlign w:val="top"/>
          </w:tcPr>
          <w:p>
            <w:pPr>
              <w:pBdr>
                <w:top w:val="none" w:color="000000" w:sz="0" w:space="0"/>
                <w:left w:val="none" w:color="000000" w:sz="0" w:space="0"/>
                <w:bottom w:val="none" w:color="000000" w:sz="0" w:space="0"/>
                <w:right w:val="none" w:color="000000" w:sz="0" w:space="0"/>
              </w:pBdr>
              <w:pStyle w:val="Normal"/>
              <w:spacing w:before="120" w:after="120"/>
              <w:ind w:left="120" w:right="120"/>
              <w:rPr>
                <w:rFonts w:ascii="Times New Roman" w:eastAsia="Arial" w:hAnsi="Times New Roman" w:cs="Times New Roman"/>
                <w:color w:val="000000"/>
                <w:sz w:val="24"/>
                <w:szCs w:val="24"/>
              </w:rPr>
            </w:pPr>
            <w:r>
              <w:rPr>
                <w:rFonts w:ascii="Times New Roman" w:eastAsia="Arial" w:hAnsi="Times New Roman" w:cs="Times New Roman"/>
                <w:color w:val="000000"/>
                <w:sz w:val="24"/>
                <w:szCs w:val="24"/>
              </w:rPr>
              <w:t xml:space="preserve">(0.112)</w:t>
            </w:r>
          </w:p>
        </w:tc>
        <w:tc>
          <w:tcPr>
            <w:tcW w:type="pct" w:w="1089"/>
            <w:tcMar>
              <w:top w:w="0" w:type="dxa"/>
              <w:left w:w="0" w:type="dxa"/>
              <w:bottom w:w="0" w:type="dxa"/>
              <w:right w:w="0" w:type="dxa"/>
            </w:tcMar>
            <w:tcBorders>
              <w:top w:val="none" w:color="000000" w:sz="0" w:space="0"/>
              <w:left w:val="none" w:color="000000" w:sz="0" w:space="0"/>
              <w:bottom w:val="none" w:color="000000" w:sz="0" w:space="0"/>
              <w:right w:val="none" w:color="000000" w:sz="0" w:space="0"/>
            </w:tcBorders>
            <w:shd w:fill="FFFFFF" w:color="auto" w:val="clear"/>
            <w:vAlign w:val="top"/>
          </w:tcPr>
          <w:p>
            <w:pPr>
              <w:pBdr>
                <w:top w:val="none" w:color="000000" w:sz="0" w:space="0"/>
                <w:left w:val="none" w:color="000000" w:sz="0" w:space="0"/>
                <w:bottom w:val="none" w:color="000000" w:sz="0" w:space="0"/>
                <w:right w:val="none" w:color="000000" w:sz="0" w:space="0"/>
              </w:pBdr>
              <w:pStyle w:val="Normal"/>
              <w:spacing w:before="120" w:after="120"/>
              <w:ind w:left="120" w:right="120"/>
              <w:rPr>
                <w:rFonts w:ascii="Times New Roman" w:eastAsia="Arial" w:hAnsi="Times New Roman" w:cs="Times New Roman"/>
                <w:color w:val="000000"/>
                <w:sz w:val="24"/>
                <w:szCs w:val="24"/>
              </w:rPr>
            </w:pPr>
            <w:r>
              <w:rPr>
                <w:rFonts w:ascii="Times New Roman" w:eastAsia="Arial" w:hAnsi="Times New Roman" w:cs="Times New Roman"/>
                <w:color w:val="000000"/>
                <w:sz w:val="24"/>
                <w:szCs w:val="24"/>
              </w:rPr>
              <w:t xml:space="preserve">(0.136)</w:t>
            </w:r>
          </w:p>
        </w:tc>
      </w:tr>
      <w:tr>
        <w:tblPrEx>
          <w:tblBorders>
            <w:top w:val="none" w:sz="0" w:space="0"/>
            <w:left w:val="none" w:sz="0" w:space="0"/>
            <w:bottom w:val="none" w:sz="0" w:space="0"/>
            <w:right w:val="none" w:sz="0" w:space="0"/>
            <w:insideH w:val="none" w:sz="0" w:space="0"/>
            <w:insideV w:val="none" w:sz="0" w:space="0"/>
          </w:tblBorders>
        </w:tblPrEx>
        <w:trPr>
          <w:trHeight w:hRule="atLeast" w:val="20"/>
        </w:trPr>
        <w:tc>
          <w:tcPr>
            <w:tcW w:type="pct" w:w="2137"/>
            <w:tcMar>
              <w:top w:w="0" w:type="dxa"/>
              <w:left w:w="0" w:type="dxa"/>
              <w:bottom w:w="0" w:type="dxa"/>
              <w:right w:w="0" w:type="dxa"/>
            </w:tcMar>
            <w:tcBorders>
              <w:top w:val="none" w:color="000000" w:sz="0" w:space="0"/>
              <w:left w:val="none" w:color="000000" w:sz="0" w:space="0"/>
              <w:bottom w:val="none" w:color="000000" w:sz="0" w:space="0"/>
              <w:right w:val="none" w:color="000000" w:sz="0" w:space="0"/>
            </w:tcBorders>
            <w:shd w:fill="FFFFFF" w:color="auto" w:val="clear"/>
            <w:vAlign w:val="top"/>
          </w:tcPr>
          <w:p>
            <w:pPr>
              <w:pBdr>
                <w:top w:val="none" w:color="000000" w:sz="0" w:space="0"/>
                <w:left w:val="none" w:color="000000" w:sz="0" w:space="0"/>
                <w:bottom w:val="none" w:color="000000" w:sz="0" w:space="0"/>
                <w:right w:val="none" w:color="000000" w:sz="0" w:space="0"/>
              </w:pBdr>
              <w:pStyle w:val="Normal"/>
              <w:spacing w:before="120" w:after="120"/>
              <w:ind w:left="120" w:right="120"/>
              <w:rPr>
                <w:rFonts w:ascii="Times New Roman" w:eastAsia="Arial" w:hAnsi="Times New Roman" w:cs="Times New Roman"/>
                <w:color w:val="000000"/>
                <w:sz w:val="24"/>
                <w:szCs w:val="24"/>
              </w:rPr>
            </w:pPr>
            <w:r>
              <w:rPr>
                <w:rFonts w:ascii="Times New Roman" w:eastAsia="Arial" w:hAnsi="Times New Roman" w:cs="Times New Roman"/>
                <w:color w:val="000000"/>
                <w:sz w:val="24"/>
                <w:szCs w:val="24"/>
              </w:rPr>
              <w:t xml:space="preserve">Voted in 2024 Pres. Election</w:t>
            </w:r>
          </w:p>
        </w:tc>
        <w:tc>
          <w:tcPr>
            <w:tcW w:type="pct" w:w="887"/>
            <w:tcMar>
              <w:top w:w="0" w:type="dxa"/>
              <w:left w:w="0" w:type="dxa"/>
              <w:bottom w:w="0" w:type="dxa"/>
              <w:right w:w="0" w:type="dxa"/>
            </w:tcMar>
            <w:tcBorders>
              <w:top w:val="none" w:color="000000" w:sz="0" w:space="0"/>
              <w:left w:val="none" w:color="000000" w:sz="0" w:space="0"/>
              <w:bottom w:val="none" w:color="000000" w:sz="0" w:space="0"/>
              <w:right w:val="none" w:color="000000" w:sz="0" w:space="0"/>
            </w:tcBorders>
            <w:shd w:fill="FFFFFF" w:color="auto" w:val="clear"/>
            <w:vAlign w:val="top"/>
          </w:tcPr>
          <w:p>
            <w:pPr>
              <w:pBdr>
                <w:top w:val="none" w:color="000000" w:sz="0" w:space="0"/>
                <w:left w:val="none" w:color="000000" w:sz="0" w:space="0"/>
                <w:bottom w:val="none" w:color="000000" w:sz="0" w:space="0"/>
                <w:right w:val="none" w:color="000000" w:sz="0" w:space="0"/>
              </w:pBdr>
              <w:pStyle w:val="Normal"/>
              <w:spacing w:before="120" w:after="120"/>
              <w:ind w:left="120" w:right="120"/>
              <w:rPr>
                <w:rFonts w:ascii="Times New Roman" w:eastAsia="Arial" w:hAnsi="Times New Roman" w:cs="Times New Roman"/>
                <w:color w:val="000000"/>
                <w:sz w:val="24"/>
                <w:szCs w:val="24"/>
              </w:rPr>
            </w:pPr>
            <w:r>
              <w:rPr>
                <w:rFonts w:ascii="Times New Roman" w:eastAsia="Arial" w:hAnsi="Times New Roman" w:cs="Times New Roman"/>
                <w:color w:val="000000"/>
                <w:sz w:val="24"/>
                <w:szCs w:val="24"/>
              </w:rPr>
              <w:t xml:space="preserve">-0.183</w:t>
            </w:r>
          </w:p>
        </w:tc>
        <w:tc>
          <w:tcPr>
            <w:tcW w:type="pct" w:w="887"/>
            <w:tcMar>
              <w:top w:w="0" w:type="dxa"/>
              <w:left w:w="0" w:type="dxa"/>
              <w:bottom w:w="0" w:type="dxa"/>
              <w:right w:w="0" w:type="dxa"/>
            </w:tcMar>
            <w:tcBorders>
              <w:top w:val="none" w:color="000000" w:sz="0" w:space="0"/>
              <w:left w:val="none" w:color="000000" w:sz="0" w:space="0"/>
              <w:bottom w:val="none" w:color="000000" w:sz="0" w:space="0"/>
              <w:right w:val="none" w:color="000000" w:sz="0" w:space="0"/>
            </w:tcBorders>
            <w:shd w:fill="FFFFFF" w:color="auto" w:val="clear"/>
            <w:vAlign w:val="top"/>
          </w:tcPr>
          <w:p>
            <w:pPr>
              <w:pBdr>
                <w:top w:val="none" w:color="000000" w:sz="0" w:space="0"/>
                <w:left w:val="none" w:color="000000" w:sz="0" w:space="0"/>
                <w:bottom w:val="none" w:color="000000" w:sz="0" w:space="0"/>
                <w:right w:val="none" w:color="000000" w:sz="0" w:space="0"/>
              </w:pBdr>
              <w:pStyle w:val="Normal"/>
              <w:spacing w:before="120" w:after="120"/>
              <w:ind w:left="120" w:right="120"/>
              <w:rPr>
                <w:rFonts w:ascii="Times New Roman" w:eastAsia="Arial" w:hAnsi="Times New Roman" w:cs="Times New Roman"/>
                <w:color w:val="000000"/>
                <w:sz w:val="24"/>
                <w:szCs w:val="24"/>
              </w:rPr>
            </w:pPr>
            <w:r>
              <w:rPr>
                <w:rFonts w:ascii="Times New Roman" w:eastAsia="Arial" w:hAnsi="Times New Roman" w:cs="Times New Roman"/>
                <w:color w:val="000000"/>
                <w:sz w:val="24"/>
                <w:szCs w:val="24"/>
              </w:rPr>
              <w:t xml:space="preserve">-0.324*</w:t>
            </w:r>
          </w:p>
        </w:tc>
        <w:tc>
          <w:tcPr>
            <w:tcW w:type="pct" w:w="1089"/>
            <w:tcMar>
              <w:top w:w="0" w:type="dxa"/>
              <w:left w:w="0" w:type="dxa"/>
              <w:bottom w:w="0" w:type="dxa"/>
              <w:right w:w="0" w:type="dxa"/>
            </w:tcMar>
            <w:tcBorders>
              <w:top w:val="none" w:color="000000" w:sz="0" w:space="0"/>
              <w:left w:val="none" w:color="000000" w:sz="0" w:space="0"/>
              <w:bottom w:val="none" w:color="000000" w:sz="0" w:space="0"/>
              <w:right w:val="none" w:color="000000" w:sz="0" w:space="0"/>
            </w:tcBorders>
            <w:shd w:fill="FFFFFF" w:color="auto" w:val="clear"/>
            <w:vAlign w:val="top"/>
          </w:tcPr>
          <w:p>
            <w:pPr>
              <w:pBdr>
                <w:top w:val="none" w:color="000000" w:sz="0" w:space="0"/>
                <w:left w:val="none" w:color="000000" w:sz="0" w:space="0"/>
                <w:bottom w:val="none" w:color="000000" w:sz="0" w:space="0"/>
                <w:right w:val="none" w:color="000000" w:sz="0" w:space="0"/>
              </w:pBdr>
              <w:pStyle w:val="Normal"/>
              <w:spacing w:before="120" w:after="120"/>
              <w:ind w:left="120" w:right="120"/>
              <w:rPr>
                <w:rFonts w:ascii="Times New Roman" w:eastAsia="Arial" w:hAnsi="Times New Roman" w:cs="Times New Roman"/>
                <w:color w:val="000000"/>
                <w:sz w:val="24"/>
                <w:szCs w:val="24"/>
              </w:rPr>
            </w:pPr>
            <w:r>
              <w:rPr>
                <w:rFonts w:ascii="Times New Roman" w:eastAsia="Arial" w:hAnsi="Times New Roman" w:cs="Times New Roman"/>
                <w:color w:val="000000"/>
                <w:sz w:val="24"/>
                <w:szCs w:val="24"/>
              </w:rPr>
              <w:t xml:space="preserve">-0.099</w:t>
            </w:r>
          </w:p>
        </w:tc>
      </w:tr>
      <w:tr>
        <w:tblPrEx>
          <w:tblBorders>
            <w:top w:val="none" w:sz="0" w:space="0"/>
            <w:left w:val="none" w:sz="0" w:space="0"/>
            <w:bottom w:val="none" w:sz="0" w:space="0"/>
            <w:right w:val="none" w:sz="0" w:space="0"/>
            <w:insideH w:val="none" w:sz="0" w:space="0"/>
            <w:insideV w:val="none" w:sz="0" w:space="0"/>
          </w:tblBorders>
        </w:tblPrEx>
        <w:trPr>
          <w:trHeight w:hRule="atLeast" w:val="20"/>
        </w:trPr>
        <w:tc>
          <w:tcPr>
            <w:tcW w:type="pct" w:w="2137"/>
            <w:tcMar>
              <w:top w:w="0" w:type="dxa"/>
              <w:left w:w="0" w:type="dxa"/>
              <w:bottom w:w="0" w:type="dxa"/>
              <w:right w:w="0" w:type="dxa"/>
            </w:tcMar>
            <w:tcBorders>
              <w:top w:val="none" w:color="000000" w:sz="0" w:space="0"/>
              <w:left w:val="none" w:color="000000" w:sz="0" w:space="0"/>
              <w:bottom w:val="none" w:color="000000" w:sz="0" w:space="0"/>
              <w:right w:val="none" w:color="000000" w:sz="0" w:space="0"/>
            </w:tcBorders>
            <w:shd w:fill="FFFFFF" w:color="auto" w:val="clear"/>
            <w:vAlign w:val="top"/>
          </w:tcPr>
          <w:p>
            <w:pPr>
              <w:pBdr>
                <w:top w:val="none" w:color="000000" w:sz="0" w:space="0"/>
                <w:left w:val="none" w:color="000000" w:sz="0" w:space="0"/>
                <w:bottom w:val="none" w:color="000000" w:sz="0" w:space="0"/>
                <w:right w:val="none" w:color="000000" w:sz="0" w:space="0"/>
              </w:pBdr>
              <w:pStyle w:val="Normal"/>
              <w:spacing w:before="120" w:after="120"/>
              <w:ind w:left="120" w:right="120"/>
              <w:rPr>
                <w:rFonts w:ascii="Times New Roman" w:eastAsia="Arial" w:hAnsi="Times New Roman" w:cs="Times New Roman"/>
                <w:color w:val="000000"/>
                <w:sz w:val="24"/>
                <w:szCs w:val="24"/>
              </w:rPr>
            </w:pPr>
          </w:p>
        </w:tc>
        <w:tc>
          <w:tcPr>
            <w:tcW w:type="pct" w:w="887"/>
            <w:tcMar>
              <w:top w:w="0" w:type="dxa"/>
              <w:left w:w="0" w:type="dxa"/>
              <w:bottom w:w="0" w:type="dxa"/>
              <w:right w:w="0" w:type="dxa"/>
            </w:tcMar>
            <w:tcBorders>
              <w:top w:val="none" w:color="000000" w:sz="0" w:space="0"/>
              <w:left w:val="none" w:color="000000" w:sz="0" w:space="0"/>
              <w:bottom w:val="none" w:color="000000" w:sz="0" w:space="0"/>
              <w:right w:val="none" w:color="000000" w:sz="0" w:space="0"/>
            </w:tcBorders>
            <w:shd w:fill="FFFFFF" w:color="auto" w:val="clear"/>
            <w:vAlign w:val="top"/>
          </w:tcPr>
          <w:p>
            <w:pPr>
              <w:pBdr>
                <w:top w:val="none" w:color="000000" w:sz="0" w:space="0"/>
                <w:left w:val="none" w:color="000000" w:sz="0" w:space="0"/>
                <w:bottom w:val="none" w:color="000000" w:sz="0" w:space="0"/>
                <w:right w:val="none" w:color="000000" w:sz="0" w:space="0"/>
              </w:pBdr>
              <w:pStyle w:val="Normal"/>
              <w:spacing w:before="120" w:after="120"/>
              <w:ind w:left="120" w:right="120"/>
              <w:rPr>
                <w:rFonts w:ascii="Times New Roman" w:eastAsia="Arial" w:hAnsi="Times New Roman" w:cs="Times New Roman"/>
                <w:color w:val="000000"/>
                <w:sz w:val="24"/>
                <w:szCs w:val="24"/>
              </w:rPr>
            </w:pPr>
            <w:r>
              <w:rPr>
                <w:rFonts w:ascii="Times New Roman" w:eastAsia="Arial" w:hAnsi="Times New Roman" w:cs="Times New Roman"/>
                <w:color w:val="000000"/>
                <w:sz w:val="24"/>
                <w:szCs w:val="24"/>
              </w:rPr>
              <w:t xml:space="preserve">(0.136)</w:t>
            </w:r>
          </w:p>
        </w:tc>
        <w:tc>
          <w:tcPr>
            <w:tcW w:type="pct" w:w="887"/>
            <w:tcMar>
              <w:top w:w="0" w:type="dxa"/>
              <w:left w:w="0" w:type="dxa"/>
              <w:bottom w:w="0" w:type="dxa"/>
              <w:right w:w="0" w:type="dxa"/>
            </w:tcMar>
            <w:tcBorders>
              <w:top w:val="none" w:color="000000" w:sz="0" w:space="0"/>
              <w:left w:val="none" w:color="000000" w:sz="0" w:space="0"/>
              <w:bottom w:val="none" w:color="000000" w:sz="0" w:space="0"/>
              <w:right w:val="none" w:color="000000" w:sz="0" w:space="0"/>
            </w:tcBorders>
            <w:shd w:fill="FFFFFF" w:color="auto" w:val="clear"/>
            <w:vAlign w:val="top"/>
          </w:tcPr>
          <w:p>
            <w:pPr>
              <w:pBdr>
                <w:top w:val="none" w:color="000000" w:sz="0" w:space="0"/>
                <w:left w:val="none" w:color="000000" w:sz="0" w:space="0"/>
                <w:bottom w:val="none" w:color="000000" w:sz="0" w:space="0"/>
                <w:right w:val="none" w:color="000000" w:sz="0" w:space="0"/>
              </w:pBdr>
              <w:pStyle w:val="Normal"/>
              <w:spacing w:before="120" w:after="120"/>
              <w:ind w:left="120" w:right="120"/>
              <w:rPr>
                <w:rFonts w:ascii="Times New Roman" w:eastAsia="Arial" w:hAnsi="Times New Roman" w:cs="Times New Roman"/>
                <w:color w:val="000000"/>
                <w:sz w:val="24"/>
                <w:szCs w:val="24"/>
              </w:rPr>
            </w:pPr>
            <w:r>
              <w:rPr>
                <w:rFonts w:ascii="Times New Roman" w:eastAsia="Arial" w:hAnsi="Times New Roman" w:cs="Times New Roman"/>
                <w:color w:val="000000"/>
                <w:sz w:val="24"/>
                <w:szCs w:val="24"/>
              </w:rPr>
              <w:t xml:space="preserve">(0.157)</w:t>
            </w:r>
          </w:p>
        </w:tc>
        <w:tc>
          <w:tcPr>
            <w:tcW w:type="pct" w:w="1089"/>
            <w:tcMar>
              <w:top w:w="0" w:type="dxa"/>
              <w:left w:w="0" w:type="dxa"/>
              <w:bottom w:w="0" w:type="dxa"/>
              <w:right w:w="0" w:type="dxa"/>
            </w:tcMar>
            <w:tcBorders>
              <w:top w:val="none" w:color="000000" w:sz="0" w:space="0"/>
              <w:left w:val="none" w:color="000000" w:sz="0" w:space="0"/>
              <w:bottom w:val="none" w:color="000000" w:sz="0" w:space="0"/>
              <w:right w:val="none" w:color="000000" w:sz="0" w:space="0"/>
            </w:tcBorders>
            <w:shd w:fill="FFFFFF" w:color="auto" w:val="clear"/>
            <w:vAlign w:val="top"/>
          </w:tcPr>
          <w:p>
            <w:pPr>
              <w:pBdr>
                <w:top w:val="none" w:color="000000" w:sz="0" w:space="0"/>
                <w:left w:val="none" w:color="000000" w:sz="0" w:space="0"/>
                <w:bottom w:val="none" w:color="000000" w:sz="0" w:space="0"/>
                <w:right w:val="none" w:color="000000" w:sz="0" w:space="0"/>
              </w:pBdr>
              <w:pStyle w:val="Normal"/>
              <w:spacing w:before="120" w:after="120"/>
              <w:ind w:left="120" w:right="120"/>
              <w:rPr>
                <w:rFonts w:ascii="Times New Roman" w:eastAsia="Arial" w:hAnsi="Times New Roman" w:cs="Times New Roman"/>
                <w:color w:val="000000"/>
                <w:sz w:val="24"/>
                <w:szCs w:val="24"/>
              </w:rPr>
            </w:pPr>
            <w:r>
              <w:rPr>
                <w:rFonts w:ascii="Times New Roman" w:eastAsia="Arial" w:hAnsi="Times New Roman" w:cs="Times New Roman"/>
                <w:color w:val="000000"/>
                <w:sz w:val="24"/>
                <w:szCs w:val="24"/>
              </w:rPr>
              <w:t xml:space="preserve">(0.192)</w:t>
            </w:r>
          </w:p>
        </w:tc>
      </w:tr>
      <w:tr>
        <w:tblPrEx>
          <w:tblBorders>
            <w:top w:val="none" w:sz="0" w:space="0"/>
            <w:left w:val="none" w:sz="0" w:space="0"/>
            <w:bottom w:val="none" w:sz="0" w:space="0"/>
            <w:right w:val="none" w:sz="0" w:space="0"/>
            <w:insideH w:val="none" w:sz="0" w:space="0"/>
            <w:insideV w:val="none" w:sz="0" w:space="0"/>
          </w:tblBorders>
        </w:tblPrEx>
        <w:trPr>
          <w:trHeight w:hRule="atLeast" w:val="20"/>
        </w:trPr>
        <w:tc>
          <w:tcPr>
            <w:tcW w:type="pct" w:w="2137"/>
            <w:tcMar>
              <w:top w:w="0" w:type="dxa"/>
              <w:left w:w="0" w:type="dxa"/>
              <w:bottom w:w="0" w:type="dxa"/>
              <w:right w:w="0" w:type="dxa"/>
            </w:tcMar>
            <w:tcBorders>
              <w:top w:val="none" w:color="000000" w:sz="0" w:space="0"/>
              <w:left w:val="none" w:color="000000" w:sz="0" w:space="0"/>
              <w:bottom w:val="none" w:color="000000" w:sz="0" w:space="0"/>
              <w:right w:val="none" w:color="000000" w:sz="0" w:space="0"/>
            </w:tcBorders>
            <w:shd w:fill="FFFFFF" w:color="auto" w:val="clear"/>
            <w:vAlign w:val="top"/>
          </w:tcPr>
          <w:p>
            <w:pPr>
              <w:pBdr>
                <w:top w:val="none" w:color="000000" w:sz="0" w:space="0"/>
                <w:left w:val="none" w:color="000000" w:sz="0" w:space="0"/>
                <w:bottom w:val="none" w:color="000000" w:sz="0" w:space="0"/>
                <w:right w:val="none" w:color="000000" w:sz="0" w:space="0"/>
              </w:pBdr>
              <w:pStyle w:val="Normal"/>
              <w:spacing w:before="120" w:after="120"/>
              <w:ind w:left="120" w:right="120"/>
              <w:rPr>
                <w:rFonts w:ascii="Times New Roman" w:eastAsia="Arial" w:hAnsi="Times New Roman" w:cs="Times New Roman"/>
                <w:color w:val="000000"/>
                <w:sz w:val="24"/>
                <w:szCs w:val="24"/>
              </w:rPr>
            </w:pPr>
            <w:r>
              <w:rPr>
                <w:rFonts w:ascii="Times New Roman" w:eastAsia="Arial" w:hAnsi="Times New Roman" w:cs="Times New Roman"/>
                <w:color w:val="000000"/>
                <w:sz w:val="24"/>
                <w:szCs w:val="24"/>
              </w:rPr>
              <w:t xml:space="preserve">Owns a Gun</w:t>
            </w:r>
          </w:p>
        </w:tc>
        <w:tc>
          <w:tcPr>
            <w:tcW w:type="pct" w:w="887"/>
            <w:tcMar>
              <w:top w:w="0" w:type="dxa"/>
              <w:left w:w="0" w:type="dxa"/>
              <w:bottom w:w="0" w:type="dxa"/>
              <w:right w:w="0" w:type="dxa"/>
            </w:tcMar>
            <w:tcBorders>
              <w:top w:val="none" w:color="000000" w:sz="0" w:space="0"/>
              <w:left w:val="none" w:color="000000" w:sz="0" w:space="0"/>
              <w:bottom w:val="none" w:color="000000" w:sz="0" w:space="0"/>
              <w:right w:val="none" w:color="000000" w:sz="0" w:space="0"/>
            </w:tcBorders>
            <w:shd w:fill="FFFFFF" w:color="auto" w:val="clear"/>
            <w:vAlign w:val="top"/>
          </w:tcPr>
          <w:p>
            <w:pPr>
              <w:pBdr>
                <w:top w:val="none" w:color="000000" w:sz="0" w:space="0"/>
                <w:left w:val="none" w:color="000000" w:sz="0" w:space="0"/>
                <w:bottom w:val="none" w:color="000000" w:sz="0" w:space="0"/>
                <w:right w:val="none" w:color="000000" w:sz="0" w:space="0"/>
              </w:pBdr>
              <w:pStyle w:val="Normal"/>
              <w:spacing w:before="120" w:after="120"/>
              <w:ind w:left="120" w:right="120"/>
              <w:rPr>
                <w:rFonts w:ascii="Times New Roman" w:eastAsia="Arial" w:hAnsi="Times New Roman" w:cs="Times New Roman"/>
                <w:color w:val="000000"/>
                <w:sz w:val="24"/>
                <w:szCs w:val="24"/>
              </w:rPr>
            </w:pPr>
            <w:r>
              <w:rPr>
                <w:rFonts w:ascii="Times New Roman" w:eastAsia="Arial" w:hAnsi="Times New Roman" w:cs="Times New Roman"/>
                <w:color w:val="000000"/>
                <w:sz w:val="24"/>
                <w:szCs w:val="24"/>
              </w:rPr>
              <w:t xml:space="preserve">0.118</w:t>
            </w:r>
          </w:p>
        </w:tc>
        <w:tc>
          <w:tcPr>
            <w:tcW w:type="pct" w:w="887"/>
            <w:tcMar>
              <w:top w:w="0" w:type="dxa"/>
              <w:left w:w="0" w:type="dxa"/>
              <w:bottom w:w="0" w:type="dxa"/>
              <w:right w:w="0" w:type="dxa"/>
            </w:tcMar>
            <w:tcBorders>
              <w:top w:val="none" w:color="000000" w:sz="0" w:space="0"/>
              <w:left w:val="none" w:color="000000" w:sz="0" w:space="0"/>
              <w:bottom w:val="none" w:color="000000" w:sz="0" w:space="0"/>
              <w:right w:val="none" w:color="000000" w:sz="0" w:space="0"/>
            </w:tcBorders>
            <w:shd w:fill="FFFFFF" w:color="auto" w:val="clear"/>
            <w:vAlign w:val="top"/>
          </w:tcPr>
          <w:p>
            <w:pPr>
              <w:pBdr>
                <w:top w:val="none" w:color="000000" w:sz="0" w:space="0"/>
                <w:left w:val="none" w:color="000000" w:sz="0" w:space="0"/>
                <w:bottom w:val="none" w:color="000000" w:sz="0" w:space="0"/>
                <w:right w:val="none" w:color="000000" w:sz="0" w:space="0"/>
              </w:pBdr>
              <w:pStyle w:val="Normal"/>
              <w:spacing w:before="120" w:after="120"/>
              <w:ind w:left="120" w:right="120"/>
              <w:rPr>
                <w:rFonts w:ascii="Times New Roman" w:eastAsia="Arial" w:hAnsi="Times New Roman" w:cs="Times New Roman"/>
                <w:color w:val="000000"/>
                <w:sz w:val="24"/>
                <w:szCs w:val="24"/>
              </w:rPr>
            </w:pPr>
            <w:r>
              <w:rPr>
                <w:rFonts w:ascii="Times New Roman" w:eastAsia="Arial" w:hAnsi="Times New Roman" w:cs="Times New Roman"/>
                <w:color w:val="000000"/>
                <w:sz w:val="24"/>
                <w:szCs w:val="24"/>
              </w:rPr>
              <w:t xml:space="preserve">0.117</w:t>
            </w:r>
          </w:p>
        </w:tc>
        <w:tc>
          <w:tcPr>
            <w:tcW w:type="pct" w:w="1089"/>
            <w:tcMar>
              <w:top w:w="0" w:type="dxa"/>
              <w:left w:w="0" w:type="dxa"/>
              <w:bottom w:w="0" w:type="dxa"/>
              <w:right w:w="0" w:type="dxa"/>
            </w:tcMar>
            <w:tcBorders>
              <w:top w:val="none" w:color="000000" w:sz="0" w:space="0"/>
              <w:left w:val="none" w:color="000000" w:sz="0" w:space="0"/>
              <w:bottom w:val="none" w:color="000000" w:sz="0" w:space="0"/>
              <w:right w:val="none" w:color="000000" w:sz="0" w:space="0"/>
            </w:tcBorders>
            <w:shd w:fill="FFFFFF" w:color="auto" w:val="clear"/>
            <w:vAlign w:val="top"/>
          </w:tcPr>
          <w:p>
            <w:pPr>
              <w:pBdr>
                <w:top w:val="none" w:color="000000" w:sz="0" w:space="0"/>
                <w:left w:val="none" w:color="000000" w:sz="0" w:space="0"/>
                <w:bottom w:val="none" w:color="000000" w:sz="0" w:space="0"/>
                <w:right w:val="none" w:color="000000" w:sz="0" w:space="0"/>
              </w:pBdr>
              <w:pStyle w:val="Normal"/>
              <w:spacing w:before="120" w:after="120"/>
              <w:ind w:left="120" w:right="120"/>
              <w:rPr>
                <w:rFonts w:ascii="Times New Roman" w:eastAsia="Arial" w:hAnsi="Times New Roman" w:cs="Times New Roman"/>
                <w:color w:val="000000"/>
                <w:sz w:val="24"/>
                <w:szCs w:val="24"/>
              </w:rPr>
            </w:pPr>
            <w:r>
              <w:rPr>
                <w:rFonts w:ascii="Times New Roman" w:eastAsia="Arial" w:hAnsi="Times New Roman" w:cs="Times New Roman"/>
                <w:color w:val="000000"/>
                <w:sz w:val="24"/>
                <w:szCs w:val="24"/>
              </w:rPr>
              <w:t xml:space="preserve">-0.911***</w:t>
            </w:r>
          </w:p>
        </w:tc>
      </w:tr>
      <w:tr>
        <w:tblPrEx>
          <w:tblBorders>
            <w:top w:val="none" w:sz="0" w:space="0"/>
            <w:left w:val="none" w:sz="0" w:space="0"/>
            <w:bottom w:val="none" w:sz="0" w:space="0"/>
            <w:right w:val="none" w:sz="0" w:space="0"/>
            <w:insideH w:val="none" w:sz="0" w:space="0"/>
            <w:insideV w:val="none" w:sz="0" w:space="0"/>
          </w:tblBorders>
        </w:tblPrEx>
        <w:trPr>
          <w:trHeight w:hRule="atLeast" w:val="20"/>
        </w:trPr>
        <w:tc>
          <w:tcPr>
            <w:tcW w:type="pct" w:w="2137"/>
            <w:tcMar>
              <w:top w:w="0" w:type="dxa"/>
              <w:left w:w="0" w:type="dxa"/>
              <w:bottom w:w="0" w:type="dxa"/>
              <w:right w:w="0" w:type="dxa"/>
            </w:tcMar>
            <w:tcBorders>
              <w:top w:val="none" w:color="000000" w:sz="0" w:space="0"/>
              <w:left w:val="none" w:color="000000" w:sz="0" w:space="0"/>
              <w:bottom w:val="none" w:color="000000" w:sz="0" w:space="0"/>
              <w:right w:val="none" w:color="000000" w:sz="0" w:space="0"/>
            </w:tcBorders>
            <w:shd w:fill="FFFFFF" w:color="auto" w:val="clear"/>
            <w:vAlign w:val="top"/>
          </w:tcPr>
          <w:p>
            <w:pPr>
              <w:pBdr>
                <w:top w:val="none" w:color="000000" w:sz="0" w:space="0"/>
                <w:left w:val="none" w:color="000000" w:sz="0" w:space="0"/>
                <w:bottom w:val="none" w:color="000000" w:sz="0" w:space="0"/>
                <w:right w:val="none" w:color="000000" w:sz="0" w:space="0"/>
              </w:pBdr>
              <w:pStyle w:val="Normal"/>
              <w:spacing w:before="120" w:after="120"/>
              <w:ind w:left="120" w:right="120"/>
              <w:rPr>
                <w:rFonts w:ascii="Times New Roman" w:eastAsia="Arial" w:hAnsi="Times New Roman" w:cs="Times New Roman"/>
                <w:color w:val="000000"/>
                <w:sz w:val="24"/>
                <w:szCs w:val="24"/>
              </w:rPr>
            </w:pPr>
          </w:p>
        </w:tc>
        <w:tc>
          <w:tcPr>
            <w:tcW w:type="pct" w:w="887"/>
            <w:tcMar>
              <w:top w:w="0" w:type="dxa"/>
              <w:left w:w="0" w:type="dxa"/>
              <w:bottom w:w="0" w:type="dxa"/>
              <w:right w:w="0" w:type="dxa"/>
            </w:tcMar>
            <w:tcBorders>
              <w:top w:val="none" w:color="000000" w:sz="0" w:space="0"/>
              <w:left w:val="none" w:color="000000" w:sz="0" w:space="0"/>
              <w:bottom w:val="none" w:color="000000" w:sz="0" w:space="0"/>
              <w:right w:val="none" w:color="000000" w:sz="0" w:space="0"/>
            </w:tcBorders>
            <w:shd w:fill="FFFFFF" w:color="auto" w:val="clear"/>
            <w:vAlign w:val="top"/>
          </w:tcPr>
          <w:p>
            <w:pPr>
              <w:pBdr>
                <w:top w:val="none" w:color="000000" w:sz="0" w:space="0"/>
                <w:left w:val="none" w:color="000000" w:sz="0" w:space="0"/>
                <w:bottom w:val="none" w:color="000000" w:sz="0" w:space="0"/>
                <w:right w:val="none" w:color="000000" w:sz="0" w:space="0"/>
              </w:pBdr>
              <w:pStyle w:val="Normal"/>
              <w:spacing w:before="120" w:after="120"/>
              <w:ind w:left="120" w:right="120"/>
              <w:rPr>
                <w:rFonts w:ascii="Times New Roman" w:eastAsia="Arial" w:hAnsi="Times New Roman" w:cs="Times New Roman"/>
                <w:color w:val="000000"/>
                <w:sz w:val="24"/>
                <w:szCs w:val="24"/>
              </w:rPr>
            </w:pPr>
            <w:r>
              <w:rPr>
                <w:rFonts w:ascii="Times New Roman" w:eastAsia="Arial" w:hAnsi="Times New Roman" w:cs="Times New Roman"/>
                <w:color w:val="000000"/>
                <w:sz w:val="24"/>
                <w:szCs w:val="24"/>
              </w:rPr>
              <w:t xml:space="preserve">(0.098)</w:t>
            </w:r>
          </w:p>
        </w:tc>
        <w:tc>
          <w:tcPr>
            <w:tcW w:type="pct" w:w="887"/>
            <w:tcMar>
              <w:top w:w="0" w:type="dxa"/>
              <w:left w:w="0" w:type="dxa"/>
              <w:bottom w:w="0" w:type="dxa"/>
              <w:right w:w="0" w:type="dxa"/>
            </w:tcMar>
            <w:tcBorders>
              <w:top w:val="none" w:color="000000" w:sz="0" w:space="0"/>
              <w:left w:val="none" w:color="000000" w:sz="0" w:space="0"/>
              <w:bottom w:val="none" w:color="000000" w:sz="0" w:space="0"/>
              <w:right w:val="none" w:color="000000" w:sz="0" w:space="0"/>
            </w:tcBorders>
            <w:shd w:fill="FFFFFF" w:color="auto" w:val="clear"/>
            <w:vAlign w:val="top"/>
          </w:tcPr>
          <w:p>
            <w:pPr>
              <w:pBdr>
                <w:top w:val="none" w:color="000000" w:sz="0" w:space="0"/>
                <w:left w:val="none" w:color="000000" w:sz="0" w:space="0"/>
                <w:bottom w:val="none" w:color="000000" w:sz="0" w:space="0"/>
                <w:right w:val="none" w:color="000000" w:sz="0" w:space="0"/>
              </w:pBdr>
              <w:pStyle w:val="Normal"/>
              <w:spacing w:before="120" w:after="120"/>
              <w:ind w:left="120" w:right="120"/>
              <w:rPr>
                <w:rFonts w:ascii="Times New Roman" w:eastAsia="Arial" w:hAnsi="Times New Roman" w:cs="Times New Roman"/>
                <w:color w:val="000000"/>
                <w:sz w:val="24"/>
                <w:szCs w:val="24"/>
              </w:rPr>
            </w:pPr>
            <w:r>
              <w:rPr>
                <w:rFonts w:ascii="Times New Roman" w:eastAsia="Arial" w:hAnsi="Times New Roman" w:cs="Times New Roman"/>
                <w:color w:val="000000"/>
                <w:sz w:val="24"/>
                <w:szCs w:val="24"/>
              </w:rPr>
              <w:t xml:space="preserve">(0.114)</w:t>
            </w:r>
          </w:p>
        </w:tc>
        <w:tc>
          <w:tcPr>
            <w:tcW w:type="pct" w:w="1089"/>
            <w:tcMar>
              <w:top w:w="0" w:type="dxa"/>
              <w:left w:w="0" w:type="dxa"/>
              <w:bottom w:w="0" w:type="dxa"/>
              <w:right w:w="0" w:type="dxa"/>
            </w:tcMar>
            <w:tcBorders>
              <w:top w:val="none" w:color="000000" w:sz="0" w:space="0"/>
              <w:left w:val="none" w:color="000000" w:sz="0" w:space="0"/>
              <w:bottom w:val="none" w:color="000000" w:sz="0" w:space="0"/>
              <w:right w:val="none" w:color="000000" w:sz="0" w:space="0"/>
            </w:tcBorders>
            <w:shd w:fill="FFFFFF" w:color="auto" w:val="clear"/>
            <w:vAlign w:val="top"/>
          </w:tcPr>
          <w:p>
            <w:pPr>
              <w:pBdr>
                <w:top w:val="none" w:color="000000" w:sz="0" w:space="0"/>
                <w:left w:val="none" w:color="000000" w:sz="0" w:space="0"/>
                <w:bottom w:val="none" w:color="000000" w:sz="0" w:space="0"/>
                <w:right w:val="none" w:color="000000" w:sz="0" w:space="0"/>
              </w:pBdr>
              <w:pStyle w:val="Normal"/>
              <w:spacing w:before="120" w:after="120"/>
              <w:ind w:left="120" w:right="120"/>
              <w:rPr>
                <w:rFonts w:ascii="Times New Roman" w:eastAsia="Arial" w:hAnsi="Times New Roman" w:cs="Times New Roman"/>
                <w:color w:val="000000"/>
                <w:sz w:val="24"/>
                <w:szCs w:val="24"/>
              </w:rPr>
            </w:pPr>
            <w:r>
              <w:rPr>
                <w:rFonts w:ascii="Times New Roman" w:eastAsia="Arial" w:hAnsi="Times New Roman" w:cs="Times New Roman"/>
                <w:color w:val="000000"/>
                <w:sz w:val="24"/>
                <w:szCs w:val="24"/>
              </w:rPr>
              <w:t xml:space="preserve">(0.138)</w:t>
            </w:r>
          </w:p>
        </w:tc>
      </w:tr>
      <w:tr>
        <w:tblPrEx>
          <w:tblBorders>
            <w:top w:val="none" w:sz="0" w:space="0"/>
            <w:left w:val="none" w:sz="0" w:space="0"/>
            <w:bottom w:val="none" w:sz="0" w:space="0"/>
            <w:right w:val="none" w:sz="0" w:space="0"/>
            <w:insideH w:val="none" w:sz="0" w:space="0"/>
            <w:insideV w:val="none" w:sz="0" w:space="0"/>
          </w:tblBorders>
        </w:tblPrEx>
        <w:trPr>
          <w:trHeight w:hRule="atLeast" w:val="20"/>
        </w:trPr>
        <w:tc>
          <w:tcPr>
            <w:tcW w:type="pct" w:w="2137"/>
            <w:tcMar>
              <w:top w:w="0" w:type="dxa"/>
              <w:left w:w="0" w:type="dxa"/>
              <w:bottom w:w="0" w:type="dxa"/>
              <w:right w:w="0" w:type="dxa"/>
            </w:tcMar>
            <w:tcBorders>
              <w:top w:val="none" w:color="000000" w:sz="0" w:space="0"/>
              <w:left w:val="none" w:color="000000" w:sz="0" w:space="0"/>
              <w:bottom w:val="none" w:color="000000" w:sz="0" w:space="0"/>
              <w:right w:val="none" w:color="000000" w:sz="0" w:space="0"/>
            </w:tcBorders>
            <w:shd w:fill="FFFFFF" w:color="auto" w:val="clear"/>
            <w:vAlign w:val="top"/>
          </w:tcPr>
          <w:p>
            <w:pPr>
              <w:pBdr>
                <w:top w:val="none" w:color="000000" w:sz="0" w:space="0"/>
                <w:left w:val="none" w:color="000000" w:sz="0" w:space="0"/>
                <w:bottom w:val="none" w:color="000000" w:sz="0" w:space="0"/>
                <w:right w:val="none" w:color="000000" w:sz="0" w:space="0"/>
              </w:pBdr>
              <w:pStyle w:val="Normal"/>
              <w:spacing w:before="120" w:after="120"/>
              <w:ind w:left="120" w:right="120"/>
              <w:rPr>
                <w:rFonts w:ascii="Times New Roman" w:eastAsia="Arial" w:hAnsi="Times New Roman" w:cs="Times New Roman"/>
                <w:color w:val="000000"/>
                <w:sz w:val="24"/>
                <w:szCs w:val="24"/>
              </w:rPr>
            </w:pPr>
            <w:r>
              <w:rPr>
                <w:rFonts w:ascii="Times New Roman" w:eastAsia="Arial" w:hAnsi="Times New Roman" w:cs="Times New Roman"/>
                <w:color w:val="000000"/>
                <w:sz w:val="24"/>
                <w:szCs w:val="24"/>
              </w:rPr>
              <w:t xml:space="preserve">Age (Years)</w:t>
            </w:r>
          </w:p>
        </w:tc>
        <w:tc>
          <w:tcPr>
            <w:tcW w:type="pct" w:w="887"/>
            <w:tcMar>
              <w:top w:w="0" w:type="dxa"/>
              <w:left w:w="0" w:type="dxa"/>
              <w:bottom w:w="0" w:type="dxa"/>
              <w:right w:w="0" w:type="dxa"/>
            </w:tcMar>
            <w:tcBorders>
              <w:top w:val="none" w:color="000000" w:sz="0" w:space="0"/>
              <w:left w:val="none" w:color="000000" w:sz="0" w:space="0"/>
              <w:bottom w:val="none" w:color="000000" w:sz="0" w:space="0"/>
              <w:right w:val="none" w:color="000000" w:sz="0" w:space="0"/>
            </w:tcBorders>
            <w:shd w:fill="FFFFFF" w:color="auto" w:val="clear"/>
            <w:vAlign w:val="top"/>
          </w:tcPr>
          <w:p>
            <w:pPr>
              <w:pBdr>
                <w:top w:val="none" w:color="000000" w:sz="0" w:space="0"/>
                <w:left w:val="none" w:color="000000" w:sz="0" w:space="0"/>
                <w:bottom w:val="none" w:color="000000" w:sz="0" w:space="0"/>
                <w:right w:val="none" w:color="000000" w:sz="0" w:space="0"/>
              </w:pBdr>
              <w:pStyle w:val="Normal"/>
              <w:spacing w:before="120" w:after="120"/>
              <w:ind w:left="120" w:right="120"/>
              <w:rPr>
                <w:rFonts w:ascii="Times New Roman" w:eastAsia="Arial" w:hAnsi="Times New Roman" w:cs="Times New Roman"/>
                <w:color w:val="000000"/>
                <w:sz w:val="24"/>
                <w:szCs w:val="24"/>
              </w:rPr>
            </w:pPr>
            <w:r>
              <w:rPr>
                <w:rFonts w:ascii="Times New Roman" w:eastAsia="Arial" w:hAnsi="Times New Roman" w:cs="Times New Roman"/>
                <w:color w:val="000000"/>
                <w:sz w:val="24"/>
                <w:szCs w:val="24"/>
              </w:rPr>
              <w:t xml:space="preserve">0.010**</w:t>
            </w:r>
          </w:p>
        </w:tc>
        <w:tc>
          <w:tcPr>
            <w:tcW w:type="pct" w:w="887"/>
            <w:tcMar>
              <w:top w:w="0" w:type="dxa"/>
              <w:left w:w="0" w:type="dxa"/>
              <w:bottom w:w="0" w:type="dxa"/>
              <w:right w:w="0" w:type="dxa"/>
            </w:tcMar>
            <w:tcBorders>
              <w:top w:val="none" w:color="000000" w:sz="0" w:space="0"/>
              <w:left w:val="none" w:color="000000" w:sz="0" w:space="0"/>
              <w:bottom w:val="none" w:color="000000" w:sz="0" w:space="0"/>
              <w:right w:val="none" w:color="000000" w:sz="0" w:space="0"/>
            </w:tcBorders>
            <w:shd w:fill="FFFFFF" w:color="auto" w:val="clear"/>
            <w:vAlign w:val="top"/>
          </w:tcPr>
          <w:p>
            <w:pPr>
              <w:pBdr>
                <w:top w:val="none" w:color="000000" w:sz="0" w:space="0"/>
                <w:left w:val="none" w:color="000000" w:sz="0" w:space="0"/>
                <w:bottom w:val="none" w:color="000000" w:sz="0" w:space="0"/>
                <w:right w:val="none" w:color="000000" w:sz="0" w:space="0"/>
              </w:pBdr>
              <w:pStyle w:val="Normal"/>
              <w:spacing w:before="120" w:after="120"/>
              <w:ind w:left="120" w:right="120"/>
              <w:rPr>
                <w:rFonts w:ascii="Times New Roman" w:eastAsia="Arial" w:hAnsi="Times New Roman" w:cs="Times New Roman"/>
                <w:color w:val="000000"/>
                <w:sz w:val="24"/>
                <w:szCs w:val="24"/>
              </w:rPr>
            </w:pPr>
            <w:r>
              <w:rPr>
                <w:rFonts w:ascii="Times New Roman" w:eastAsia="Arial" w:hAnsi="Times New Roman" w:cs="Times New Roman"/>
                <w:color w:val="000000"/>
                <w:sz w:val="24"/>
                <w:szCs w:val="24"/>
              </w:rPr>
              <w:t xml:space="preserve">0.001</w:t>
            </w:r>
          </w:p>
        </w:tc>
        <w:tc>
          <w:tcPr>
            <w:tcW w:type="pct" w:w="1089"/>
            <w:tcMar>
              <w:top w:w="0" w:type="dxa"/>
              <w:left w:w="0" w:type="dxa"/>
              <w:bottom w:w="0" w:type="dxa"/>
              <w:right w:w="0" w:type="dxa"/>
            </w:tcMar>
            <w:tcBorders>
              <w:top w:val="none" w:color="000000" w:sz="0" w:space="0"/>
              <w:left w:val="none" w:color="000000" w:sz="0" w:space="0"/>
              <w:bottom w:val="none" w:color="000000" w:sz="0" w:space="0"/>
              <w:right w:val="none" w:color="000000" w:sz="0" w:space="0"/>
            </w:tcBorders>
            <w:shd w:fill="FFFFFF" w:color="auto" w:val="clear"/>
            <w:vAlign w:val="top"/>
          </w:tcPr>
          <w:p>
            <w:pPr>
              <w:pBdr>
                <w:top w:val="none" w:color="000000" w:sz="0" w:space="0"/>
                <w:left w:val="none" w:color="000000" w:sz="0" w:space="0"/>
                <w:bottom w:val="none" w:color="000000" w:sz="0" w:space="0"/>
                <w:right w:val="none" w:color="000000" w:sz="0" w:space="0"/>
              </w:pBdr>
              <w:pStyle w:val="Normal"/>
              <w:spacing w:before="120" w:after="120"/>
              <w:ind w:left="120" w:right="120"/>
              <w:rPr>
                <w:rFonts w:ascii="Times New Roman" w:eastAsia="Arial" w:hAnsi="Times New Roman" w:cs="Times New Roman"/>
                <w:color w:val="000000"/>
                <w:sz w:val="24"/>
                <w:szCs w:val="24"/>
              </w:rPr>
            </w:pPr>
            <w:r>
              <w:rPr>
                <w:rFonts w:ascii="Times New Roman" w:eastAsia="Arial" w:hAnsi="Times New Roman" w:cs="Times New Roman"/>
                <w:color w:val="000000"/>
                <w:sz w:val="24"/>
                <w:szCs w:val="24"/>
              </w:rPr>
              <w:t xml:space="preserve">0.009*</w:t>
            </w:r>
          </w:p>
        </w:tc>
      </w:tr>
      <w:tr>
        <w:tblPrEx>
          <w:tblBorders>
            <w:top w:val="none" w:sz="0" w:space="0"/>
            <w:left w:val="none" w:sz="0" w:space="0"/>
            <w:bottom w:val="none" w:sz="0" w:space="0"/>
            <w:right w:val="none" w:sz="0" w:space="0"/>
            <w:insideH w:val="none" w:sz="0" w:space="0"/>
            <w:insideV w:val="none" w:sz="0" w:space="0"/>
          </w:tblBorders>
        </w:tblPrEx>
        <w:trPr>
          <w:trHeight w:hRule="atLeast" w:val="20"/>
        </w:trPr>
        <w:tc>
          <w:tcPr>
            <w:tcW w:type="pct" w:w="2137"/>
            <w:tcMar>
              <w:top w:w="0" w:type="dxa"/>
              <w:left w:w="0" w:type="dxa"/>
              <w:bottom w:w="0" w:type="dxa"/>
              <w:right w:w="0" w:type="dxa"/>
            </w:tcMar>
            <w:tcBorders>
              <w:top w:val="none" w:color="000000" w:sz="0" w:space="0"/>
              <w:left w:val="none" w:color="000000" w:sz="0" w:space="0"/>
              <w:bottom w:val="none" w:color="000000" w:sz="0" w:space="0"/>
              <w:right w:val="none" w:color="000000" w:sz="0" w:space="0"/>
            </w:tcBorders>
            <w:shd w:fill="FFFFFF" w:color="auto" w:val="clear"/>
            <w:vAlign w:val="top"/>
          </w:tcPr>
          <w:p>
            <w:pPr>
              <w:pBdr>
                <w:top w:val="none" w:color="000000" w:sz="0" w:space="0"/>
                <w:left w:val="none" w:color="000000" w:sz="0" w:space="0"/>
                <w:bottom w:val="none" w:color="000000" w:sz="0" w:space="0"/>
                <w:right w:val="none" w:color="000000" w:sz="0" w:space="0"/>
              </w:pBdr>
              <w:pStyle w:val="Normal"/>
              <w:spacing w:before="120" w:after="120"/>
              <w:ind w:left="120" w:right="120"/>
              <w:rPr>
                <w:rFonts w:ascii="Times New Roman" w:eastAsia="Arial" w:hAnsi="Times New Roman" w:cs="Times New Roman"/>
                <w:color w:val="000000"/>
                <w:sz w:val="24"/>
                <w:szCs w:val="24"/>
              </w:rPr>
            </w:pPr>
          </w:p>
        </w:tc>
        <w:tc>
          <w:tcPr>
            <w:tcW w:type="pct" w:w="887"/>
            <w:tcMar>
              <w:top w:w="0" w:type="dxa"/>
              <w:left w:w="0" w:type="dxa"/>
              <w:bottom w:w="0" w:type="dxa"/>
              <w:right w:w="0" w:type="dxa"/>
            </w:tcMar>
            <w:tcBorders>
              <w:top w:val="none" w:color="000000" w:sz="0" w:space="0"/>
              <w:left w:val="none" w:color="000000" w:sz="0" w:space="0"/>
              <w:bottom w:val="none" w:color="000000" w:sz="0" w:space="0"/>
              <w:right w:val="none" w:color="000000" w:sz="0" w:space="0"/>
            </w:tcBorders>
            <w:shd w:fill="FFFFFF" w:color="auto" w:val="clear"/>
            <w:vAlign w:val="top"/>
          </w:tcPr>
          <w:p>
            <w:pPr>
              <w:pBdr>
                <w:top w:val="none" w:color="000000" w:sz="0" w:space="0"/>
                <w:left w:val="none" w:color="000000" w:sz="0" w:space="0"/>
                <w:bottom w:val="none" w:color="000000" w:sz="0" w:space="0"/>
                <w:right w:val="none" w:color="000000" w:sz="0" w:space="0"/>
              </w:pBdr>
              <w:pStyle w:val="Normal"/>
              <w:spacing w:before="120" w:after="120"/>
              <w:ind w:left="120" w:right="120"/>
              <w:rPr>
                <w:rFonts w:ascii="Times New Roman" w:eastAsia="Arial" w:hAnsi="Times New Roman" w:cs="Times New Roman"/>
                <w:color w:val="000000"/>
                <w:sz w:val="24"/>
                <w:szCs w:val="24"/>
              </w:rPr>
            </w:pPr>
            <w:r>
              <w:rPr>
                <w:rFonts w:ascii="Times New Roman" w:eastAsia="Arial" w:hAnsi="Times New Roman" w:cs="Times New Roman"/>
                <w:color w:val="000000"/>
                <w:sz w:val="24"/>
                <w:szCs w:val="24"/>
              </w:rPr>
              <w:t xml:space="preserve">(0.003)</w:t>
            </w:r>
          </w:p>
        </w:tc>
        <w:tc>
          <w:tcPr>
            <w:tcW w:type="pct" w:w="887"/>
            <w:tcMar>
              <w:top w:w="0" w:type="dxa"/>
              <w:left w:w="0" w:type="dxa"/>
              <w:bottom w:w="0" w:type="dxa"/>
              <w:right w:w="0" w:type="dxa"/>
            </w:tcMar>
            <w:tcBorders>
              <w:top w:val="none" w:color="000000" w:sz="0" w:space="0"/>
              <w:left w:val="none" w:color="000000" w:sz="0" w:space="0"/>
              <w:bottom w:val="none" w:color="000000" w:sz="0" w:space="0"/>
              <w:right w:val="none" w:color="000000" w:sz="0" w:space="0"/>
            </w:tcBorders>
            <w:shd w:fill="FFFFFF" w:color="auto" w:val="clear"/>
            <w:vAlign w:val="top"/>
          </w:tcPr>
          <w:p>
            <w:pPr>
              <w:pBdr>
                <w:top w:val="none" w:color="000000" w:sz="0" w:space="0"/>
                <w:left w:val="none" w:color="000000" w:sz="0" w:space="0"/>
                <w:bottom w:val="none" w:color="000000" w:sz="0" w:space="0"/>
                <w:right w:val="none" w:color="000000" w:sz="0" w:space="0"/>
              </w:pBdr>
              <w:pStyle w:val="Normal"/>
              <w:spacing w:before="120" w:after="120"/>
              <w:ind w:left="120" w:right="120"/>
              <w:rPr>
                <w:rFonts w:ascii="Times New Roman" w:eastAsia="Arial" w:hAnsi="Times New Roman" w:cs="Times New Roman"/>
                <w:color w:val="000000"/>
                <w:sz w:val="24"/>
                <w:szCs w:val="24"/>
              </w:rPr>
            </w:pPr>
            <w:r>
              <w:rPr>
                <w:rFonts w:ascii="Times New Roman" w:eastAsia="Arial" w:hAnsi="Times New Roman" w:cs="Times New Roman"/>
                <w:color w:val="000000"/>
                <w:sz w:val="24"/>
                <w:szCs w:val="24"/>
              </w:rPr>
              <w:t xml:space="preserve">(0.004)</w:t>
            </w:r>
          </w:p>
        </w:tc>
        <w:tc>
          <w:tcPr>
            <w:tcW w:type="pct" w:w="1089"/>
            <w:tcMar>
              <w:top w:w="0" w:type="dxa"/>
              <w:left w:w="0" w:type="dxa"/>
              <w:bottom w:w="0" w:type="dxa"/>
              <w:right w:w="0" w:type="dxa"/>
            </w:tcMar>
            <w:tcBorders>
              <w:top w:val="none" w:color="000000" w:sz="0" w:space="0"/>
              <w:left w:val="none" w:color="000000" w:sz="0" w:space="0"/>
              <w:bottom w:val="none" w:color="000000" w:sz="0" w:space="0"/>
              <w:right w:val="none" w:color="000000" w:sz="0" w:space="0"/>
            </w:tcBorders>
            <w:shd w:fill="FFFFFF" w:color="auto" w:val="clear"/>
            <w:vAlign w:val="top"/>
          </w:tcPr>
          <w:p>
            <w:pPr>
              <w:pBdr>
                <w:top w:val="none" w:color="000000" w:sz="0" w:space="0"/>
                <w:left w:val="none" w:color="000000" w:sz="0" w:space="0"/>
                <w:bottom w:val="none" w:color="000000" w:sz="0" w:space="0"/>
                <w:right w:val="none" w:color="000000" w:sz="0" w:space="0"/>
              </w:pBdr>
              <w:pStyle w:val="Normal"/>
              <w:spacing w:before="120" w:after="120"/>
              <w:ind w:left="120" w:right="120"/>
              <w:rPr>
                <w:rFonts w:ascii="Times New Roman" w:eastAsia="Arial" w:hAnsi="Times New Roman" w:cs="Times New Roman"/>
                <w:color w:val="000000"/>
                <w:sz w:val="24"/>
                <w:szCs w:val="24"/>
              </w:rPr>
            </w:pPr>
            <w:r>
              <w:rPr>
                <w:rFonts w:ascii="Times New Roman" w:eastAsia="Arial" w:hAnsi="Times New Roman" w:cs="Times New Roman"/>
                <w:color w:val="000000"/>
                <w:sz w:val="24"/>
                <w:szCs w:val="24"/>
              </w:rPr>
              <w:t xml:space="preserve">(0.005)</w:t>
            </w:r>
          </w:p>
        </w:tc>
      </w:tr>
      <w:tr>
        <w:tblPrEx>
          <w:tblBorders>
            <w:top w:val="none" w:sz="0" w:space="0"/>
            <w:left w:val="none" w:sz="0" w:space="0"/>
            <w:bottom w:val="none" w:sz="0" w:space="0"/>
            <w:right w:val="none" w:sz="0" w:space="0"/>
            <w:insideH w:val="none" w:sz="0" w:space="0"/>
            <w:insideV w:val="none" w:sz="0" w:space="0"/>
          </w:tblBorders>
        </w:tblPrEx>
        <w:trPr>
          <w:trHeight w:hRule="atLeast" w:val="20"/>
        </w:trPr>
        <w:tc>
          <w:tcPr>
            <w:tcW w:type="pct" w:w="2137"/>
            <w:tcMar>
              <w:top w:w="0" w:type="dxa"/>
              <w:left w:w="0" w:type="dxa"/>
              <w:bottom w:w="0" w:type="dxa"/>
              <w:right w:w="0" w:type="dxa"/>
            </w:tcMar>
            <w:tcBorders>
              <w:top w:val="none" w:color="000000" w:sz="0" w:space="0"/>
              <w:left w:val="none" w:color="000000" w:sz="0" w:space="0"/>
              <w:bottom w:val="none" w:color="000000" w:sz="0" w:space="0"/>
              <w:right w:val="none" w:color="000000" w:sz="0" w:space="0"/>
            </w:tcBorders>
            <w:shd w:fill="FFFFFF" w:color="auto" w:val="clear"/>
            <w:vAlign w:val="top"/>
          </w:tcPr>
          <w:p>
            <w:pPr>
              <w:pBdr>
                <w:top w:val="none" w:color="000000" w:sz="0" w:space="0"/>
                <w:left w:val="none" w:color="000000" w:sz="0" w:space="0"/>
                <w:bottom w:val="none" w:color="000000" w:sz="0" w:space="0"/>
                <w:right w:val="none" w:color="000000" w:sz="0" w:space="0"/>
              </w:pBdr>
              <w:pStyle w:val="Normal"/>
              <w:spacing w:before="120" w:after="120"/>
              <w:ind w:left="120" w:right="120"/>
              <w:rPr>
                <w:rFonts w:ascii="Times New Roman" w:eastAsia="Arial" w:hAnsi="Times New Roman" w:cs="Times New Roman"/>
                <w:color w:val="000000"/>
                <w:sz w:val="24"/>
                <w:szCs w:val="24"/>
              </w:rPr>
            </w:pPr>
            <w:r>
              <w:rPr>
                <w:rFonts w:ascii="Times New Roman" w:eastAsia="Arial" w:hAnsi="Times New Roman" w:cs="Times New Roman"/>
                <w:color w:val="000000"/>
                <w:sz w:val="24"/>
                <w:szCs w:val="24"/>
              </w:rPr>
              <w:t xml:space="preserve">Education</w:t>
            </w:r>
          </w:p>
        </w:tc>
        <w:tc>
          <w:tcPr>
            <w:tcW w:type="pct" w:w="887"/>
            <w:tcMar>
              <w:top w:w="0" w:type="dxa"/>
              <w:left w:w="0" w:type="dxa"/>
              <w:bottom w:w="0" w:type="dxa"/>
              <w:right w:w="0" w:type="dxa"/>
            </w:tcMar>
            <w:tcBorders>
              <w:top w:val="none" w:color="000000" w:sz="0" w:space="0"/>
              <w:left w:val="none" w:color="000000" w:sz="0" w:space="0"/>
              <w:bottom w:val="none" w:color="000000" w:sz="0" w:space="0"/>
              <w:right w:val="none" w:color="000000" w:sz="0" w:space="0"/>
            </w:tcBorders>
            <w:shd w:fill="FFFFFF" w:color="auto" w:val="clear"/>
            <w:vAlign w:val="top"/>
          </w:tcPr>
          <w:p>
            <w:pPr>
              <w:pBdr>
                <w:top w:val="none" w:color="000000" w:sz="0" w:space="0"/>
                <w:left w:val="none" w:color="000000" w:sz="0" w:space="0"/>
                <w:bottom w:val="none" w:color="000000" w:sz="0" w:space="0"/>
                <w:right w:val="none" w:color="000000" w:sz="0" w:space="0"/>
              </w:pBdr>
              <w:pStyle w:val="Normal"/>
              <w:spacing w:before="120" w:after="120"/>
              <w:ind w:left="120" w:right="120"/>
              <w:rPr>
                <w:rFonts w:ascii="Times New Roman" w:eastAsia="Arial" w:hAnsi="Times New Roman" w:cs="Times New Roman"/>
                <w:color w:val="000000"/>
                <w:sz w:val="24"/>
                <w:szCs w:val="24"/>
              </w:rPr>
            </w:pPr>
            <w:r>
              <w:rPr>
                <w:rFonts w:ascii="Times New Roman" w:eastAsia="Arial" w:hAnsi="Times New Roman" w:cs="Times New Roman"/>
                <w:color w:val="000000"/>
                <w:sz w:val="24"/>
                <w:szCs w:val="24"/>
              </w:rPr>
              <w:t xml:space="preserve">-0.006</w:t>
            </w:r>
          </w:p>
        </w:tc>
        <w:tc>
          <w:tcPr>
            <w:tcW w:type="pct" w:w="887"/>
            <w:tcMar>
              <w:top w:w="0" w:type="dxa"/>
              <w:left w:w="0" w:type="dxa"/>
              <w:bottom w:w="0" w:type="dxa"/>
              <w:right w:w="0" w:type="dxa"/>
            </w:tcMar>
            <w:tcBorders>
              <w:top w:val="none" w:color="000000" w:sz="0" w:space="0"/>
              <w:left w:val="none" w:color="000000" w:sz="0" w:space="0"/>
              <w:bottom w:val="none" w:color="000000" w:sz="0" w:space="0"/>
              <w:right w:val="none" w:color="000000" w:sz="0" w:space="0"/>
            </w:tcBorders>
            <w:shd w:fill="FFFFFF" w:color="auto" w:val="clear"/>
            <w:vAlign w:val="top"/>
          </w:tcPr>
          <w:p>
            <w:pPr>
              <w:pBdr>
                <w:top w:val="none" w:color="000000" w:sz="0" w:space="0"/>
                <w:left w:val="none" w:color="000000" w:sz="0" w:space="0"/>
                <w:bottom w:val="none" w:color="000000" w:sz="0" w:space="0"/>
                <w:right w:val="none" w:color="000000" w:sz="0" w:space="0"/>
              </w:pBdr>
              <w:pStyle w:val="Normal"/>
              <w:spacing w:before="120" w:after="120"/>
              <w:ind w:left="120" w:right="120"/>
              <w:rPr>
                <w:rFonts w:ascii="Times New Roman" w:eastAsia="Arial" w:hAnsi="Times New Roman" w:cs="Times New Roman"/>
                <w:color w:val="000000"/>
                <w:sz w:val="24"/>
                <w:szCs w:val="24"/>
              </w:rPr>
            </w:pPr>
            <w:r>
              <w:rPr>
                <w:rFonts w:ascii="Times New Roman" w:eastAsia="Arial" w:hAnsi="Times New Roman" w:cs="Times New Roman"/>
                <w:color w:val="000000"/>
                <w:sz w:val="24"/>
                <w:szCs w:val="24"/>
              </w:rPr>
              <w:t xml:space="preserve">-0.111**</w:t>
            </w:r>
          </w:p>
        </w:tc>
        <w:tc>
          <w:tcPr>
            <w:tcW w:type="pct" w:w="1089"/>
            <w:tcMar>
              <w:top w:w="0" w:type="dxa"/>
              <w:left w:w="0" w:type="dxa"/>
              <w:bottom w:w="0" w:type="dxa"/>
              <w:right w:w="0" w:type="dxa"/>
            </w:tcMar>
            <w:tcBorders>
              <w:top w:val="none" w:color="000000" w:sz="0" w:space="0"/>
              <w:left w:val="none" w:color="000000" w:sz="0" w:space="0"/>
              <w:bottom w:val="none" w:color="000000" w:sz="0" w:space="0"/>
              <w:right w:val="none" w:color="000000" w:sz="0" w:space="0"/>
            </w:tcBorders>
            <w:shd w:fill="FFFFFF" w:color="auto" w:val="clear"/>
            <w:vAlign w:val="top"/>
          </w:tcPr>
          <w:p>
            <w:pPr>
              <w:pBdr>
                <w:top w:val="none" w:color="000000" w:sz="0" w:space="0"/>
                <w:left w:val="none" w:color="000000" w:sz="0" w:space="0"/>
                <w:bottom w:val="none" w:color="000000" w:sz="0" w:space="0"/>
                <w:right w:val="none" w:color="000000" w:sz="0" w:space="0"/>
              </w:pBdr>
              <w:pStyle w:val="Normal"/>
              <w:spacing w:before="120" w:after="120"/>
              <w:ind w:left="120" w:right="120"/>
              <w:rPr>
                <w:rFonts w:ascii="Times New Roman" w:eastAsia="Arial" w:hAnsi="Times New Roman" w:cs="Times New Roman"/>
                <w:color w:val="000000"/>
                <w:sz w:val="24"/>
                <w:szCs w:val="24"/>
              </w:rPr>
            </w:pPr>
            <w:r>
              <w:rPr>
                <w:rFonts w:ascii="Times New Roman" w:eastAsia="Arial" w:hAnsi="Times New Roman" w:cs="Times New Roman"/>
                <w:color w:val="000000"/>
                <w:sz w:val="24"/>
                <w:szCs w:val="24"/>
              </w:rPr>
              <w:t xml:space="preserve">-0.030</w:t>
            </w:r>
          </w:p>
        </w:tc>
      </w:tr>
      <w:tr>
        <w:tblPrEx>
          <w:tblBorders>
            <w:top w:val="none" w:sz="0" w:space="0"/>
            <w:left w:val="none" w:sz="0" w:space="0"/>
            <w:bottom w:val="none" w:sz="0" w:space="0"/>
            <w:right w:val="none" w:sz="0" w:space="0"/>
            <w:insideH w:val="none" w:sz="0" w:space="0"/>
            <w:insideV w:val="none" w:sz="0" w:space="0"/>
          </w:tblBorders>
        </w:tblPrEx>
        <w:trPr>
          <w:trHeight w:hRule="atLeast" w:val="20"/>
        </w:trPr>
        <w:tc>
          <w:tcPr>
            <w:tcW w:type="pct" w:w="2137"/>
            <w:tcMar>
              <w:top w:w="0" w:type="dxa"/>
              <w:left w:w="0" w:type="dxa"/>
              <w:bottom w:w="0" w:type="dxa"/>
              <w:right w:w="0" w:type="dxa"/>
            </w:tcMar>
            <w:tcBorders>
              <w:top w:val="none" w:color="000000" w:sz="0" w:space="0"/>
              <w:left w:val="none" w:color="000000" w:sz="0" w:space="0"/>
              <w:bottom w:val="none" w:color="000000" w:sz="0" w:space="0"/>
              <w:right w:val="none" w:color="000000" w:sz="0" w:space="0"/>
            </w:tcBorders>
            <w:shd w:fill="FFFFFF" w:color="auto" w:val="clear"/>
            <w:vAlign w:val="top"/>
          </w:tcPr>
          <w:p>
            <w:pPr>
              <w:pBdr>
                <w:top w:val="none" w:color="000000" w:sz="0" w:space="0"/>
                <w:left w:val="none" w:color="000000" w:sz="0" w:space="0"/>
                <w:bottom w:val="none" w:color="000000" w:sz="0" w:space="0"/>
                <w:right w:val="none" w:color="000000" w:sz="0" w:space="0"/>
              </w:pBdr>
              <w:pStyle w:val="Normal"/>
              <w:spacing w:before="120" w:after="120"/>
              <w:ind w:left="120" w:right="120"/>
              <w:rPr>
                <w:rFonts w:ascii="Times New Roman" w:eastAsia="Arial" w:hAnsi="Times New Roman" w:cs="Times New Roman"/>
                <w:color w:val="000000"/>
                <w:sz w:val="24"/>
                <w:szCs w:val="24"/>
              </w:rPr>
            </w:pPr>
          </w:p>
        </w:tc>
        <w:tc>
          <w:tcPr>
            <w:tcW w:type="pct" w:w="887"/>
            <w:tcMar>
              <w:top w:w="0" w:type="dxa"/>
              <w:left w:w="0" w:type="dxa"/>
              <w:bottom w:w="0" w:type="dxa"/>
              <w:right w:w="0" w:type="dxa"/>
            </w:tcMar>
            <w:tcBorders>
              <w:top w:val="none" w:color="000000" w:sz="0" w:space="0"/>
              <w:left w:val="none" w:color="000000" w:sz="0" w:space="0"/>
              <w:bottom w:val="none" w:color="000000" w:sz="0" w:space="0"/>
              <w:right w:val="none" w:color="000000" w:sz="0" w:space="0"/>
            </w:tcBorders>
            <w:shd w:fill="FFFFFF" w:color="auto" w:val="clear"/>
            <w:vAlign w:val="top"/>
          </w:tcPr>
          <w:p>
            <w:pPr>
              <w:pBdr>
                <w:top w:val="none" w:color="000000" w:sz="0" w:space="0"/>
                <w:left w:val="none" w:color="000000" w:sz="0" w:space="0"/>
                <w:bottom w:val="none" w:color="000000" w:sz="0" w:space="0"/>
                <w:right w:val="none" w:color="000000" w:sz="0" w:space="0"/>
              </w:pBdr>
              <w:pStyle w:val="Normal"/>
              <w:spacing w:before="120" w:after="120"/>
              <w:ind w:left="120" w:right="120"/>
              <w:rPr>
                <w:rFonts w:ascii="Times New Roman" w:eastAsia="Arial" w:hAnsi="Times New Roman" w:cs="Times New Roman"/>
                <w:color w:val="000000"/>
                <w:sz w:val="24"/>
                <w:szCs w:val="24"/>
              </w:rPr>
            </w:pPr>
            <w:r>
              <w:rPr>
                <w:rFonts w:ascii="Times New Roman" w:eastAsia="Arial" w:hAnsi="Times New Roman" w:cs="Times New Roman"/>
                <w:color w:val="000000"/>
                <w:sz w:val="24"/>
                <w:szCs w:val="24"/>
              </w:rPr>
              <w:t xml:space="preserve">(0.036)</w:t>
            </w:r>
          </w:p>
        </w:tc>
        <w:tc>
          <w:tcPr>
            <w:tcW w:type="pct" w:w="887"/>
            <w:tcMar>
              <w:top w:w="0" w:type="dxa"/>
              <w:left w:w="0" w:type="dxa"/>
              <w:bottom w:w="0" w:type="dxa"/>
              <w:right w:w="0" w:type="dxa"/>
            </w:tcMar>
            <w:tcBorders>
              <w:top w:val="none" w:color="000000" w:sz="0" w:space="0"/>
              <w:left w:val="none" w:color="000000" w:sz="0" w:space="0"/>
              <w:bottom w:val="none" w:color="000000" w:sz="0" w:space="0"/>
              <w:right w:val="none" w:color="000000" w:sz="0" w:space="0"/>
            </w:tcBorders>
            <w:shd w:fill="FFFFFF" w:color="auto" w:val="clear"/>
            <w:vAlign w:val="top"/>
          </w:tcPr>
          <w:p>
            <w:pPr>
              <w:pBdr>
                <w:top w:val="none" w:color="000000" w:sz="0" w:space="0"/>
                <w:left w:val="none" w:color="000000" w:sz="0" w:space="0"/>
                <w:bottom w:val="none" w:color="000000" w:sz="0" w:space="0"/>
                <w:right w:val="none" w:color="000000" w:sz="0" w:space="0"/>
              </w:pBdr>
              <w:pStyle w:val="Normal"/>
              <w:spacing w:before="120" w:after="120"/>
              <w:ind w:left="120" w:right="120"/>
              <w:rPr>
                <w:rFonts w:ascii="Times New Roman" w:eastAsia="Arial" w:hAnsi="Times New Roman" w:cs="Times New Roman"/>
                <w:color w:val="000000"/>
                <w:sz w:val="24"/>
                <w:szCs w:val="24"/>
              </w:rPr>
            </w:pPr>
            <w:r>
              <w:rPr>
                <w:rFonts w:ascii="Times New Roman" w:eastAsia="Arial" w:hAnsi="Times New Roman" w:cs="Times New Roman"/>
                <w:color w:val="000000"/>
                <w:sz w:val="24"/>
                <w:szCs w:val="24"/>
              </w:rPr>
              <w:t xml:space="preserve">(0.041)</w:t>
            </w:r>
          </w:p>
        </w:tc>
        <w:tc>
          <w:tcPr>
            <w:tcW w:type="pct" w:w="1089"/>
            <w:tcMar>
              <w:top w:w="0" w:type="dxa"/>
              <w:left w:w="0" w:type="dxa"/>
              <w:bottom w:w="0" w:type="dxa"/>
              <w:right w:w="0" w:type="dxa"/>
            </w:tcMar>
            <w:tcBorders>
              <w:top w:val="none" w:color="000000" w:sz="0" w:space="0"/>
              <w:left w:val="none" w:color="000000" w:sz="0" w:space="0"/>
              <w:bottom w:val="none" w:color="000000" w:sz="0" w:space="0"/>
              <w:right w:val="none" w:color="000000" w:sz="0" w:space="0"/>
            </w:tcBorders>
            <w:shd w:fill="FFFFFF" w:color="auto" w:val="clear"/>
            <w:vAlign w:val="top"/>
          </w:tcPr>
          <w:p>
            <w:pPr>
              <w:pBdr>
                <w:top w:val="none" w:color="000000" w:sz="0" w:space="0"/>
                <w:left w:val="none" w:color="000000" w:sz="0" w:space="0"/>
                <w:bottom w:val="none" w:color="000000" w:sz="0" w:space="0"/>
                <w:right w:val="none" w:color="000000" w:sz="0" w:space="0"/>
              </w:pBdr>
              <w:pStyle w:val="Normal"/>
              <w:spacing w:before="120" w:after="120"/>
              <w:ind w:left="120" w:right="120"/>
              <w:rPr>
                <w:rFonts w:ascii="Times New Roman" w:eastAsia="Arial" w:hAnsi="Times New Roman" w:cs="Times New Roman"/>
                <w:color w:val="000000"/>
                <w:sz w:val="24"/>
                <w:szCs w:val="24"/>
              </w:rPr>
            </w:pPr>
            <w:r>
              <w:rPr>
                <w:rFonts w:ascii="Times New Roman" w:eastAsia="Arial" w:hAnsi="Times New Roman" w:cs="Times New Roman"/>
                <w:color w:val="000000"/>
                <w:sz w:val="24"/>
                <w:szCs w:val="24"/>
              </w:rPr>
              <w:t xml:space="preserve">(0.050)</w:t>
            </w:r>
          </w:p>
        </w:tc>
      </w:tr>
      <w:tr>
        <w:tblPrEx>
          <w:tblBorders>
            <w:top w:val="none" w:sz="0" w:space="0"/>
            <w:left w:val="none" w:sz="0" w:space="0"/>
            <w:bottom w:val="none" w:sz="0" w:space="0"/>
            <w:right w:val="none" w:sz="0" w:space="0"/>
            <w:insideH w:val="none" w:sz="0" w:space="0"/>
            <w:insideV w:val="none" w:sz="0" w:space="0"/>
          </w:tblBorders>
        </w:tblPrEx>
        <w:trPr>
          <w:trHeight w:hRule="atLeast" w:val="20"/>
        </w:trPr>
        <w:tc>
          <w:tcPr>
            <w:tcW w:type="pct" w:w="2137"/>
            <w:tcMar>
              <w:top w:w="0" w:type="dxa"/>
              <w:left w:w="0" w:type="dxa"/>
              <w:bottom w:w="0" w:type="dxa"/>
              <w:right w:w="0" w:type="dxa"/>
            </w:tcMar>
            <w:tcBorders>
              <w:top w:val="none" w:color="000000" w:sz="0" w:space="0"/>
              <w:left w:val="none" w:color="000000" w:sz="0" w:space="0"/>
              <w:bottom w:val="none" w:color="000000" w:sz="0" w:space="0"/>
              <w:right w:val="none" w:color="000000" w:sz="0" w:space="0"/>
            </w:tcBorders>
            <w:shd w:fill="FFFFFF" w:color="auto" w:val="clear"/>
            <w:vAlign w:val="top"/>
          </w:tcPr>
          <w:p>
            <w:pPr>
              <w:pBdr>
                <w:top w:val="none" w:color="000000" w:sz="0" w:space="0"/>
                <w:left w:val="none" w:color="000000" w:sz="0" w:space="0"/>
                <w:bottom w:val="none" w:color="000000" w:sz="0" w:space="0"/>
                <w:right w:val="none" w:color="000000" w:sz="0" w:space="0"/>
              </w:pBdr>
              <w:pStyle w:val="Normal"/>
              <w:spacing w:before="120" w:after="120"/>
              <w:ind w:left="120" w:right="120"/>
              <w:rPr>
                <w:rFonts w:ascii="Times New Roman" w:eastAsia="Arial" w:hAnsi="Times New Roman" w:cs="Times New Roman"/>
                <w:color w:val="000000"/>
                <w:sz w:val="24"/>
                <w:szCs w:val="24"/>
              </w:rPr>
            </w:pPr>
            <w:r>
              <w:rPr>
                <w:rFonts w:ascii="Times New Roman" w:eastAsia="Arial" w:hAnsi="Times New Roman" w:cs="Times New Roman"/>
                <w:color w:val="000000"/>
                <w:sz w:val="24"/>
                <w:szCs w:val="24"/>
              </w:rPr>
              <w:t xml:space="preserve">Income</w:t>
            </w:r>
          </w:p>
        </w:tc>
        <w:tc>
          <w:tcPr>
            <w:tcW w:type="pct" w:w="887"/>
            <w:tcMar>
              <w:top w:w="0" w:type="dxa"/>
              <w:left w:w="0" w:type="dxa"/>
              <w:bottom w:w="0" w:type="dxa"/>
              <w:right w:w="0" w:type="dxa"/>
            </w:tcMar>
            <w:tcBorders>
              <w:top w:val="none" w:color="000000" w:sz="0" w:space="0"/>
              <w:left w:val="none" w:color="000000" w:sz="0" w:space="0"/>
              <w:bottom w:val="none" w:color="000000" w:sz="0" w:space="0"/>
              <w:right w:val="none" w:color="000000" w:sz="0" w:space="0"/>
            </w:tcBorders>
            <w:shd w:fill="FFFFFF" w:color="auto" w:val="clear"/>
            <w:vAlign w:val="top"/>
          </w:tcPr>
          <w:p>
            <w:pPr>
              <w:pBdr>
                <w:top w:val="none" w:color="000000" w:sz="0" w:space="0"/>
                <w:left w:val="none" w:color="000000" w:sz="0" w:space="0"/>
                <w:bottom w:val="none" w:color="000000" w:sz="0" w:space="0"/>
                <w:right w:val="none" w:color="000000" w:sz="0" w:space="0"/>
              </w:pBdr>
              <w:pStyle w:val="Normal"/>
              <w:spacing w:before="120" w:after="120"/>
              <w:ind w:left="120" w:right="120"/>
              <w:rPr>
                <w:rFonts w:ascii="Times New Roman" w:eastAsia="Arial" w:hAnsi="Times New Roman" w:cs="Times New Roman"/>
                <w:color w:val="000000"/>
                <w:sz w:val="24"/>
                <w:szCs w:val="24"/>
              </w:rPr>
            </w:pPr>
            <w:r>
              <w:rPr>
                <w:rFonts w:ascii="Times New Roman" w:eastAsia="Arial" w:hAnsi="Times New Roman" w:cs="Times New Roman"/>
                <w:color w:val="000000"/>
                <w:sz w:val="24"/>
                <w:szCs w:val="24"/>
              </w:rPr>
              <w:t xml:space="preserve">0.041***</w:t>
            </w:r>
          </w:p>
        </w:tc>
        <w:tc>
          <w:tcPr>
            <w:tcW w:type="pct" w:w="887"/>
            <w:tcMar>
              <w:top w:w="0" w:type="dxa"/>
              <w:left w:w="0" w:type="dxa"/>
              <w:bottom w:w="0" w:type="dxa"/>
              <w:right w:w="0" w:type="dxa"/>
            </w:tcMar>
            <w:tcBorders>
              <w:top w:val="none" w:color="000000" w:sz="0" w:space="0"/>
              <w:left w:val="none" w:color="000000" w:sz="0" w:space="0"/>
              <w:bottom w:val="none" w:color="000000" w:sz="0" w:space="0"/>
              <w:right w:val="none" w:color="000000" w:sz="0" w:space="0"/>
            </w:tcBorders>
            <w:shd w:fill="FFFFFF" w:color="auto" w:val="clear"/>
            <w:vAlign w:val="top"/>
          </w:tcPr>
          <w:p>
            <w:pPr>
              <w:pBdr>
                <w:top w:val="none" w:color="000000" w:sz="0" w:space="0"/>
                <w:left w:val="none" w:color="000000" w:sz="0" w:space="0"/>
                <w:bottom w:val="none" w:color="000000" w:sz="0" w:space="0"/>
                <w:right w:val="none" w:color="000000" w:sz="0" w:space="0"/>
              </w:pBdr>
              <w:pStyle w:val="Normal"/>
              <w:spacing w:before="120" w:after="120"/>
              <w:ind w:left="120" w:right="120"/>
              <w:rPr>
                <w:rFonts w:ascii="Times New Roman" w:eastAsia="Arial" w:hAnsi="Times New Roman" w:cs="Times New Roman"/>
                <w:color w:val="000000"/>
                <w:sz w:val="24"/>
                <w:szCs w:val="24"/>
              </w:rPr>
            </w:pPr>
            <w:r>
              <w:rPr>
                <w:rFonts w:ascii="Times New Roman" w:eastAsia="Arial" w:hAnsi="Times New Roman" w:cs="Times New Roman"/>
                <w:color w:val="000000"/>
                <w:sz w:val="24"/>
                <w:szCs w:val="24"/>
              </w:rPr>
              <w:t xml:space="preserve">-0.007</w:t>
            </w:r>
          </w:p>
        </w:tc>
        <w:tc>
          <w:tcPr>
            <w:tcW w:type="pct" w:w="1089"/>
            <w:tcMar>
              <w:top w:w="0" w:type="dxa"/>
              <w:left w:w="0" w:type="dxa"/>
              <w:bottom w:w="0" w:type="dxa"/>
              <w:right w:w="0" w:type="dxa"/>
            </w:tcMar>
            <w:tcBorders>
              <w:top w:val="none" w:color="000000" w:sz="0" w:space="0"/>
              <w:left w:val="none" w:color="000000" w:sz="0" w:space="0"/>
              <w:bottom w:val="none" w:color="000000" w:sz="0" w:space="0"/>
              <w:right w:val="none" w:color="000000" w:sz="0" w:space="0"/>
            </w:tcBorders>
            <w:shd w:fill="FFFFFF" w:color="auto" w:val="clear"/>
            <w:vAlign w:val="top"/>
          </w:tcPr>
          <w:p>
            <w:pPr>
              <w:pBdr>
                <w:top w:val="none" w:color="000000" w:sz="0" w:space="0"/>
                <w:left w:val="none" w:color="000000" w:sz="0" w:space="0"/>
                <w:bottom w:val="none" w:color="000000" w:sz="0" w:space="0"/>
                <w:right w:val="none" w:color="000000" w:sz="0" w:space="0"/>
              </w:pBdr>
              <w:pStyle w:val="Normal"/>
              <w:spacing w:before="120" w:after="120"/>
              <w:ind w:left="120" w:right="120"/>
              <w:rPr>
                <w:rFonts w:ascii="Times New Roman" w:eastAsia="Arial" w:hAnsi="Times New Roman" w:cs="Times New Roman"/>
                <w:color w:val="000000"/>
                <w:sz w:val="24"/>
                <w:szCs w:val="24"/>
              </w:rPr>
            </w:pPr>
            <w:r>
              <w:rPr>
                <w:rFonts w:ascii="Times New Roman" w:eastAsia="Arial" w:hAnsi="Times New Roman" w:cs="Times New Roman"/>
                <w:color w:val="000000"/>
                <w:sz w:val="24"/>
                <w:szCs w:val="24"/>
              </w:rPr>
              <w:t xml:space="preserve">0.061***</w:t>
            </w:r>
          </w:p>
        </w:tc>
      </w:tr>
      <w:tr>
        <w:tblPrEx>
          <w:tblBorders>
            <w:top w:val="none" w:sz="0" w:space="0"/>
            <w:left w:val="none" w:sz="0" w:space="0"/>
            <w:bottom w:val="none" w:sz="0" w:space="0"/>
            <w:right w:val="none" w:sz="0" w:space="0"/>
            <w:insideH w:val="none" w:sz="0" w:space="0"/>
            <w:insideV w:val="none" w:sz="0" w:space="0"/>
          </w:tblBorders>
        </w:tblPrEx>
        <w:trPr>
          <w:trHeight w:hRule="atLeast" w:val="20"/>
        </w:trPr>
        <w:tc>
          <w:tcPr>
            <w:tcW w:type="pct" w:w="2137"/>
            <w:tcMar>
              <w:top w:w="0" w:type="dxa"/>
              <w:left w:w="0" w:type="dxa"/>
              <w:bottom w:w="0" w:type="dxa"/>
              <w:right w:w="0" w:type="dxa"/>
            </w:tcMar>
            <w:tcBorders>
              <w:top w:val="none" w:color="000000" w:sz="0" w:space="0"/>
              <w:left w:val="none" w:color="000000" w:sz="0" w:space="0"/>
              <w:bottom w:val="none" w:color="000000" w:sz="0" w:space="0"/>
              <w:right w:val="none" w:color="000000" w:sz="0" w:space="0"/>
            </w:tcBorders>
            <w:shd w:fill="FFFFFF" w:color="auto" w:val="clear"/>
            <w:vAlign w:val="top"/>
          </w:tcPr>
          <w:p>
            <w:pPr>
              <w:pBdr>
                <w:top w:val="none" w:color="000000" w:sz="0" w:space="0"/>
                <w:left w:val="none" w:color="000000" w:sz="0" w:space="0"/>
                <w:bottom w:val="none" w:color="000000" w:sz="0" w:space="0"/>
                <w:right w:val="none" w:color="000000" w:sz="0" w:space="0"/>
              </w:pBdr>
              <w:pStyle w:val="Normal"/>
              <w:spacing w:before="120" w:after="120"/>
              <w:ind w:left="120" w:right="120"/>
              <w:rPr>
                <w:rFonts w:ascii="Times New Roman" w:eastAsia="Arial" w:hAnsi="Times New Roman" w:cs="Times New Roman"/>
                <w:color w:val="000000"/>
                <w:sz w:val="24"/>
                <w:szCs w:val="24"/>
              </w:rPr>
            </w:pPr>
          </w:p>
        </w:tc>
        <w:tc>
          <w:tcPr>
            <w:tcW w:type="pct" w:w="887"/>
            <w:tcMar>
              <w:top w:w="0" w:type="dxa"/>
              <w:left w:w="0" w:type="dxa"/>
              <w:bottom w:w="0" w:type="dxa"/>
              <w:right w:w="0" w:type="dxa"/>
            </w:tcMar>
            <w:tcBorders>
              <w:top w:val="none" w:color="000000" w:sz="0" w:space="0"/>
              <w:left w:val="none" w:color="000000" w:sz="0" w:space="0"/>
              <w:bottom w:val="none" w:color="000000" w:sz="0" w:space="0"/>
              <w:right w:val="none" w:color="000000" w:sz="0" w:space="0"/>
            </w:tcBorders>
            <w:shd w:fill="FFFFFF" w:color="auto" w:val="clear"/>
            <w:vAlign w:val="top"/>
          </w:tcPr>
          <w:p>
            <w:pPr>
              <w:pBdr>
                <w:top w:val="none" w:color="000000" w:sz="0" w:space="0"/>
                <w:left w:val="none" w:color="000000" w:sz="0" w:space="0"/>
                <w:bottom w:val="none" w:color="000000" w:sz="0" w:space="0"/>
                <w:right w:val="none" w:color="000000" w:sz="0" w:space="0"/>
              </w:pBdr>
              <w:pStyle w:val="Normal"/>
              <w:spacing w:before="120" w:after="120"/>
              <w:ind w:left="120" w:right="120"/>
              <w:rPr>
                <w:rFonts w:ascii="Times New Roman" w:eastAsia="Arial" w:hAnsi="Times New Roman" w:cs="Times New Roman"/>
                <w:color w:val="000000"/>
                <w:sz w:val="24"/>
                <w:szCs w:val="24"/>
              </w:rPr>
            </w:pPr>
            <w:r>
              <w:rPr>
                <w:rFonts w:ascii="Times New Roman" w:eastAsia="Arial" w:hAnsi="Times New Roman" w:cs="Times New Roman"/>
                <w:color w:val="000000"/>
                <w:sz w:val="24"/>
                <w:szCs w:val="24"/>
              </w:rPr>
              <w:t xml:space="preserve">(0.009)</w:t>
            </w:r>
          </w:p>
        </w:tc>
        <w:tc>
          <w:tcPr>
            <w:tcW w:type="pct" w:w="887"/>
            <w:tcMar>
              <w:top w:w="0" w:type="dxa"/>
              <w:left w:w="0" w:type="dxa"/>
              <w:bottom w:w="0" w:type="dxa"/>
              <w:right w:w="0" w:type="dxa"/>
            </w:tcMar>
            <w:tcBorders>
              <w:top w:val="none" w:color="000000" w:sz="0" w:space="0"/>
              <w:left w:val="none" w:color="000000" w:sz="0" w:space="0"/>
              <w:bottom w:val="none" w:color="000000" w:sz="0" w:space="0"/>
              <w:right w:val="none" w:color="000000" w:sz="0" w:space="0"/>
            </w:tcBorders>
            <w:shd w:fill="FFFFFF" w:color="auto" w:val="clear"/>
            <w:vAlign w:val="top"/>
          </w:tcPr>
          <w:p>
            <w:pPr>
              <w:pBdr>
                <w:top w:val="none" w:color="000000" w:sz="0" w:space="0"/>
                <w:left w:val="none" w:color="000000" w:sz="0" w:space="0"/>
                <w:bottom w:val="none" w:color="000000" w:sz="0" w:space="0"/>
                <w:right w:val="none" w:color="000000" w:sz="0" w:space="0"/>
              </w:pBdr>
              <w:pStyle w:val="Normal"/>
              <w:spacing w:before="120" w:after="120"/>
              <w:ind w:left="120" w:right="120"/>
              <w:rPr>
                <w:rFonts w:ascii="Times New Roman" w:eastAsia="Arial" w:hAnsi="Times New Roman" w:cs="Times New Roman"/>
                <w:color w:val="000000"/>
                <w:sz w:val="24"/>
                <w:szCs w:val="24"/>
              </w:rPr>
            </w:pPr>
            <w:r>
              <w:rPr>
                <w:rFonts w:ascii="Times New Roman" w:eastAsia="Arial" w:hAnsi="Times New Roman" w:cs="Times New Roman"/>
                <w:color w:val="000000"/>
                <w:sz w:val="24"/>
                <w:szCs w:val="24"/>
              </w:rPr>
              <w:t xml:space="preserve">(0.011)</w:t>
            </w:r>
          </w:p>
        </w:tc>
        <w:tc>
          <w:tcPr>
            <w:tcW w:type="pct" w:w="1089"/>
            <w:tcMar>
              <w:top w:w="0" w:type="dxa"/>
              <w:left w:w="0" w:type="dxa"/>
              <w:bottom w:w="0" w:type="dxa"/>
              <w:right w:w="0" w:type="dxa"/>
            </w:tcMar>
            <w:tcBorders>
              <w:top w:val="none" w:color="000000" w:sz="0" w:space="0"/>
              <w:left w:val="none" w:color="000000" w:sz="0" w:space="0"/>
              <w:bottom w:val="none" w:color="000000" w:sz="0" w:space="0"/>
              <w:right w:val="none" w:color="000000" w:sz="0" w:space="0"/>
            </w:tcBorders>
            <w:shd w:fill="FFFFFF" w:color="auto" w:val="clear"/>
            <w:vAlign w:val="top"/>
          </w:tcPr>
          <w:p>
            <w:pPr>
              <w:pBdr>
                <w:top w:val="none" w:color="000000" w:sz="0" w:space="0"/>
                <w:left w:val="none" w:color="000000" w:sz="0" w:space="0"/>
                <w:bottom w:val="none" w:color="000000" w:sz="0" w:space="0"/>
                <w:right w:val="none" w:color="000000" w:sz="0" w:space="0"/>
              </w:pBdr>
              <w:pStyle w:val="Normal"/>
              <w:spacing w:before="120" w:after="120"/>
              <w:ind w:left="120" w:right="120"/>
              <w:rPr>
                <w:rFonts w:ascii="Times New Roman" w:eastAsia="Arial" w:hAnsi="Times New Roman" w:cs="Times New Roman"/>
                <w:color w:val="000000"/>
                <w:sz w:val="24"/>
                <w:szCs w:val="24"/>
              </w:rPr>
            </w:pPr>
            <w:r>
              <w:rPr>
                <w:rFonts w:ascii="Times New Roman" w:eastAsia="Arial" w:hAnsi="Times New Roman" w:cs="Times New Roman"/>
                <w:color w:val="000000"/>
                <w:sz w:val="24"/>
                <w:szCs w:val="24"/>
              </w:rPr>
              <w:t xml:space="preserve">(0.013)</w:t>
            </w:r>
          </w:p>
        </w:tc>
      </w:tr>
      <w:tr>
        <w:tblPrEx>
          <w:tblBorders>
            <w:top w:val="none" w:sz="0" w:space="0"/>
            <w:left w:val="none" w:sz="0" w:space="0"/>
            <w:bottom w:val="none" w:sz="0" w:space="0"/>
            <w:right w:val="none" w:sz="0" w:space="0"/>
            <w:insideH w:val="none" w:sz="0" w:space="0"/>
            <w:insideV w:val="none" w:sz="0" w:space="0"/>
          </w:tblBorders>
        </w:tblPrEx>
        <w:trPr>
          <w:trHeight w:hRule="atLeast" w:val="20"/>
        </w:trPr>
        <w:tc>
          <w:tcPr>
            <w:tcW w:type="pct" w:w="2137"/>
            <w:tcMar>
              <w:top w:w="0" w:type="dxa"/>
              <w:left w:w="0" w:type="dxa"/>
              <w:bottom w:w="0" w:type="dxa"/>
              <w:right w:w="0" w:type="dxa"/>
            </w:tcMar>
            <w:tcBorders>
              <w:top w:val="none" w:color="000000" w:sz="0" w:space="0"/>
              <w:left w:val="none" w:color="000000" w:sz="0" w:space="0"/>
              <w:bottom w:val="none" w:color="000000" w:sz="0" w:space="0"/>
              <w:right w:val="none" w:color="000000" w:sz="0" w:space="0"/>
            </w:tcBorders>
            <w:shd w:fill="FFFFFF" w:color="auto" w:val="clear"/>
            <w:vAlign w:val="top"/>
          </w:tcPr>
          <w:p>
            <w:pPr>
              <w:pBdr>
                <w:top w:val="none" w:color="000000" w:sz="0" w:space="0"/>
                <w:left w:val="none" w:color="000000" w:sz="0" w:space="0"/>
                <w:bottom w:val="none" w:color="000000" w:sz="0" w:space="0"/>
                <w:right w:val="none" w:color="000000" w:sz="0" w:space="0"/>
              </w:pBdr>
              <w:pStyle w:val="Normal"/>
              <w:spacing w:before="120" w:after="120"/>
              <w:ind w:left="120" w:right="120"/>
              <w:rPr>
                <w:rFonts w:ascii="Times New Roman" w:eastAsia="Arial" w:hAnsi="Times New Roman" w:cs="Times New Roman"/>
                <w:color w:val="000000"/>
                <w:sz w:val="24"/>
                <w:szCs w:val="24"/>
              </w:rPr>
            </w:pPr>
            <w:r>
              <w:rPr>
                <w:rFonts w:ascii="Times New Roman" w:eastAsia="Arial" w:hAnsi="Times New Roman" w:cs="Times New Roman"/>
                <w:color w:val="000000"/>
                <w:sz w:val="24"/>
                <w:szCs w:val="24"/>
              </w:rPr>
              <w:t xml:space="preserve">Male</w:t>
            </w:r>
          </w:p>
        </w:tc>
        <w:tc>
          <w:tcPr>
            <w:tcW w:type="pct" w:w="887"/>
            <w:tcMar>
              <w:top w:w="0" w:type="dxa"/>
              <w:left w:w="0" w:type="dxa"/>
              <w:bottom w:w="0" w:type="dxa"/>
              <w:right w:w="0" w:type="dxa"/>
            </w:tcMar>
            <w:tcBorders>
              <w:top w:val="none" w:color="000000" w:sz="0" w:space="0"/>
              <w:left w:val="none" w:color="000000" w:sz="0" w:space="0"/>
              <w:bottom w:val="none" w:color="000000" w:sz="0" w:space="0"/>
              <w:right w:val="none" w:color="000000" w:sz="0" w:space="0"/>
            </w:tcBorders>
            <w:shd w:fill="FFFFFF" w:color="auto" w:val="clear"/>
            <w:vAlign w:val="top"/>
          </w:tcPr>
          <w:p>
            <w:pPr>
              <w:pBdr>
                <w:top w:val="none" w:color="000000" w:sz="0" w:space="0"/>
                <w:left w:val="none" w:color="000000" w:sz="0" w:space="0"/>
                <w:bottom w:val="none" w:color="000000" w:sz="0" w:space="0"/>
                <w:right w:val="none" w:color="000000" w:sz="0" w:space="0"/>
              </w:pBdr>
              <w:pStyle w:val="Normal"/>
              <w:spacing w:before="120" w:after="120"/>
              <w:ind w:left="120" w:right="120"/>
              <w:rPr>
                <w:rFonts w:ascii="Times New Roman" w:eastAsia="Arial" w:hAnsi="Times New Roman" w:cs="Times New Roman"/>
                <w:color w:val="000000"/>
                <w:sz w:val="24"/>
                <w:szCs w:val="24"/>
              </w:rPr>
            </w:pPr>
            <w:r>
              <w:rPr>
                <w:rFonts w:ascii="Times New Roman" w:eastAsia="Arial" w:hAnsi="Times New Roman" w:cs="Times New Roman"/>
                <w:color w:val="000000"/>
                <w:sz w:val="24"/>
                <w:szCs w:val="24"/>
              </w:rPr>
              <w:t xml:space="preserve">-0.102</w:t>
            </w:r>
          </w:p>
        </w:tc>
        <w:tc>
          <w:tcPr>
            <w:tcW w:type="pct" w:w="887"/>
            <w:tcMar>
              <w:top w:w="0" w:type="dxa"/>
              <w:left w:w="0" w:type="dxa"/>
              <w:bottom w:w="0" w:type="dxa"/>
              <w:right w:w="0" w:type="dxa"/>
            </w:tcMar>
            <w:tcBorders>
              <w:top w:val="none" w:color="000000" w:sz="0" w:space="0"/>
              <w:left w:val="none" w:color="000000" w:sz="0" w:space="0"/>
              <w:bottom w:val="none" w:color="000000" w:sz="0" w:space="0"/>
              <w:right w:val="none" w:color="000000" w:sz="0" w:space="0"/>
            </w:tcBorders>
            <w:shd w:fill="FFFFFF" w:color="auto" w:val="clear"/>
            <w:vAlign w:val="top"/>
          </w:tcPr>
          <w:p>
            <w:pPr>
              <w:pBdr>
                <w:top w:val="none" w:color="000000" w:sz="0" w:space="0"/>
                <w:left w:val="none" w:color="000000" w:sz="0" w:space="0"/>
                <w:bottom w:val="none" w:color="000000" w:sz="0" w:space="0"/>
                <w:right w:val="none" w:color="000000" w:sz="0" w:space="0"/>
              </w:pBdr>
              <w:pStyle w:val="Normal"/>
              <w:spacing w:before="120" w:after="120"/>
              <w:ind w:left="120" w:right="120"/>
              <w:rPr>
                <w:rFonts w:ascii="Times New Roman" w:eastAsia="Arial" w:hAnsi="Times New Roman" w:cs="Times New Roman"/>
                <w:color w:val="000000"/>
                <w:sz w:val="24"/>
                <w:szCs w:val="24"/>
              </w:rPr>
            </w:pPr>
            <w:r>
              <w:rPr>
                <w:rFonts w:ascii="Times New Roman" w:eastAsia="Arial" w:hAnsi="Times New Roman" w:cs="Times New Roman"/>
                <w:color w:val="000000"/>
                <w:sz w:val="24"/>
                <w:szCs w:val="24"/>
              </w:rPr>
              <w:t xml:space="preserve">-0.081</w:t>
            </w:r>
          </w:p>
        </w:tc>
        <w:tc>
          <w:tcPr>
            <w:tcW w:type="pct" w:w="1089"/>
            <w:tcMar>
              <w:top w:w="0" w:type="dxa"/>
              <w:left w:w="0" w:type="dxa"/>
              <w:bottom w:w="0" w:type="dxa"/>
              <w:right w:w="0" w:type="dxa"/>
            </w:tcMar>
            <w:tcBorders>
              <w:top w:val="none" w:color="000000" w:sz="0" w:space="0"/>
              <w:left w:val="none" w:color="000000" w:sz="0" w:space="0"/>
              <w:bottom w:val="none" w:color="000000" w:sz="0" w:space="0"/>
              <w:right w:val="none" w:color="000000" w:sz="0" w:space="0"/>
            </w:tcBorders>
            <w:shd w:fill="FFFFFF" w:color="auto" w:val="clear"/>
            <w:vAlign w:val="top"/>
          </w:tcPr>
          <w:p>
            <w:pPr>
              <w:pBdr>
                <w:top w:val="none" w:color="000000" w:sz="0" w:space="0"/>
                <w:left w:val="none" w:color="000000" w:sz="0" w:space="0"/>
                <w:bottom w:val="none" w:color="000000" w:sz="0" w:space="0"/>
                <w:right w:val="none" w:color="000000" w:sz="0" w:space="0"/>
              </w:pBdr>
              <w:pStyle w:val="Normal"/>
              <w:spacing w:before="120" w:after="120"/>
              <w:ind w:left="120" w:right="120"/>
              <w:rPr>
                <w:rFonts w:ascii="Times New Roman" w:eastAsia="Arial" w:hAnsi="Times New Roman" w:cs="Times New Roman"/>
                <w:color w:val="000000"/>
                <w:sz w:val="24"/>
                <w:szCs w:val="24"/>
              </w:rPr>
            </w:pPr>
            <w:r>
              <w:rPr>
                <w:rFonts w:ascii="Times New Roman" w:eastAsia="Arial" w:hAnsi="Times New Roman" w:cs="Times New Roman"/>
                <w:color w:val="000000"/>
                <w:sz w:val="24"/>
                <w:szCs w:val="24"/>
              </w:rPr>
              <w:t xml:space="preserve">-0.886***</w:t>
            </w:r>
          </w:p>
        </w:tc>
      </w:tr>
      <w:tr>
        <w:tblPrEx>
          <w:tblBorders>
            <w:top w:val="none" w:sz="0" w:space="0"/>
            <w:left w:val="none" w:sz="0" w:space="0"/>
            <w:bottom w:val="none" w:sz="0" w:space="0"/>
            <w:right w:val="none" w:sz="0" w:space="0"/>
            <w:insideH w:val="none" w:sz="0" w:space="0"/>
            <w:insideV w:val="none" w:sz="0" w:space="0"/>
          </w:tblBorders>
        </w:tblPrEx>
        <w:trPr>
          <w:trHeight w:hRule="atLeast" w:val="20"/>
        </w:trPr>
        <w:tc>
          <w:tcPr>
            <w:tcW w:type="pct" w:w="2137"/>
            <w:tcMar>
              <w:top w:w="0" w:type="dxa"/>
              <w:left w:w="0" w:type="dxa"/>
              <w:bottom w:w="0" w:type="dxa"/>
              <w:right w:w="0" w:type="dxa"/>
            </w:tcMar>
            <w:tcBorders>
              <w:top w:val="none" w:color="000000" w:sz="0" w:space="0"/>
              <w:left w:val="none" w:color="000000" w:sz="0" w:space="0"/>
              <w:bottom w:val="none" w:color="000000" w:sz="0" w:space="0"/>
              <w:right w:val="none" w:color="000000" w:sz="0" w:space="0"/>
            </w:tcBorders>
            <w:shd w:fill="FFFFFF" w:color="auto" w:val="clear"/>
            <w:vAlign w:val="top"/>
          </w:tcPr>
          <w:p>
            <w:pPr>
              <w:pBdr>
                <w:top w:val="none" w:color="000000" w:sz="0" w:space="0"/>
                <w:left w:val="none" w:color="000000" w:sz="0" w:space="0"/>
                <w:bottom w:val="none" w:color="000000" w:sz="0" w:space="0"/>
                <w:right w:val="none" w:color="000000" w:sz="0" w:space="0"/>
              </w:pBdr>
              <w:pStyle w:val="Normal"/>
              <w:spacing w:before="120" w:after="120"/>
              <w:ind w:left="120" w:right="120"/>
              <w:rPr>
                <w:rFonts w:ascii="Times New Roman" w:eastAsia="Arial" w:hAnsi="Times New Roman" w:cs="Times New Roman"/>
                <w:color w:val="000000"/>
                <w:sz w:val="24"/>
                <w:szCs w:val="24"/>
              </w:rPr>
            </w:pPr>
          </w:p>
        </w:tc>
        <w:tc>
          <w:tcPr>
            <w:tcW w:type="pct" w:w="887"/>
            <w:tcMar>
              <w:top w:w="0" w:type="dxa"/>
              <w:left w:w="0" w:type="dxa"/>
              <w:bottom w:w="0" w:type="dxa"/>
              <w:right w:w="0" w:type="dxa"/>
            </w:tcMar>
            <w:tcBorders>
              <w:top w:val="none" w:color="000000" w:sz="0" w:space="0"/>
              <w:left w:val="none" w:color="000000" w:sz="0" w:space="0"/>
              <w:bottom w:val="none" w:color="000000" w:sz="0" w:space="0"/>
              <w:right w:val="none" w:color="000000" w:sz="0" w:space="0"/>
            </w:tcBorders>
            <w:shd w:fill="FFFFFF" w:color="auto" w:val="clear"/>
            <w:vAlign w:val="top"/>
          </w:tcPr>
          <w:p>
            <w:pPr>
              <w:pBdr>
                <w:top w:val="none" w:color="000000" w:sz="0" w:space="0"/>
                <w:left w:val="none" w:color="000000" w:sz="0" w:space="0"/>
                <w:bottom w:val="none" w:color="000000" w:sz="0" w:space="0"/>
                <w:right w:val="none" w:color="000000" w:sz="0" w:space="0"/>
              </w:pBdr>
              <w:pStyle w:val="Normal"/>
              <w:spacing w:before="120" w:after="120"/>
              <w:ind w:left="120" w:right="120"/>
              <w:rPr>
                <w:rFonts w:ascii="Times New Roman" w:eastAsia="Arial" w:hAnsi="Times New Roman" w:cs="Times New Roman"/>
                <w:color w:val="000000"/>
                <w:sz w:val="24"/>
                <w:szCs w:val="24"/>
              </w:rPr>
            </w:pPr>
            <w:r>
              <w:rPr>
                <w:rFonts w:ascii="Times New Roman" w:eastAsia="Arial" w:hAnsi="Times New Roman" w:cs="Times New Roman"/>
                <w:color w:val="000000"/>
                <w:sz w:val="24"/>
                <w:szCs w:val="24"/>
              </w:rPr>
              <w:t xml:space="preserve">(0.089)</w:t>
            </w:r>
          </w:p>
        </w:tc>
        <w:tc>
          <w:tcPr>
            <w:tcW w:type="pct" w:w="887"/>
            <w:tcMar>
              <w:top w:w="0" w:type="dxa"/>
              <w:left w:w="0" w:type="dxa"/>
              <w:bottom w:w="0" w:type="dxa"/>
              <w:right w:w="0" w:type="dxa"/>
            </w:tcMar>
            <w:tcBorders>
              <w:top w:val="none" w:color="000000" w:sz="0" w:space="0"/>
              <w:left w:val="none" w:color="000000" w:sz="0" w:space="0"/>
              <w:bottom w:val="none" w:color="000000" w:sz="0" w:space="0"/>
              <w:right w:val="none" w:color="000000" w:sz="0" w:space="0"/>
            </w:tcBorders>
            <w:shd w:fill="FFFFFF" w:color="auto" w:val="clear"/>
            <w:vAlign w:val="top"/>
          </w:tcPr>
          <w:p>
            <w:pPr>
              <w:pBdr>
                <w:top w:val="none" w:color="000000" w:sz="0" w:space="0"/>
                <w:left w:val="none" w:color="000000" w:sz="0" w:space="0"/>
                <w:bottom w:val="none" w:color="000000" w:sz="0" w:space="0"/>
                <w:right w:val="none" w:color="000000" w:sz="0" w:space="0"/>
              </w:pBdr>
              <w:pStyle w:val="Normal"/>
              <w:spacing w:before="120" w:after="120"/>
              <w:ind w:left="120" w:right="120"/>
              <w:rPr>
                <w:rFonts w:ascii="Times New Roman" w:eastAsia="Arial" w:hAnsi="Times New Roman" w:cs="Times New Roman"/>
                <w:color w:val="000000"/>
                <w:sz w:val="24"/>
                <w:szCs w:val="24"/>
              </w:rPr>
            </w:pPr>
            <w:r>
              <w:rPr>
                <w:rFonts w:ascii="Times New Roman" w:eastAsia="Arial" w:hAnsi="Times New Roman" w:cs="Times New Roman"/>
                <w:color w:val="000000"/>
                <w:sz w:val="24"/>
                <w:szCs w:val="24"/>
              </w:rPr>
              <w:t xml:space="preserve">(0.103)</w:t>
            </w:r>
          </w:p>
        </w:tc>
        <w:tc>
          <w:tcPr>
            <w:tcW w:type="pct" w:w="1089"/>
            <w:tcMar>
              <w:top w:w="0" w:type="dxa"/>
              <w:left w:w="0" w:type="dxa"/>
              <w:bottom w:w="0" w:type="dxa"/>
              <w:right w:w="0" w:type="dxa"/>
            </w:tcMar>
            <w:tcBorders>
              <w:top w:val="none" w:color="000000" w:sz="0" w:space="0"/>
              <w:left w:val="none" w:color="000000" w:sz="0" w:space="0"/>
              <w:bottom w:val="none" w:color="000000" w:sz="0" w:space="0"/>
              <w:right w:val="none" w:color="000000" w:sz="0" w:space="0"/>
            </w:tcBorders>
            <w:shd w:fill="FFFFFF" w:color="auto" w:val="clear"/>
            <w:vAlign w:val="top"/>
          </w:tcPr>
          <w:p>
            <w:pPr>
              <w:pBdr>
                <w:top w:val="none" w:color="000000" w:sz="0" w:space="0"/>
                <w:left w:val="none" w:color="000000" w:sz="0" w:space="0"/>
                <w:bottom w:val="none" w:color="000000" w:sz="0" w:space="0"/>
                <w:right w:val="none" w:color="000000" w:sz="0" w:space="0"/>
              </w:pBdr>
              <w:pStyle w:val="Normal"/>
              <w:spacing w:before="120" w:after="120"/>
              <w:ind w:left="120" w:right="120"/>
              <w:rPr>
                <w:rFonts w:ascii="Times New Roman" w:eastAsia="Arial" w:hAnsi="Times New Roman" w:cs="Times New Roman"/>
                <w:color w:val="000000"/>
                <w:sz w:val="24"/>
                <w:szCs w:val="24"/>
              </w:rPr>
            </w:pPr>
            <w:r>
              <w:rPr>
                <w:rFonts w:ascii="Times New Roman" w:eastAsia="Arial" w:hAnsi="Times New Roman" w:cs="Times New Roman"/>
                <w:color w:val="000000"/>
                <w:sz w:val="24"/>
                <w:szCs w:val="24"/>
              </w:rPr>
              <w:t xml:space="preserve">(0.124)</w:t>
            </w:r>
          </w:p>
        </w:tc>
      </w:tr>
      <w:tr>
        <w:tblPrEx>
          <w:tblBorders>
            <w:top w:val="none" w:sz="0" w:space="0"/>
            <w:left w:val="none" w:sz="0" w:space="0"/>
            <w:bottom w:val="none" w:sz="0" w:space="0"/>
            <w:right w:val="none" w:sz="0" w:space="0"/>
            <w:insideH w:val="none" w:sz="0" w:space="0"/>
            <w:insideV w:val="none" w:sz="0" w:space="0"/>
          </w:tblBorders>
        </w:tblPrEx>
        <w:trPr>
          <w:trHeight w:hRule="atLeast" w:val="20"/>
        </w:trPr>
        <w:tc>
          <w:tcPr>
            <w:tcW w:type="pct" w:w="2137"/>
            <w:tcMar>
              <w:top w:w="0" w:type="dxa"/>
              <w:left w:w="0" w:type="dxa"/>
              <w:bottom w:w="0" w:type="dxa"/>
              <w:right w:w="0" w:type="dxa"/>
            </w:tcMar>
            <w:tcBorders>
              <w:top w:val="none" w:color="000000" w:sz="0" w:space="0"/>
              <w:left w:val="none" w:color="000000" w:sz="0" w:space="0"/>
              <w:bottom w:val="none" w:color="000000" w:sz="0" w:space="0"/>
              <w:right w:val="none" w:color="000000" w:sz="0" w:space="0"/>
            </w:tcBorders>
            <w:shd w:fill="FFFFFF" w:color="auto" w:val="clear"/>
            <w:vAlign w:val="top"/>
          </w:tcPr>
          <w:p>
            <w:pPr>
              <w:pBdr>
                <w:top w:val="none" w:color="000000" w:sz="0" w:space="0"/>
                <w:left w:val="none" w:color="000000" w:sz="0" w:space="0"/>
                <w:bottom w:val="none" w:color="000000" w:sz="0" w:space="0"/>
                <w:right w:val="none" w:color="000000" w:sz="0" w:space="0"/>
              </w:pBdr>
              <w:pStyle w:val="Normal"/>
              <w:spacing w:before="120" w:after="120"/>
              <w:ind w:left="120" w:right="120"/>
              <w:rPr>
                <w:rFonts w:ascii="Times New Roman" w:eastAsia="Arial" w:hAnsi="Times New Roman" w:cs="Times New Roman"/>
                <w:color w:val="000000"/>
                <w:sz w:val="24"/>
                <w:szCs w:val="24"/>
              </w:rPr>
            </w:pPr>
            <w:r>
              <w:rPr>
                <w:rFonts w:ascii="Times New Roman" w:eastAsia="Arial" w:hAnsi="Times New Roman" w:cs="Times New Roman"/>
                <w:color w:val="000000"/>
                <w:sz w:val="24"/>
                <w:szCs w:val="24"/>
              </w:rPr>
              <w:t xml:space="preserve">White</w:t>
            </w:r>
          </w:p>
        </w:tc>
        <w:tc>
          <w:tcPr>
            <w:tcW w:type="pct" w:w="887"/>
            <w:tcMar>
              <w:top w:w="0" w:type="dxa"/>
              <w:left w:w="0" w:type="dxa"/>
              <w:bottom w:w="0" w:type="dxa"/>
              <w:right w:w="0" w:type="dxa"/>
            </w:tcMar>
            <w:tcBorders>
              <w:top w:val="none" w:color="000000" w:sz="0" w:space="0"/>
              <w:left w:val="none" w:color="000000" w:sz="0" w:space="0"/>
              <w:bottom w:val="none" w:color="000000" w:sz="0" w:space="0"/>
              <w:right w:val="none" w:color="000000" w:sz="0" w:space="0"/>
            </w:tcBorders>
            <w:shd w:fill="FFFFFF" w:color="auto" w:val="clear"/>
            <w:vAlign w:val="top"/>
          </w:tcPr>
          <w:p>
            <w:pPr>
              <w:pBdr>
                <w:top w:val="none" w:color="000000" w:sz="0" w:space="0"/>
                <w:left w:val="none" w:color="000000" w:sz="0" w:space="0"/>
                <w:bottom w:val="none" w:color="000000" w:sz="0" w:space="0"/>
                <w:right w:val="none" w:color="000000" w:sz="0" w:space="0"/>
              </w:pBdr>
              <w:pStyle w:val="Normal"/>
              <w:spacing w:before="120" w:after="120"/>
              <w:ind w:left="120" w:right="120"/>
              <w:rPr>
                <w:rFonts w:ascii="Times New Roman" w:eastAsia="Arial" w:hAnsi="Times New Roman" w:cs="Times New Roman"/>
                <w:color w:val="000000"/>
                <w:sz w:val="24"/>
                <w:szCs w:val="24"/>
              </w:rPr>
            </w:pPr>
            <w:r>
              <w:rPr>
                <w:rFonts w:ascii="Times New Roman" w:eastAsia="Arial" w:hAnsi="Times New Roman" w:cs="Times New Roman"/>
                <w:color w:val="000000"/>
                <w:sz w:val="24"/>
                <w:szCs w:val="24"/>
              </w:rPr>
              <w:t xml:space="preserve">-0.115</w:t>
            </w:r>
          </w:p>
        </w:tc>
        <w:tc>
          <w:tcPr>
            <w:tcW w:type="pct" w:w="887"/>
            <w:tcMar>
              <w:top w:w="0" w:type="dxa"/>
              <w:left w:w="0" w:type="dxa"/>
              <w:bottom w:w="0" w:type="dxa"/>
              <w:right w:w="0" w:type="dxa"/>
            </w:tcMar>
            <w:tcBorders>
              <w:top w:val="none" w:color="000000" w:sz="0" w:space="0"/>
              <w:left w:val="none" w:color="000000" w:sz="0" w:space="0"/>
              <w:bottom w:val="none" w:color="000000" w:sz="0" w:space="0"/>
              <w:right w:val="none" w:color="000000" w:sz="0" w:space="0"/>
            </w:tcBorders>
            <w:shd w:fill="FFFFFF" w:color="auto" w:val="clear"/>
            <w:vAlign w:val="top"/>
          </w:tcPr>
          <w:p>
            <w:pPr>
              <w:pBdr>
                <w:top w:val="none" w:color="000000" w:sz="0" w:space="0"/>
                <w:left w:val="none" w:color="000000" w:sz="0" w:space="0"/>
                <w:bottom w:val="none" w:color="000000" w:sz="0" w:space="0"/>
                <w:right w:val="none" w:color="000000" w:sz="0" w:space="0"/>
              </w:pBdr>
              <w:pStyle w:val="Normal"/>
              <w:spacing w:before="120" w:after="120"/>
              <w:ind w:left="120" w:right="120"/>
              <w:rPr>
                <w:rFonts w:ascii="Times New Roman" w:eastAsia="Arial" w:hAnsi="Times New Roman" w:cs="Times New Roman"/>
                <w:color w:val="000000"/>
                <w:sz w:val="24"/>
                <w:szCs w:val="24"/>
              </w:rPr>
            </w:pPr>
            <w:r>
              <w:rPr>
                <w:rFonts w:ascii="Times New Roman" w:eastAsia="Arial" w:hAnsi="Times New Roman" w:cs="Times New Roman"/>
                <w:color w:val="000000"/>
                <w:sz w:val="24"/>
                <w:szCs w:val="24"/>
              </w:rPr>
              <w:t xml:space="preserve">0.024</w:t>
            </w:r>
          </w:p>
        </w:tc>
        <w:tc>
          <w:tcPr>
            <w:tcW w:type="pct" w:w="1089"/>
            <w:tcMar>
              <w:top w:w="0" w:type="dxa"/>
              <w:left w:w="0" w:type="dxa"/>
              <w:bottom w:w="0" w:type="dxa"/>
              <w:right w:w="0" w:type="dxa"/>
            </w:tcMar>
            <w:tcBorders>
              <w:top w:val="none" w:color="000000" w:sz="0" w:space="0"/>
              <w:left w:val="none" w:color="000000" w:sz="0" w:space="0"/>
              <w:bottom w:val="none" w:color="000000" w:sz="0" w:space="0"/>
              <w:right w:val="none" w:color="000000" w:sz="0" w:space="0"/>
            </w:tcBorders>
            <w:shd w:fill="FFFFFF" w:color="auto" w:val="clear"/>
            <w:vAlign w:val="top"/>
          </w:tcPr>
          <w:p>
            <w:pPr>
              <w:pBdr>
                <w:top w:val="none" w:color="000000" w:sz="0" w:space="0"/>
                <w:left w:val="none" w:color="000000" w:sz="0" w:space="0"/>
                <w:bottom w:val="none" w:color="000000" w:sz="0" w:space="0"/>
                <w:right w:val="none" w:color="000000" w:sz="0" w:space="0"/>
              </w:pBdr>
              <w:pStyle w:val="Normal"/>
              <w:spacing w:before="120" w:after="120"/>
              <w:ind w:left="120" w:right="120"/>
              <w:rPr>
                <w:rFonts w:ascii="Times New Roman" w:eastAsia="Arial" w:hAnsi="Times New Roman" w:cs="Times New Roman"/>
                <w:color w:val="000000"/>
                <w:sz w:val="24"/>
                <w:szCs w:val="24"/>
              </w:rPr>
            </w:pPr>
            <w:r>
              <w:rPr>
                <w:rFonts w:ascii="Times New Roman" w:eastAsia="Arial" w:hAnsi="Times New Roman" w:cs="Times New Roman"/>
                <w:color w:val="000000"/>
                <w:sz w:val="24"/>
                <w:szCs w:val="24"/>
              </w:rPr>
              <w:t xml:space="preserve">0.002</w:t>
            </w:r>
          </w:p>
        </w:tc>
      </w:tr>
      <w:tr>
        <w:tblPrEx>
          <w:tblBorders>
            <w:top w:val="none" w:sz="0" w:space="0"/>
            <w:left w:val="none" w:sz="0" w:space="0"/>
            <w:bottom w:val="none" w:sz="0" w:space="0"/>
            <w:right w:val="none" w:sz="0" w:space="0"/>
            <w:insideH w:val="none" w:sz="0" w:space="0"/>
            <w:insideV w:val="none" w:sz="0" w:space="0"/>
          </w:tblBorders>
        </w:tblPrEx>
        <w:trPr>
          <w:trHeight w:hRule="atLeast" w:val="20"/>
        </w:trPr>
        <w:tc>
          <w:tcPr>
            <w:tcW w:type="pct" w:w="2137"/>
            <w:tcMar>
              <w:top w:w="0" w:type="dxa"/>
              <w:left w:w="0" w:type="dxa"/>
              <w:bottom w:w="0" w:type="dxa"/>
              <w:right w:w="0" w:type="dxa"/>
            </w:tcMar>
            <w:tcBorders>
              <w:top w:val="none" w:color="000000" w:sz="0" w:space="0"/>
              <w:left w:val="none" w:color="000000" w:sz="0" w:space="0"/>
              <w:bottom w:val="none" w:color="000000" w:sz="0" w:space="0"/>
              <w:right w:val="none" w:color="000000" w:sz="0" w:space="0"/>
            </w:tcBorders>
            <w:shd w:fill="FFFFFF" w:color="auto" w:val="clear"/>
            <w:vAlign w:val="top"/>
          </w:tcPr>
          <w:p>
            <w:pPr>
              <w:pBdr>
                <w:top w:val="none" w:color="000000" w:sz="0" w:space="0"/>
                <w:left w:val="none" w:color="000000" w:sz="0" w:space="0"/>
                <w:bottom w:val="none" w:color="000000" w:sz="0" w:space="0"/>
                <w:right w:val="none" w:color="000000" w:sz="0" w:space="0"/>
              </w:pBdr>
              <w:pStyle w:val="Normal"/>
              <w:spacing w:before="120" w:after="120"/>
              <w:ind w:left="120" w:right="120"/>
              <w:rPr>
                <w:rFonts w:ascii="Times New Roman" w:eastAsia="Arial" w:hAnsi="Times New Roman" w:cs="Times New Roman"/>
                <w:color w:val="000000"/>
                <w:sz w:val="24"/>
                <w:szCs w:val="24"/>
              </w:rPr>
            </w:pPr>
          </w:p>
        </w:tc>
        <w:tc>
          <w:tcPr>
            <w:tcW w:type="pct" w:w="887"/>
            <w:tcMar>
              <w:top w:w="0" w:type="dxa"/>
              <w:left w:w="0" w:type="dxa"/>
              <w:bottom w:w="0" w:type="dxa"/>
              <w:right w:w="0" w:type="dxa"/>
            </w:tcMar>
            <w:tcBorders>
              <w:top w:val="none" w:color="000000" w:sz="0" w:space="0"/>
              <w:left w:val="none" w:color="000000" w:sz="0" w:space="0"/>
              <w:bottom w:val="none" w:color="000000" w:sz="0" w:space="0"/>
              <w:right w:val="none" w:color="000000" w:sz="0" w:space="0"/>
            </w:tcBorders>
            <w:shd w:fill="FFFFFF" w:color="auto" w:val="clear"/>
            <w:vAlign w:val="top"/>
          </w:tcPr>
          <w:p>
            <w:pPr>
              <w:pBdr>
                <w:top w:val="none" w:color="000000" w:sz="0" w:space="0"/>
                <w:left w:val="none" w:color="000000" w:sz="0" w:space="0"/>
                <w:bottom w:val="none" w:color="000000" w:sz="0" w:space="0"/>
                <w:right w:val="none" w:color="000000" w:sz="0" w:space="0"/>
              </w:pBdr>
              <w:pStyle w:val="Normal"/>
              <w:spacing w:before="120" w:after="120"/>
              <w:ind w:left="120" w:right="120"/>
              <w:rPr>
                <w:rFonts w:ascii="Times New Roman" w:eastAsia="Arial" w:hAnsi="Times New Roman" w:cs="Times New Roman"/>
                <w:color w:val="000000"/>
                <w:sz w:val="24"/>
                <w:szCs w:val="24"/>
              </w:rPr>
            </w:pPr>
            <w:r>
              <w:rPr>
                <w:rFonts w:ascii="Times New Roman" w:eastAsia="Arial" w:hAnsi="Times New Roman" w:cs="Times New Roman"/>
                <w:color w:val="000000"/>
                <w:sz w:val="24"/>
                <w:szCs w:val="24"/>
              </w:rPr>
              <w:t xml:space="preserve">(0.103)</w:t>
            </w:r>
          </w:p>
        </w:tc>
        <w:tc>
          <w:tcPr>
            <w:tcW w:type="pct" w:w="887"/>
            <w:tcMar>
              <w:top w:w="0" w:type="dxa"/>
              <w:left w:w="0" w:type="dxa"/>
              <w:bottom w:w="0" w:type="dxa"/>
              <w:right w:w="0" w:type="dxa"/>
            </w:tcMar>
            <w:tcBorders>
              <w:top w:val="none" w:color="000000" w:sz="0" w:space="0"/>
              <w:left w:val="none" w:color="000000" w:sz="0" w:space="0"/>
              <w:bottom w:val="none" w:color="000000" w:sz="0" w:space="0"/>
              <w:right w:val="none" w:color="000000" w:sz="0" w:space="0"/>
            </w:tcBorders>
            <w:shd w:fill="FFFFFF" w:color="auto" w:val="clear"/>
            <w:vAlign w:val="top"/>
          </w:tcPr>
          <w:p>
            <w:pPr>
              <w:pBdr>
                <w:top w:val="none" w:color="000000" w:sz="0" w:space="0"/>
                <w:left w:val="none" w:color="000000" w:sz="0" w:space="0"/>
                <w:bottom w:val="none" w:color="000000" w:sz="0" w:space="0"/>
                <w:right w:val="none" w:color="000000" w:sz="0" w:space="0"/>
              </w:pBdr>
              <w:pStyle w:val="Normal"/>
              <w:spacing w:before="120" w:after="120"/>
              <w:ind w:left="120" w:right="120"/>
              <w:rPr>
                <w:rFonts w:ascii="Times New Roman" w:eastAsia="Arial" w:hAnsi="Times New Roman" w:cs="Times New Roman"/>
                <w:color w:val="000000"/>
                <w:sz w:val="24"/>
                <w:szCs w:val="24"/>
              </w:rPr>
            </w:pPr>
            <w:r>
              <w:rPr>
                <w:rFonts w:ascii="Times New Roman" w:eastAsia="Arial" w:hAnsi="Times New Roman" w:cs="Times New Roman"/>
                <w:color w:val="000000"/>
                <w:sz w:val="24"/>
                <w:szCs w:val="24"/>
              </w:rPr>
              <w:t xml:space="preserve">(0.119)</w:t>
            </w:r>
          </w:p>
        </w:tc>
        <w:tc>
          <w:tcPr>
            <w:tcW w:type="pct" w:w="1089"/>
            <w:tcMar>
              <w:top w:w="0" w:type="dxa"/>
              <w:left w:w="0" w:type="dxa"/>
              <w:bottom w:w="0" w:type="dxa"/>
              <w:right w:w="0" w:type="dxa"/>
            </w:tcMar>
            <w:tcBorders>
              <w:top w:val="none" w:color="000000" w:sz="0" w:space="0"/>
              <w:left w:val="none" w:color="000000" w:sz="0" w:space="0"/>
              <w:bottom w:val="none" w:color="000000" w:sz="0" w:space="0"/>
              <w:right w:val="none" w:color="000000" w:sz="0" w:space="0"/>
            </w:tcBorders>
            <w:shd w:fill="FFFFFF" w:color="auto" w:val="clear"/>
            <w:vAlign w:val="top"/>
          </w:tcPr>
          <w:p>
            <w:pPr>
              <w:pBdr>
                <w:top w:val="none" w:color="000000" w:sz="0" w:space="0"/>
                <w:left w:val="none" w:color="000000" w:sz="0" w:space="0"/>
                <w:bottom w:val="none" w:color="000000" w:sz="0" w:space="0"/>
                <w:right w:val="none" w:color="000000" w:sz="0" w:space="0"/>
              </w:pBdr>
              <w:pStyle w:val="Normal"/>
              <w:spacing w:before="120" w:after="120"/>
              <w:ind w:left="120" w:right="120"/>
              <w:rPr>
                <w:rFonts w:ascii="Times New Roman" w:eastAsia="Arial" w:hAnsi="Times New Roman" w:cs="Times New Roman"/>
                <w:color w:val="000000"/>
                <w:sz w:val="24"/>
                <w:szCs w:val="24"/>
              </w:rPr>
            </w:pPr>
            <w:r>
              <w:rPr>
                <w:rFonts w:ascii="Times New Roman" w:eastAsia="Arial" w:hAnsi="Times New Roman" w:cs="Times New Roman"/>
                <w:color w:val="000000"/>
                <w:sz w:val="24"/>
                <w:szCs w:val="24"/>
              </w:rPr>
              <w:t xml:space="preserve">(0.145)</w:t>
            </w:r>
          </w:p>
        </w:tc>
      </w:tr>
      <w:tr>
        <w:tblPrEx>
          <w:tblBorders>
            <w:top w:val="none" w:sz="0" w:space="0"/>
            <w:left w:val="none" w:sz="0" w:space="0"/>
            <w:bottom w:val="none" w:sz="0" w:space="0"/>
            <w:right w:val="none" w:sz="0" w:space="0"/>
            <w:insideH w:val="none" w:sz="0" w:space="0"/>
            <w:insideV w:val="none" w:sz="0" w:space="0"/>
          </w:tblBorders>
        </w:tblPrEx>
        <w:trPr>
          <w:trHeight w:hRule="atLeast" w:val="20"/>
        </w:trPr>
        <w:tc>
          <w:tcPr>
            <w:tcW w:type="pct" w:w="2137"/>
            <w:tcMar>
              <w:top w:w="0" w:type="dxa"/>
              <w:left w:w="0" w:type="dxa"/>
              <w:bottom w:w="0" w:type="dxa"/>
              <w:right w:w="0" w:type="dxa"/>
            </w:tcMar>
            <w:tcBorders>
              <w:top w:val="none" w:color="000000" w:sz="0" w:space="0"/>
              <w:left w:val="none" w:color="000000" w:sz="0" w:space="0"/>
              <w:bottom w:val="none" w:color="000000" w:sz="0" w:space="0"/>
              <w:right w:val="none" w:color="000000" w:sz="0" w:space="0"/>
            </w:tcBorders>
            <w:shd w:fill="FFFFFF" w:color="auto" w:val="clear"/>
            <w:vAlign w:val="top"/>
          </w:tcPr>
          <w:p>
            <w:pPr>
              <w:pBdr>
                <w:top w:val="none" w:color="000000" w:sz="0" w:space="0"/>
                <w:left w:val="none" w:color="000000" w:sz="0" w:space="0"/>
                <w:bottom w:val="none" w:color="000000" w:sz="0" w:space="0"/>
                <w:right w:val="none" w:color="000000" w:sz="0" w:space="0"/>
              </w:pBdr>
              <w:pStyle w:val="Normal"/>
              <w:spacing w:before="120" w:after="120"/>
              <w:ind w:left="120" w:right="120"/>
              <w:rPr>
                <w:rFonts w:ascii="Times New Roman" w:eastAsia="Arial" w:hAnsi="Times New Roman" w:cs="Times New Roman"/>
                <w:color w:val="000000"/>
                <w:sz w:val="24"/>
                <w:szCs w:val="24"/>
              </w:rPr>
            </w:pPr>
            <w:r>
              <w:rPr>
                <w:rFonts w:ascii="Times New Roman" w:eastAsia="Arial" w:hAnsi="Times New Roman" w:cs="Times New Roman"/>
                <w:color w:val="000000"/>
                <w:sz w:val="24"/>
                <w:szCs w:val="24"/>
              </w:rPr>
              <w:t xml:space="preserve">Constant</w:t>
            </w:r>
          </w:p>
        </w:tc>
        <w:tc>
          <w:tcPr>
            <w:tcW w:type="pct" w:w="887"/>
            <w:tcMar>
              <w:top w:w="0" w:type="dxa"/>
              <w:left w:w="0" w:type="dxa"/>
              <w:bottom w:w="0" w:type="dxa"/>
              <w:right w:w="0" w:type="dxa"/>
            </w:tcMar>
            <w:tcBorders>
              <w:top w:val="none" w:color="000000" w:sz="0" w:space="0"/>
              <w:left w:val="none" w:color="000000" w:sz="0" w:space="0"/>
              <w:bottom w:val="none" w:color="000000" w:sz="0" w:space="0"/>
              <w:right w:val="none" w:color="000000" w:sz="0" w:space="0"/>
            </w:tcBorders>
            <w:shd w:fill="FFFFFF" w:color="auto" w:val="clear"/>
            <w:vAlign w:val="top"/>
          </w:tcPr>
          <w:p>
            <w:pPr>
              <w:pBdr>
                <w:top w:val="none" w:color="000000" w:sz="0" w:space="0"/>
                <w:left w:val="none" w:color="000000" w:sz="0" w:space="0"/>
                <w:bottom w:val="none" w:color="000000" w:sz="0" w:space="0"/>
                <w:right w:val="none" w:color="000000" w:sz="0" w:space="0"/>
              </w:pBdr>
              <w:pStyle w:val="Normal"/>
              <w:spacing w:before="120" w:after="120"/>
              <w:ind w:left="120" w:right="120"/>
              <w:rPr>
                <w:rFonts w:ascii="Times New Roman" w:eastAsia="Arial" w:hAnsi="Times New Roman" w:cs="Times New Roman"/>
                <w:color w:val="000000"/>
                <w:sz w:val="24"/>
                <w:szCs w:val="24"/>
              </w:rPr>
            </w:pPr>
            <w:r>
              <w:rPr>
                <w:rFonts w:ascii="Times New Roman" w:eastAsia="Arial" w:hAnsi="Times New Roman" w:cs="Times New Roman"/>
                <w:color w:val="000000"/>
                <w:sz w:val="24"/>
                <w:szCs w:val="24"/>
              </w:rPr>
              <w:t xml:space="preserve">0.244</w:t>
            </w:r>
          </w:p>
        </w:tc>
        <w:tc>
          <w:tcPr>
            <w:tcW w:type="pct" w:w="887"/>
            <w:tcMar>
              <w:top w:w="0" w:type="dxa"/>
              <w:left w:w="0" w:type="dxa"/>
              <w:bottom w:w="0" w:type="dxa"/>
              <w:right w:w="0" w:type="dxa"/>
            </w:tcMar>
            <w:tcBorders>
              <w:top w:val="none" w:color="000000" w:sz="0" w:space="0"/>
              <w:left w:val="none" w:color="000000" w:sz="0" w:space="0"/>
              <w:bottom w:val="none" w:color="000000" w:sz="0" w:space="0"/>
              <w:right w:val="none" w:color="000000" w:sz="0" w:space="0"/>
            </w:tcBorders>
            <w:shd w:fill="FFFFFF" w:color="auto" w:val="clear"/>
            <w:vAlign w:val="top"/>
          </w:tcPr>
          <w:p>
            <w:pPr>
              <w:pBdr>
                <w:top w:val="none" w:color="000000" w:sz="0" w:space="0"/>
                <w:left w:val="none" w:color="000000" w:sz="0" w:space="0"/>
                <w:bottom w:val="none" w:color="000000" w:sz="0" w:space="0"/>
                <w:right w:val="none" w:color="000000" w:sz="0" w:space="0"/>
              </w:pBdr>
              <w:pStyle w:val="Normal"/>
              <w:spacing w:before="120" w:after="120"/>
              <w:ind w:left="120" w:right="120"/>
              <w:rPr>
                <w:rFonts w:ascii="Times New Roman" w:eastAsia="Arial" w:hAnsi="Times New Roman" w:cs="Times New Roman"/>
                <w:color w:val="000000"/>
                <w:sz w:val="24"/>
                <w:szCs w:val="24"/>
              </w:rPr>
            </w:pPr>
            <w:r>
              <w:rPr>
                <w:rFonts w:ascii="Times New Roman" w:eastAsia="Arial" w:hAnsi="Times New Roman" w:cs="Times New Roman"/>
                <w:color w:val="000000"/>
                <w:sz w:val="24"/>
                <w:szCs w:val="24"/>
              </w:rPr>
              <w:t xml:space="preserve">1.059**</w:t>
            </w:r>
          </w:p>
        </w:tc>
        <w:tc>
          <w:tcPr>
            <w:tcW w:type="pct" w:w="1089"/>
            <w:tcMar>
              <w:top w:w="0" w:type="dxa"/>
              <w:left w:w="0" w:type="dxa"/>
              <w:bottom w:w="0" w:type="dxa"/>
              <w:right w:w="0" w:type="dxa"/>
            </w:tcMar>
            <w:tcBorders>
              <w:top w:val="none" w:color="000000" w:sz="0" w:space="0"/>
              <w:left w:val="none" w:color="000000" w:sz="0" w:space="0"/>
              <w:bottom w:val="none" w:color="000000" w:sz="0" w:space="0"/>
              <w:right w:val="none" w:color="000000" w:sz="0" w:space="0"/>
            </w:tcBorders>
            <w:shd w:fill="FFFFFF" w:color="auto" w:val="clear"/>
            <w:vAlign w:val="top"/>
          </w:tcPr>
          <w:p>
            <w:pPr>
              <w:pBdr>
                <w:top w:val="none" w:color="000000" w:sz="0" w:space="0"/>
                <w:left w:val="none" w:color="000000" w:sz="0" w:space="0"/>
                <w:bottom w:val="none" w:color="000000" w:sz="0" w:space="0"/>
                <w:right w:val="none" w:color="000000" w:sz="0" w:space="0"/>
              </w:pBdr>
              <w:pStyle w:val="Normal"/>
              <w:spacing w:before="120" w:after="120"/>
              <w:ind w:left="120" w:right="120"/>
              <w:rPr>
                <w:rFonts w:ascii="Times New Roman" w:eastAsia="Arial" w:hAnsi="Times New Roman" w:cs="Times New Roman"/>
                <w:color w:val="000000"/>
                <w:sz w:val="24"/>
                <w:szCs w:val="24"/>
              </w:rPr>
            </w:pPr>
            <w:r>
              <w:rPr>
                <w:rFonts w:ascii="Times New Roman" w:eastAsia="Arial" w:hAnsi="Times New Roman" w:cs="Times New Roman"/>
                <w:color w:val="000000"/>
                <w:sz w:val="24"/>
                <w:szCs w:val="24"/>
              </w:rPr>
              <w:t xml:space="preserve">8.453***</w:t>
            </w:r>
          </w:p>
        </w:tc>
      </w:tr>
      <w:tr>
        <w:tblPrEx>
          <w:tblBorders>
            <w:top w:val="none" w:sz="0" w:space="0"/>
            <w:left w:val="none" w:sz="0" w:space="0"/>
            <w:bottom w:val="none" w:sz="0" w:space="0"/>
            <w:right w:val="none" w:sz="0" w:space="0"/>
            <w:insideH w:val="none" w:sz="0" w:space="0"/>
            <w:insideV w:val="none" w:sz="0" w:space="0"/>
          </w:tblBorders>
        </w:tblPrEx>
        <w:trPr>
          <w:trHeight w:hRule="atLeast" w:val="20"/>
        </w:trPr>
        <w:tc>
          <w:tcPr>
            <w:tcW w:type="pct" w:w="2137"/>
            <w:tcMar>
              <w:top w:w="0" w:type="dxa"/>
              <w:left w:w="0" w:type="dxa"/>
              <w:bottom w:w="0" w:type="dxa"/>
              <w:right w:w="0" w:type="dxa"/>
            </w:tcMar>
            <w:tcBorders>
              <w:top w:val="none" w:color="000000" w:sz="0" w:space="0"/>
              <w:left w:val="none" w:color="000000" w:sz="0" w:space="0"/>
              <w:bottom w:val="single" w:color="000000" w:sz="8" w:space="0"/>
              <w:right w:val="none" w:color="000000" w:sz="0" w:space="0"/>
            </w:tcBorders>
            <w:shd w:fill="FFFFFF" w:color="auto" w:val="clear"/>
            <w:vAlign w:val="top"/>
          </w:tcPr>
          <w:p>
            <w:pPr>
              <w:pBdr>
                <w:top w:val="none" w:color="000000" w:sz="0" w:space="0"/>
                <w:left w:val="none" w:color="000000" w:sz="0" w:space="0"/>
                <w:bottom w:val="none" w:color="000000" w:sz="0" w:space="0"/>
                <w:right w:val="none" w:color="000000" w:sz="0" w:space="0"/>
              </w:pBdr>
              <w:pStyle w:val="Normal"/>
              <w:spacing w:before="120" w:after="120"/>
              <w:ind w:left="120" w:right="120"/>
              <w:rPr>
                <w:rFonts w:ascii="Times New Roman" w:eastAsia="Arial" w:hAnsi="Times New Roman" w:cs="Times New Roman"/>
                <w:color w:val="000000"/>
                <w:sz w:val="24"/>
                <w:szCs w:val="24"/>
              </w:rPr>
            </w:pPr>
          </w:p>
        </w:tc>
        <w:tc>
          <w:tcPr>
            <w:tcW w:type="pct" w:w="887"/>
            <w:tcMar>
              <w:top w:w="0" w:type="dxa"/>
              <w:left w:w="0" w:type="dxa"/>
              <w:bottom w:w="0" w:type="dxa"/>
              <w:right w:w="0" w:type="dxa"/>
            </w:tcMar>
            <w:tcBorders>
              <w:top w:val="none" w:color="000000" w:sz="0" w:space="0"/>
              <w:left w:val="none" w:color="000000" w:sz="0" w:space="0"/>
              <w:bottom w:val="single" w:color="000000" w:sz="8" w:space="0"/>
              <w:right w:val="none" w:color="000000" w:sz="0" w:space="0"/>
            </w:tcBorders>
            <w:shd w:fill="FFFFFF" w:color="auto" w:val="clear"/>
            <w:vAlign w:val="top"/>
          </w:tcPr>
          <w:p>
            <w:pPr>
              <w:pBdr>
                <w:top w:val="none" w:color="000000" w:sz="0" w:space="0"/>
                <w:left w:val="none" w:color="000000" w:sz="0" w:space="0"/>
                <w:bottom w:val="none" w:color="000000" w:sz="0" w:space="0"/>
                <w:right w:val="none" w:color="000000" w:sz="0" w:space="0"/>
              </w:pBdr>
              <w:pStyle w:val="Normal"/>
              <w:spacing w:before="120" w:after="120"/>
              <w:ind w:left="120" w:right="120"/>
              <w:rPr>
                <w:rFonts w:ascii="Times New Roman" w:eastAsia="Arial" w:hAnsi="Times New Roman" w:cs="Times New Roman"/>
                <w:color w:val="000000"/>
                <w:sz w:val="24"/>
                <w:szCs w:val="24"/>
              </w:rPr>
            </w:pPr>
            <w:r>
              <w:rPr>
                <w:rFonts w:ascii="Times New Roman" w:eastAsia="Arial" w:hAnsi="Times New Roman" w:cs="Times New Roman"/>
                <w:color w:val="000000"/>
                <w:sz w:val="24"/>
                <w:szCs w:val="24"/>
              </w:rPr>
              <w:t xml:space="preserve">(0.305)</w:t>
            </w:r>
          </w:p>
        </w:tc>
        <w:tc>
          <w:tcPr>
            <w:tcW w:type="pct" w:w="887"/>
            <w:tcMar>
              <w:top w:w="0" w:type="dxa"/>
              <w:left w:w="0" w:type="dxa"/>
              <w:bottom w:w="0" w:type="dxa"/>
              <w:right w:w="0" w:type="dxa"/>
            </w:tcMar>
            <w:tcBorders>
              <w:top w:val="none" w:color="000000" w:sz="0" w:space="0"/>
              <w:left w:val="none" w:color="000000" w:sz="0" w:space="0"/>
              <w:bottom w:val="single" w:color="000000" w:sz="8" w:space="0"/>
              <w:right w:val="none" w:color="000000" w:sz="0" w:space="0"/>
            </w:tcBorders>
            <w:shd w:fill="FFFFFF" w:color="auto" w:val="clear"/>
            <w:vAlign w:val="top"/>
          </w:tcPr>
          <w:p>
            <w:pPr>
              <w:pBdr>
                <w:top w:val="none" w:color="000000" w:sz="0" w:space="0"/>
                <w:left w:val="none" w:color="000000" w:sz="0" w:space="0"/>
                <w:bottom w:val="none" w:color="000000" w:sz="0" w:space="0"/>
                <w:right w:val="none" w:color="000000" w:sz="0" w:space="0"/>
              </w:pBdr>
              <w:pStyle w:val="Normal"/>
              <w:spacing w:before="120" w:after="120"/>
              <w:ind w:left="120" w:right="120"/>
              <w:rPr>
                <w:rFonts w:ascii="Times New Roman" w:eastAsia="Arial" w:hAnsi="Times New Roman" w:cs="Times New Roman"/>
                <w:color w:val="000000"/>
                <w:sz w:val="24"/>
                <w:szCs w:val="24"/>
              </w:rPr>
            </w:pPr>
            <w:r>
              <w:rPr>
                <w:rFonts w:ascii="Times New Roman" w:eastAsia="Arial" w:hAnsi="Times New Roman" w:cs="Times New Roman"/>
                <w:color w:val="000000"/>
                <w:sz w:val="24"/>
                <w:szCs w:val="24"/>
              </w:rPr>
              <w:t xml:space="preserve">(0.351)</w:t>
            </w:r>
          </w:p>
        </w:tc>
        <w:tc>
          <w:tcPr>
            <w:tcW w:type="pct" w:w="1089"/>
            <w:tcMar>
              <w:top w:w="0" w:type="dxa"/>
              <w:left w:w="0" w:type="dxa"/>
              <w:bottom w:w="0" w:type="dxa"/>
              <w:right w:w="0" w:type="dxa"/>
            </w:tcMar>
            <w:tcBorders>
              <w:top w:val="none" w:color="000000" w:sz="0" w:space="0"/>
              <w:left w:val="none" w:color="000000" w:sz="0" w:space="0"/>
              <w:bottom w:val="single" w:color="000000" w:sz="8" w:space="0"/>
              <w:right w:val="none" w:color="000000" w:sz="0" w:space="0"/>
            </w:tcBorders>
            <w:shd w:fill="FFFFFF" w:color="auto" w:val="clear"/>
            <w:vAlign w:val="top"/>
          </w:tcPr>
          <w:p>
            <w:pPr>
              <w:pBdr>
                <w:top w:val="none" w:color="000000" w:sz="0" w:space="0"/>
                <w:left w:val="none" w:color="000000" w:sz="0" w:space="0"/>
                <w:bottom w:val="none" w:color="000000" w:sz="0" w:space="0"/>
                <w:right w:val="none" w:color="000000" w:sz="0" w:space="0"/>
              </w:pBdr>
              <w:pStyle w:val="Normal"/>
              <w:spacing w:before="120" w:after="120"/>
              <w:ind w:left="120" w:right="120"/>
              <w:rPr>
                <w:rFonts w:ascii="Times New Roman" w:eastAsia="Arial" w:hAnsi="Times New Roman" w:cs="Times New Roman"/>
                <w:color w:val="000000"/>
                <w:sz w:val="24"/>
                <w:szCs w:val="24"/>
              </w:rPr>
            </w:pPr>
            <w:r>
              <w:rPr>
                <w:rFonts w:ascii="Times New Roman" w:eastAsia="Arial" w:hAnsi="Times New Roman" w:cs="Times New Roman"/>
                <w:color w:val="000000"/>
                <w:sz w:val="24"/>
                <w:szCs w:val="24"/>
              </w:rPr>
              <w:t xml:space="preserve">(0.427)</w:t>
            </w:r>
          </w:p>
        </w:tc>
      </w:tr>
      <w:tr>
        <w:tblPrEx>
          <w:tblBorders>
            <w:top w:val="none" w:sz="0" w:space="0"/>
            <w:left w:val="none" w:sz="0" w:space="0"/>
            <w:bottom w:val="none" w:sz="0" w:space="0"/>
            <w:right w:val="none" w:sz="0" w:space="0"/>
            <w:insideH w:val="none" w:sz="0" w:space="0"/>
            <w:insideV w:val="none" w:sz="0" w:space="0"/>
          </w:tblBorders>
        </w:tblPrEx>
        <w:trPr>
          <w:trHeight w:hRule="atLeast" w:val="20"/>
        </w:trPr>
        <w:tc>
          <w:tcPr>
            <w:tcW w:type="pct" w:w="2137"/>
            <w:tcMar>
              <w:top w:w="0" w:type="dxa"/>
              <w:left w:w="0" w:type="dxa"/>
              <w:bottom w:w="0" w:type="dxa"/>
              <w:right w:w="0" w:type="dxa"/>
            </w:tcMar>
            <w:tcBorders>
              <w:top w:val="single" w:color="000000" w:sz="8" w:space="0"/>
              <w:left w:val="none" w:color="000000" w:sz="0" w:space="0"/>
              <w:bottom w:val="none" w:color="000000" w:sz="0" w:space="0"/>
              <w:right w:val="none" w:color="000000" w:sz="0" w:space="0"/>
            </w:tcBorders>
            <w:shd w:fill="FFFFFF" w:color="auto" w:val="clear"/>
            <w:vAlign w:val="top"/>
          </w:tcPr>
          <w:p>
            <w:pPr>
              <w:pBdr>
                <w:top w:val="none" w:color="000000" w:sz="0" w:space="0"/>
                <w:left w:val="none" w:color="000000" w:sz="0" w:space="0"/>
                <w:bottom w:val="none" w:color="000000" w:sz="0" w:space="0"/>
                <w:right w:val="none" w:color="000000" w:sz="0" w:space="0"/>
              </w:pBdr>
              <w:pStyle w:val="Normal"/>
              <w:spacing w:before="120" w:after="120"/>
              <w:ind w:left="120" w:right="120"/>
              <w:rPr>
                <w:rFonts w:ascii="Times New Roman" w:eastAsia="Arial" w:hAnsi="Times New Roman" w:cs="Times New Roman"/>
                <w:color w:val="000000"/>
                <w:sz w:val="24"/>
                <w:szCs w:val="24"/>
              </w:rPr>
            </w:pPr>
            <w:r>
              <w:rPr>
                <w:rFonts w:ascii="Times New Roman" w:eastAsia="Arial" w:hAnsi="Times New Roman" w:cs="Times New Roman"/>
                <w:color w:val="000000"/>
                <w:sz w:val="24"/>
                <w:szCs w:val="24"/>
              </w:rPr>
              <w:t xml:space="preserve">N</w:t>
            </w:r>
          </w:p>
        </w:tc>
        <w:tc>
          <w:tcPr>
            <w:tcW w:type="pct" w:w="887"/>
            <w:tcMar>
              <w:top w:w="0" w:type="dxa"/>
              <w:left w:w="0" w:type="dxa"/>
              <w:bottom w:w="0" w:type="dxa"/>
              <w:right w:w="0" w:type="dxa"/>
            </w:tcMar>
            <w:tcBorders>
              <w:top w:val="single" w:color="000000" w:sz="8" w:space="0"/>
              <w:left w:val="none" w:color="000000" w:sz="0" w:space="0"/>
              <w:bottom w:val="none" w:color="000000" w:sz="0" w:space="0"/>
              <w:right w:val="none" w:color="000000" w:sz="0" w:space="0"/>
            </w:tcBorders>
            <w:shd w:fill="FFFFFF" w:color="auto" w:val="clear"/>
            <w:vAlign w:val="top"/>
          </w:tcPr>
          <w:p>
            <w:pPr>
              <w:pBdr>
                <w:top w:val="none" w:color="000000" w:sz="0" w:space="0"/>
                <w:left w:val="none" w:color="000000" w:sz="0" w:space="0"/>
                <w:bottom w:val="none" w:color="000000" w:sz="0" w:space="0"/>
                <w:right w:val="none" w:color="000000" w:sz="0" w:space="0"/>
              </w:pBdr>
              <w:pStyle w:val="Normal"/>
              <w:spacing w:before="120" w:after="120"/>
              <w:ind w:left="120" w:right="120"/>
              <w:rPr>
                <w:rFonts w:ascii="Times New Roman" w:eastAsia="Arial" w:hAnsi="Times New Roman" w:cs="Times New Roman"/>
                <w:color w:val="000000"/>
                <w:sz w:val="24"/>
                <w:szCs w:val="24"/>
              </w:rPr>
            </w:pPr>
            <w:r>
              <w:rPr>
                <w:rFonts w:ascii="Times New Roman" w:eastAsia="Arial" w:hAnsi="Times New Roman" w:cs="Times New Roman"/>
                <w:color w:val="000000"/>
                <w:sz w:val="24"/>
                <w:szCs w:val="24"/>
              </w:rPr>
              <w:t xml:space="preserve">1081</w:t>
            </w:r>
          </w:p>
        </w:tc>
        <w:tc>
          <w:tcPr>
            <w:tcW w:type="pct" w:w="887"/>
            <w:tcMar>
              <w:top w:w="0" w:type="dxa"/>
              <w:left w:w="0" w:type="dxa"/>
              <w:bottom w:w="0" w:type="dxa"/>
              <w:right w:w="0" w:type="dxa"/>
            </w:tcMar>
            <w:tcBorders>
              <w:top w:val="single" w:color="000000" w:sz="8" w:space="0"/>
              <w:left w:val="none" w:color="000000" w:sz="0" w:space="0"/>
              <w:bottom w:val="none" w:color="000000" w:sz="0" w:space="0"/>
              <w:right w:val="none" w:color="000000" w:sz="0" w:space="0"/>
            </w:tcBorders>
            <w:shd w:fill="FFFFFF" w:color="auto" w:val="clear"/>
            <w:vAlign w:val="top"/>
          </w:tcPr>
          <w:p>
            <w:pPr>
              <w:pBdr>
                <w:top w:val="none" w:color="000000" w:sz="0" w:space="0"/>
                <w:left w:val="none" w:color="000000" w:sz="0" w:space="0"/>
                <w:bottom w:val="none" w:color="000000" w:sz="0" w:space="0"/>
                <w:right w:val="none" w:color="000000" w:sz="0" w:space="0"/>
              </w:pBdr>
              <w:pStyle w:val="Normal"/>
              <w:spacing w:before="120" w:after="120"/>
              <w:ind w:left="120" w:right="120"/>
              <w:rPr>
                <w:rFonts w:ascii="Times New Roman" w:eastAsia="Arial" w:hAnsi="Times New Roman" w:cs="Times New Roman"/>
                <w:color w:val="000000"/>
                <w:sz w:val="24"/>
                <w:szCs w:val="24"/>
              </w:rPr>
            </w:pPr>
            <w:r>
              <w:rPr>
                <w:rFonts w:ascii="Times New Roman" w:eastAsia="Arial" w:hAnsi="Times New Roman" w:cs="Times New Roman"/>
                <w:color w:val="000000"/>
                <w:sz w:val="24"/>
                <w:szCs w:val="24"/>
              </w:rPr>
              <w:t xml:space="preserve">1089</w:t>
            </w:r>
          </w:p>
        </w:tc>
        <w:tc>
          <w:tcPr>
            <w:tcW w:type="pct" w:w="1089"/>
            <w:tcMar>
              <w:top w:w="0" w:type="dxa"/>
              <w:left w:w="0" w:type="dxa"/>
              <w:bottom w:w="0" w:type="dxa"/>
              <w:right w:w="0" w:type="dxa"/>
            </w:tcMar>
            <w:tcBorders>
              <w:top w:val="single" w:color="000000" w:sz="8" w:space="0"/>
              <w:left w:val="none" w:color="000000" w:sz="0" w:space="0"/>
              <w:bottom w:val="none" w:color="000000" w:sz="0" w:space="0"/>
              <w:right w:val="none" w:color="000000" w:sz="0" w:space="0"/>
            </w:tcBorders>
            <w:shd w:fill="FFFFFF" w:color="auto" w:val="clear"/>
            <w:vAlign w:val="top"/>
          </w:tcPr>
          <w:p>
            <w:pPr>
              <w:pBdr>
                <w:top w:val="none" w:color="000000" w:sz="0" w:space="0"/>
                <w:left w:val="none" w:color="000000" w:sz="0" w:space="0"/>
                <w:bottom w:val="none" w:color="000000" w:sz="0" w:space="0"/>
                <w:right w:val="none" w:color="000000" w:sz="0" w:space="0"/>
              </w:pBdr>
              <w:pStyle w:val="Normal"/>
              <w:spacing w:before="120" w:after="120"/>
              <w:ind w:left="120" w:right="120"/>
              <w:rPr>
                <w:rFonts w:ascii="Times New Roman" w:eastAsia="Arial" w:hAnsi="Times New Roman" w:cs="Times New Roman"/>
                <w:color w:val="000000"/>
                <w:sz w:val="24"/>
                <w:szCs w:val="24"/>
              </w:rPr>
            </w:pPr>
            <w:r>
              <w:rPr>
                <w:rFonts w:ascii="Times New Roman" w:eastAsia="Arial" w:hAnsi="Times New Roman" w:cs="Times New Roman"/>
                <w:color w:val="000000"/>
                <w:sz w:val="24"/>
                <w:szCs w:val="24"/>
              </w:rPr>
              <w:t xml:space="preserve">1085</w:t>
            </w:r>
          </w:p>
        </w:tc>
      </w:tr>
      <w:tr>
        <w:tblPrEx>
          <w:tblBorders>
            <w:top w:val="none" w:sz="0" w:space="0"/>
            <w:left w:val="none" w:sz="0" w:space="0"/>
            <w:bottom w:val="none" w:sz="0" w:space="0"/>
            <w:right w:val="none" w:sz="0" w:space="0"/>
            <w:insideH w:val="none" w:sz="0" w:space="0"/>
            <w:insideV w:val="none" w:sz="0" w:space="0"/>
          </w:tblBorders>
        </w:tblPrEx>
        <w:trPr>
          <w:trHeight w:hRule="atLeast" w:val="20"/>
        </w:trPr>
        <w:tc>
          <w:tcPr>
            <w:tcW w:type="pct" w:w="2137"/>
            <w:tcMar>
              <w:top w:w="0" w:type="dxa"/>
              <w:left w:w="0" w:type="dxa"/>
              <w:bottom w:w="0" w:type="dxa"/>
              <w:right w:w="0" w:type="dxa"/>
            </w:tcMar>
            <w:tcBorders>
              <w:top w:val="none" w:color="000000" w:sz="0" w:space="0"/>
              <w:left w:val="none" w:color="000000" w:sz="0" w:space="0"/>
              <w:bottom w:val="single" w:color="000000" w:sz="6" w:space="0"/>
              <w:right w:val="none" w:color="000000" w:sz="0" w:space="0"/>
            </w:tcBorders>
            <w:shd w:fill="FFFFFF" w:color="auto" w:val="clear"/>
            <w:vAlign w:val="top"/>
          </w:tcPr>
          <w:p>
            <w:pPr>
              <w:pBdr>
                <w:top w:val="none" w:color="000000" w:sz="0" w:space="0"/>
                <w:left w:val="none" w:color="000000" w:sz="0" w:space="0"/>
                <w:bottom w:val="none" w:color="000000" w:sz="0" w:space="0"/>
                <w:right w:val="none" w:color="000000" w:sz="0" w:space="0"/>
              </w:pBdr>
              <w:pStyle w:val="Normal"/>
              <w:spacing w:before="120" w:after="120"/>
              <w:ind w:left="120" w:right="120"/>
              <w:rPr>
                <w:rFonts w:ascii="Times New Roman" w:eastAsia="Arial" w:hAnsi="Times New Roman" w:cs="Times New Roman"/>
                <w:color w:val="000000"/>
                <w:sz w:val="24"/>
                <w:szCs w:val="24"/>
              </w:rPr>
            </w:pPr>
            <w:r>
              <w:rPr>
                <w:rFonts w:ascii="Times New Roman" w:eastAsia="Arial" w:hAnsi="Times New Roman" w:cs="Times New Roman"/>
                <w:color w:val="000000"/>
                <w:sz w:val="24"/>
                <w:szCs w:val="24"/>
              </w:rPr>
              <w:t xml:space="preserve">R2 Adj.</w:t>
            </w:r>
          </w:p>
        </w:tc>
        <w:tc>
          <w:tcPr>
            <w:tcW w:type="pct" w:w="887"/>
            <w:tcMar>
              <w:top w:w="0" w:type="dxa"/>
              <w:left w:w="0" w:type="dxa"/>
              <w:bottom w:w="0" w:type="dxa"/>
              <w:right w:w="0" w:type="dxa"/>
            </w:tcMar>
            <w:tcBorders>
              <w:top w:val="none" w:color="000000" w:sz="0" w:space="0"/>
              <w:left w:val="none" w:color="000000" w:sz="0" w:space="0"/>
              <w:bottom w:val="single" w:color="000000" w:sz="6" w:space="0"/>
              <w:right w:val="none" w:color="000000" w:sz="0" w:space="0"/>
            </w:tcBorders>
            <w:shd w:fill="FFFFFF" w:color="auto" w:val="clear"/>
            <w:vAlign w:val="top"/>
          </w:tcPr>
          <w:p>
            <w:pPr>
              <w:pBdr>
                <w:top w:val="none" w:color="000000" w:sz="0" w:space="0"/>
                <w:left w:val="none" w:color="000000" w:sz="0" w:space="0"/>
                <w:bottom w:val="none" w:color="000000" w:sz="0" w:space="0"/>
                <w:right w:val="none" w:color="000000" w:sz="0" w:space="0"/>
              </w:pBdr>
              <w:pStyle w:val="Normal"/>
              <w:spacing w:before="120" w:after="120"/>
              <w:ind w:left="120" w:right="120"/>
              <w:rPr>
                <w:rFonts w:ascii="Times New Roman" w:eastAsia="Arial" w:hAnsi="Times New Roman" w:cs="Times New Roman"/>
                <w:color w:val="000000"/>
                <w:sz w:val="24"/>
                <w:szCs w:val="24"/>
              </w:rPr>
            </w:pPr>
            <w:r>
              <w:rPr>
                <w:rFonts w:ascii="Times New Roman" w:eastAsia="Arial" w:hAnsi="Times New Roman" w:cs="Times New Roman"/>
                <w:color w:val="000000"/>
                <w:sz w:val="24"/>
                <w:szCs w:val="24"/>
              </w:rPr>
              <w:t xml:space="preserve">0.494</w:t>
            </w:r>
          </w:p>
        </w:tc>
        <w:tc>
          <w:tcPr>
            <w:tcW w:type="pct" w:w="887"/>
            <w:tcMar>
              <w:top w:w="0" w:type="dxa"/>
              <w:left w:w="0" w:type="dxa"/>
              <w:bottom w:w="0" w:type="dxa"/>
              <w:right w:w="0" w:type="dxa"/>
            </w:tcMar>
            <w:tcBorders>
              <w:top w:val="none" w:color="000000" w:sz="0" w:space="0"/>
              <w:left w:val="none" w:color="000000" w:sz="0" w:space="0"/>
              <w:bottom w:val="single" w:color="000000" w:sz="6" w:space="0"/>
              <w:right w:val="none" w:color="000000" w:sz="0" w:space="0"/>
            </w:tcBorders>
            <w:shd w:fill="FFFFFF" w:color="auto" w:val="clear"/>
            <w:vAlign w:val="top"/>
          </w:tcPr>
          <w:p>
            <w:pPr>
              <w:pBdr>
                <w:top w:val="none" w:color="000000" w:sz="0" w:space="0"/>
                <w:left w:val="none" w:color="000000" w:sz="0" w:space="0"/>
                <w:bottom w:val="none" w:color="000000" w:sz="0" w:space="0"/>
                <w:right w:val="none" w:color="000000" w:sz="0" w:space="0"/>
              </w:pBdr>
              <w:pStyle w:val="Normal"/>
              <w:spacing w:before="120" w:after="120"/>
              <w:ind w:left="120" w:right="120"/>
              <w:rPr>
                <w:rFonts w:ascii="Times New Roman" w:eastAsia="Arial" w:hAnsi="Times New Roman" w:cs="Times New Roman"/>
                <w:color w:val="000000"/>
                <w:sz w:val="24"/>
                <w:szCs w:val="24"/>
              </w:rPr>
            </w:pPr>
            <w:r>
              <w:rPr>
                <w:rFonts w:ascii="Times New Roman" w:eastAsia="Arial" w:hAnsi="Times New Roman" w:cs="Times New Roman"/>
                <w:color w:val="000000"/>
                <w:sz w:val="24"/>
                <w:szCs w:val="24"/>
              </w:rPr>
              <w:t xml:space="preserve">0.517</w:t>
            </w:r>
          </w:p>
        </w:tc>
        <w:tc>
          <w:tcPr>
            <w:tcW w:type="pct" w:w="1089"/>
            <w:tcMar>
              <w:top w:w="0" w:type="dxa"/>
              <w:left w:w="0" w:type="dxa"/>
              <w:bottom w:w="0" w:type="dxa"/>
              <w:right w:w="0" w:type="dxa"/>
            </w:tcMar>
            <w:tcBorders>
              <w:top w:val="none" w:color="000000" w:sz="0" w:space="0"/>
              <w:left w:val="none" w:color="000000" w:sz="0" w:space="0"/>
              <w:bottom w:val="single" w:color="000000" w:sz="6" w:space="0"/>
              <w:right w:val="none" w:color="000000" w:sz="0" w:space="0"/>
            </w:tcBorders>
            <w:shd w:fill="FFFFFF" w:color="auto" w:val="clear"/>
            <w:vAlign w:val="top"/>
          </w:tcPr>
          <w:p>
            <w:pPr>
              <w:pBdr>
                <w:top w:val="none" w:color="000000" w:sz="0" w:space="0"/>
                <w:left w:val="none" w:color="000000" w:sz="0" w:space="0"/>
                <w:bottom w:val="none" w:color="000000" w:sz="0" w:space="0"/>
                <w:right w:val="none" w:color="000000" w:sz="0" w:space="0"/>
              </w:pBdr>
              <w:pStyle w:val="Normal"/>
              <w:spacing w:before="120" w:after="120"/>
              <w:ind w:left="120" w:right="120"/>
              <w:rPr>
                <w:rFonts w:ascii="Times New Roman" w:eastAsia="Arial" w:hAnsi="Times New Roman" w:cs="Times New Roman"/>
                <w:color w:val="000000"/>
                <w:sz w:val="24"/>
                <w:szCs w:val="24"/>
              </w:rPr>
            </w:pPr>
            <w:r>
              <w:rPr>
                <w:rFonts w:ascii="Times New Roman" w:eastAsia="Arial" w:hAnsi="Times New Roman" w:cs="Times New Roman"/>
                <w:color w:val="000000"/>
                <w:sz w:val="24"/>
                <w:szCs w:val="24"/>
              </w:rPr>
              <w:t xml:space="preserve">0.343</w:t>
            </w:r>
          </w:p>
        </w:tc>
      </w:tr>
      <w:tr>
        <w:tblPrEx>
          <w:tblBorders>
            <w:top w:val="none" w:sz="0" w:space="0"/>
            <w:left w:val="none" w:sz="0" w:space="0"/>
            <w:bottom w:val="none" w:sz="0" w:space="0"/>
            <w:right w:val="none" w:sz="0" w:space="0"/>
            <w:insideH w:val="none" w:sz="0" w:space="0"/>
            <w:insideV w:val="none" w:sz="0" w:space="0"/>
          </w:tblBorders>
        </w:tblPrEx>
        <w:trPr>
          <w:trHeight w:hRule="atLeast" w:val="20"/>
        </w:trPr>
        <w:tc>
          <w:tcPr>
            <w:tcW w:type="pct" w:w="5000"/>
            <w:tcMar>
              <w:top w:w="0" w:type="dxa"/>
              <w:left w:w="0" w:type="dxa"/>
              <w:bottom w:w="0" w:type="dxa"/>
              <w:right w:w="0" w:type="dxa"/>
            </w:tcMar>
            <w:tcBorders>
              <w:top w:val="single" w:color="000000" w:sz="6" w:space="0"/>
              <w:left w:val="none" w:color="000000" w:sz="0" w:space="0"/>
              <w:bottom w:val="single" w:color="000000" w:sz="8" w:space="0"/>
              <w:right w:val="none" w:color="000000" w:sz="0" w:space="0"/>
            </w:tcBorders>
            <w:shd w:fill="FFFFFF" w:color="auto" w:val="clear"/>
            <w:vAlign w:val="top"/>
            <w:gridSpan w:val="4"/>
          </w:tcPr>
          <w:p>
            <w:pPr>
              <w:pBdr>
                <w:top w:val="none" w:color="000000" w:sz="0" w:space="0"/>
                <w:left w:val="none" w:color="000000" w:sz="0" w:space="0"/>
                <w:bottom w:val="none" w:color="000000" w:sz="0" w:space="0"/>
                <w:right w:val="none" w:color="000000" w:sz="0" w:space="0"/>
              </w:pBdr>
              <w:pStyle w:val="Normal"/>
              <w:spacing w:before="120" w:after="120"/>
              <w:ind w:left="120" w:right="120"/>
              <w:rPr>
                <w:rFonts w:ascii="Arial" w:eastAsia="Arial" w:hAnsi="Arial" w:cs="Arial"/>
                <w:color w:val="000000"/>
              </w:rPr>
            </w:pPr>
            <w:r>
              <w:rPr>
                <w:rFonts w:ascii="Arial" w:eastAsia="Arial" w:hAnsi="Arial" w:cs="Arial"/>
                <w:color w:val="000000"/>
              </w:rPr>
              <w:t xml:space="preserve">+ p &lt; 0.1, * p &lt; 0.05, ** p &lt; 0.01, *** p &lt; 0.001</w:t>
            </w:r>
          </w:p>
        </w:tc>
      </w:tr>
    </w:tbl>
    <w:p>
      <w:pPr>
        <w:pBdr/>
        <w:pStyle w:val="Normal"/>
        <w:spacing/>
        <w:ind/>
        <w:rPr/>
      </w:pPr>
      <w:r>
        <w:rPr/>
        <w:t xml:space="preserve"> </w:t>
      </w:r>
    </w:p>
    <w:p>
      <w:pPr>
        <w:pBdr>
          <w:top w:val="none" w:color="000000" w:sz="0" w:space="0"/>
          <w:left w:val="none" w:color="000000" w:sz="0" w:space="0"/>
          <w:bottom w:val="none" w:color="000000" w:sz="0" w:space="0"/>
          <w:right w:val="none" w:color="000000" w:sz="0" w:space="0"/>
        </w:pBdr>
        <w:pStyle w:val="Table Caption"/>
        <w:keepNext/>
        <w:spacing w:after="0" w:line="480" w:lineRule="auto"/>
        <w:ind w:left="58" w:right="58"/>
        <w:jc w:val="left"/>
        <w:rPr>
          <w:rFonts w:ascii="Times New Roman" w:hAnsi="Times New Roman" w:cs="Times New Roman"/>
          <w:b w:val="0"/>
          <w:i w:val="0"/>
          <w:iCs w:val="0"/>
          <w:color w:val="000000"/>
        </w:rPr>
      </w:pPr>
      <w:r>
        <w:rPr>
          <w:rFonts w:ascii="Times New Roman" w:hAnsi="Times New Roman" w:cs="Times New Roman"/>
          <w:b w:val="0"/>
          <w:i w:val="0"/>
          <w:iCs w:val="0"/>
          <w:color w:val="000000"/>
        </w:rPr>
        <w:tab/>
      </w:r>
      <w:r>
        <w:rPr>
          <w:rFonts w:ascii="Times New Roman" w:hAnsi="Times New Roman" w:cs="Times New Roman"/>
          <w:b w:val="0"/>
          <w:i w:val="0"/>
          <w:iCs w:val="0"/>
          <w:color w:val="000000"/>
        </w:rPr>
        <w:t xml:space="preserve">Results for the models predicting policy area-</w:t>
      </w:r>
      <w:r>
        <w:rPr>
          <w:rFonts w:ascii="Times New Roman" w:hAnsi="Times New Roman" w:cs="Times New Roman"/>
          <w:b w:val="0"/>
          <w:i w:val="0"/>
          <w:iCs w:val="0"/>
          <w:color w:val="000000"/>
        </w:rPr>
        <w:t xml:space="preserve">specific burden tolerance are shown in Table 4. As expected, egalitarianism is negatively associated with acceptance of SNAP and voting-</w:t>
      </w:r>
      <w:r>
        <w:rPr>
          <w:rFonts w:ascii="Times New Roman" w:hAnsi="Times New Roman" w:cs="Times New Roman"/>
          <w:b w:val="0"/>
          <w:i w:val="0"/>
          <w:iCs w:val="0"/>
          <w:color w:val="000000"/>
        </w:rPr>
        <w:t xml:space="preserve">related burdens but is positively associated with burdens related to gun ownership (Hypothesis 2), and hierarchy is positively associated with burdens across all three policy areas (Hypothesis 4). However, we find mixed results for individualism, which is positively associated with acceptance of SNAP burdens as predicted, but contrary to expectations, individualism is </w:t>
      </w:r>
      <w:r>
        <w:rPr>
          <w:rFonts w:ascii="Times New Roman" w:hAnsi="Times New Roman" w:cs="Times New Roman"/>
          <w:b w:val="0"/>
          <w:color w:val="000000"/>
        </w:rPr>
        <w:t xml:space="preserve">positively</w:t>
      </w:r>
      <w:r>
        <w:rPr>
          <w:rFonts w:ascii="Times New Roman" w:hAnsi="Times New Roman" w:cs="Times New Roman"/>
          <w:b w:val="0"/>
          <w:i w:val="0"/>
          <w:iCs w:val="0"/>
          <w:color w:val="000000"/>
        </w:rPr>
        <w:t xml:space="preserve"> associated with acceptance of voting burdens. Additionally, there is no relationship between individualism and gun purchase burdens. Thus, we find only partial support for Hypothesis 3. Fatalism is negatively associated with acceptance of voting burdens (at p&lt;0.10), positively associated with burdens for gun ownership, and is unrelated to perceptions related to SNAP benefits. In terms of political ideology, we find that, as expected, increasing conservatism is positively associated with SNAP and voting burdens but negatively associated with burdens on gun ownership (Hypothesis 5b). Similarly, we find that general burden tolerance is positively associated with acceptance of SNAP and voting burdens but is negatively associated with tolerance of gun ownership burdens and thus can only partially confirm Hypothesis 6.</w:t>
      </w:r>
      <w:r>
        <w:rPr>
          <w:rFonts w:ascii="Times New Roman" w:hAnsi="Times New Roman" w:cs="Times New Roman"/>
          <w:color w:val="000000"/>
        </w:rPr>
        <w:t xml:space="preserve"> </w:t>
      </w:r>
    </w:p>
    <w:p>
      <w:pPr>
        <w:pBdr>
          <w:top w:val="none" w:color="000000" w:sz="0" w:space="0"/>
          <w:left w:val="none" w:color="000000" w:sz="0" w:space="0"/>
          <w:bottom w:val="none" w:color="000000" w:sz="0" w:space="0"/>
          <w:right w:val="none" w:color="000000" w:sz="0" w:space="0"/>
        </w:pBdr>
        <w:pStyle w:val="Table Caption"/>
        <w:keepNext/>
        <w:spacing w:after="0" w:line="480" w:lineRule="auto"/>
        <w:ind w:left="60" w:right="60" w:firstLine="660"/>
        <w:jc w:val="left"/>
        <w:rPr>
          <w:rFonts w:ascii="Times New Roman" w:hAnsi="Times New Roman" w:cs="Times New Roman"/>
          <w:b w:val="0"/>
          <w:i w:val="0"/>
          <w:iCs w:val="0"/>
          <w:color w:val="000000"/>
        </w:rPr>
      </w:pPr>
      <w:r>
        <w:rPr>
          <w:rFonts w:ascii="Times New Roman" w:hAnsi="Times New Roman" w:cs="Times New Roman"/>
          <w:b w:val="0"/>
          <w:i w:val="0"/>
          <w:iCs w:val="0"/>
          <w:color w:val="000000"/>
        </w:rPr>
        <w:t xml:space="preserve">Finally, for our control variables, we find that recipients of SNAP, those who say they voted in the 2024 presidential election, and gun owners are all negatively associated with burden tolerance across the respective policy areas. Regarding demographics, age and income are positively associated with acceptance of SNAP and gun ownership burdens. Increasing levels of education are associated with decreasing support for voting burdens. Conditional on </w:t>
      </w:r>
      <w:r>
        <w:rPr>
          <w:rFonts w:ascii="Times New Roman" w:hAnsi="Times New Roman" w:cs="Times New Roman"/>
          <w:b w:val="0"/>
          <w:i w:val="0"/>
          <w:iCs w:val="0"/>
          <w:color w:val="000000"/>
        </w:rPr>
        <w:t xml:space="preserve">all the other variables in the model, male respondents are less accepting of burdens related to gun ownership.</w:t>
      </w:r>
    </w:p>
    <w:p>
      <w:pPr>
        <w:pBdr/>
        <w:pStyle w:val="Normal (Web)"/>
        <w:spacing w:before="0" w:beforeAutospacing="false" w:after="0" w:afterAutospacing="false" w:line="480" w:lineRule="auto"/>
        <w:ind/>
        <w:rPr>
          <w:b/>
          <w:bCs/>
          <w:color w:val="000000"/>
        </w:rPr>
      </w:pPr>
      <w:r>
        <w:rPr>
          <w:b/>
          <w:bCs/>
          <w:color w:val="000000"/>
        </w:rPr>
        <w:t xml:space="preserve">Discussion</w:t>
      </w:r>
      <w:r>
        <w:rPr>
          <w:color w:val="000000"/>
        </w:rPr>
        <w:t xml:space="preserve"> </w:t>
      </w:r>
    </w:p>
    <w:p>
      <w:pPr>
        <w:pBdr/>
        <w:pStyle w:val="Normal (Web)"/>
        <w:spacing w:before="0" w:beforeAutospacing="false" w:after="0" w:afterAutospacing="false" w:line="480" w:lineRule="auto"/>
        <w:ind/>
        <w:rPr>
          <w:color w:val="000000"/>
        </w:rPr>
      </w:pPr>
      <w:r>
        <w:rPr>
          <w:color w:val="000000"/>
        </w:rPr>
        <w:tab/>
      </w:r>
      <w:r>
        <w:rPr>
          <w:color w:val="000000"/>
        </w:rPr>
        <w:t xml:space="preserve">In this paper, we developed and tested hypotheses related to core beliefs, including CT worldviews and political ideology, and burden tolerance for burdens in general and across three specific issue areas. Regarding core beliefs and burdens in general, we hypothesized that hierarchy, with its support for following rules, and individualism, with its skepticism of government, would be associated with increased support for general administrative burdens. We found support for both hypotheses. Additionally, as expected, increasing conservatism was associated with increasing support for burdens. Finally, we did not have expectations regarding fatalism, yet we found that increasing fatalism was associated with burden support.  </w:t>
      </w:r>
    </w:p>
    <w:p>
      <w:pPr>
        <w:pBdr/>
        <w:pStyle w:val="Normal (Web)"/>
        <w:spacing w:before="0" w:beforeAutospacing="false" w:after="0" w:afterAutospacing="false" w:line="480" w:lineRule="auto"/>
        <w:ind w:firstLine="720"/>
        <w:rPr>
          <w:color w:val="000000"/>
        </w:rPr>
      </w:pPr>
      <w:r>
        <w:rPr>
          <w:color w:val="000000"/>
        </w:rPr>
        <w:t xml:space="preserve">We also expected egalitarianism to be negatively associated with general burden tolerance, yet we did not find a significant relationship. Egalitarianism is based on group solidarity and equity, and, as a result, egalitarianism is concerned with fairness. Therefore, perhaps egalitarians are torn on general burdens because they are concerned about the powerful manipulating government programs to gain benefits. Additionally, some egalitarians may recognize the need for some burdens to ensure fairness in applying for and receiving government benefits. Further research is needed to examine the relationship between burden tolerance and egalitarianism in more depth. </w:t>
      </w:r>
    </w:p>
    <w:p>
      <w:pPr>
        <w:pBdr/>
        <w:pStyle w:val="Normal (Web)"/>
        <w:spacing w:before="0" w:beforeAutospacing="false" w:after="0" w:afterAutospacing="false" w:line="480" w:lineRule="auto"/>
        <w:ind w:firstLine="720"/>
        <w:rPr>
          <w:color w:val="000000"/>
        </w:rPr>
      </w:pPr>
      <w:r>
        <w:rPr>
          <w:color w:val="000000"/>
        </w:rPr>
        <w:t xml:space="preserve">Regarding specific burdens, we drew on a mix of issues with different degrees of political valence for various groups, including SNAP benefits, voting, and gun ownership. We expected that hierarchy would be associated with support for burdens across all issues, and our hypothesis was supported. In addition, we expected, and found, that egalitarians would support burdens for gun purchases, but oppose burdens for SNAP benefits and voting. For conservatism, we </w:t>
      </w:r>
      <w:r>
        <w:rPr>
          <w:color w:val="000000"/>
        </w:rPr>
        <w:t xml:space="preserve">hypothesized that increasing conservatism would be associated with increased support for burdens regarding SNAP and voting, and decreased support for burdens when purchasing firearms, and these hypotheses were confirmed.  </w:t>
      </w:r>
    </w:p>
    <w:p>
      <w:pPr>
        <w:pBdr/>
        <w:pStyle w:val="Normal (Web)"/>
        <w:spacing w:before="0" w:beforeAutospacing="false" w:after="0" w:afterAutospacing="false" w:line="480" w:lineRule="auto"/>
        <w:ind w:firstLine="720"/>
        <w:rPr>
          <w:color w:val="000000"/>
        </w:rPr>
      </w:pPr>
      <w:r>
        <w:rPr>
          <w:color w:val="000000"/>
        </w:rPr>
        <w:t xml:space="preserve">For individualism, we expected that increasing individualism would be associated with support for SNAP burdens, but not voting or gun burdens. We found support for our hypothesis regarding SNAP benefits, but individualism was associated with an increase in support for burdens related to voting, and there was no relationship between individualism and gun burdens. With voting, it may be that individualism is associated with concerns about vote fraud because of the potential for manipulating government and government services. As noted, individualism is associated with skepticism and distrust of government, and that distrust could extend to concern about voting procedures being abused.  </w:t>
      </w:r>
    </w:p>
    <w:p>
      <w:pPr>
        <w:pBdr/>
        <w:pStyle w:val="Normal (Web)"/>
        <w:spacing w:before="0" w:beforeAutospacing="false" w:after="0" w:afterAutospacing="false" w:line="480" w:lineRule="auto"/>
        <w:ind w:firstLine="720"/>
        <w:rPr>
          <w:color w:val="000000"/>
        </w:rPr>
      </w:pPr>
      <w:r>
        <w:rPr>
          <w:color w:val="000000"/>
        </w:rPr>
        <w:t xml:space="preserve">Cultural worldviews provide a more nuanced and accurate framework for how the public structures their opinions across various political and policy issues, including their degree of burden tolerance, than political ideology. As we show, hierarchy is associated with burden support regardless of the specific issues, which indicates that some segment of the public will support burden across most contexts. However, some beliefs, such as individualism and conservatism, support burdens in the abstract and on some policy issues, but not others. Egalitarianism was not associated with burdens in general, but opposed burdens for SNAP benefits and voting, and supported burdens for gun purchases. Finally, we found that support for burdens in the abstract is associated with support for burdens related to SNAP benefits and voting, but not related to the purchasing of guns. This finding reiterates that public support for administrative burdens varies systematically by the issue. </w:t>
      </w:r>
    </w:p>
    <w:p>
      <w:pPr>
        <w:pBdr/>
        <w:pStyle w:val="Normal (Web)"/>
        <w:spacing w:before="0" w:beforeAutospacing="false" w:after="0" w:afterAutospacing="false" w:line="480" w:lineRule="auto"/>
        <w:ind/>
        <w:rPr>
          <w:color w:val="000000"/>
        </w:rPr>
      </w:pPr>
      <w:r>
        <w:rPr>
          <w:b/>
          <w:bCs/>
          <w:color w:val="000000"/>
        </w:rPr>
        <w:t xml:space="preserve">Conclusion</w:t>
      </w:r>
      <w:r>
        <w:rPr>
          <w:color w:val="000000"/>
        </w:rPr>
        <w:br/>
      </w:r>
      <w:r>
        <w:rPr>
          <w:color w:val="000000"/>
        </w:rPr>
        <w:tab/>
      </w:r>
      <w:r>
        <w:rPr>
          <w:color w:val="000000"/>
        </w:rPr>
        <w:t xml:space="preserve"> Public views on administrative burdens have been shown to be shaped by several factors, </w:t>
      </w:r>
      <w:r>
        <w:rPr>
          <w:color w:val="000000"/>
        </w:rPr>
        <w:t xml:space="preserve">most notably political ideology, with political conservativism associated with support for burdens. Going beyond ideology, we explored the role of cultural worldviews, a more robust framework for understanding core values and beliefs related to power and social relationships, in shaping acceptance of burdens. In addition, many of the issues used to examine public views of burdens have been issues in which conservatives generally don’t support government involvement (e.g., SNAP benefits, welfare assistance). We explored burden support with issues that cut across ideological beliefs to understand support for burdens better. Finally, we expanded on work measuring support for administrative burdens in the abstract, and connected support for burdens in general to support for burdens related to specific issues.  </w:t>
      </w:r>
    </w:p>
    <w:p>
      <w:pPr>
        <w:pBdr/>
        <w:pStyle w:val="Normal (Web)"/>
        <w:spacing w:before="0" w:beforeAutospacing="false" w:after="0" w:afterAutospacing="false" w:line="480" w:lineRule="auto"/>
        <w:ind/>
        <w:rPr>
          <w:color w:val="000000"/>
        </w:rPr>
      </w:pPr>
      <w:r>
        <w:rPr>
          <w:color w:val="000000"/>
        </w:rPr>
        <w:tab/>
      </w:r>
      <w:r>
        <w:rPr>
          <w:color w:val="000000"/>
        </w:rPr>
        <w:t xml:space="preserve">Overall, we found that examining cultural worldviews regarding burden tolerance adds to our understanding of how the public views burdens in general, and across different political issues. While extant research has made progress identifying the influence of citizen factors like political ideology on burden tolerance, our findings highlight the distinct relevance of cultural theory in understanding the role of deeply held beliefs in shaping burden acceptance or resistance. </w:t>
      </w:r>
    </w:p>
    <w:p>
      <w:pPr>
        <w:pBdr/>
        <w:pStyle w:val="Normal"/>
        <w:spacing w:after="0" w:line="480" w:lineRule="auto"/>
        <w:ind/>
        <w:rPr>
          <w:rFonts w:ascii="Times New Roman" w:hAnsi="Times New Roman" w:cs="Times New Roman"/>
          <w:color w:val="000000"/>
          <w:sz w:val="24"/>
          <w:szCs w:val="24"/>
        </w:rPr>
      </w:pPr>
    </w:p>
    <w:p>
      <w:pPr>
        <w:pBdr/>
        <w:pStyle w:val="Normal"/>
        <w:spacing w:after="0" w:line="480" w:lineRule="auto"/>
        <w:ind w:firstLine="720"/>
        <w:rPr>
          <w:rFonts w:ascii="Times New Roman" w:hAnsi="Times New Roman" w:cs="Times New Roman"/>
          <w:color w:val="000000"/>
          <w:sz w:val="24"/>
          <w:szCs w:val="24"/>
        </w:rPr>
      </w:pPr>
    </w:p>
    <w:p>
      <w:pPr>
        <w:pBdr/>
        <w:pStyle w:val="Normal"/>
        <w:spacing w:after="0" w:line="480" w:lineRule="auto"/>
        <w:ind w:firstLine="720"/>
        <w:rPr>
          <w:rFonts w:ascii="Times New Roman" w:hAnsi="Times New Roman" w:cs="Times New Roman"/>
          <w:color w:val="000000"/>
          <w:sz w:val="24"/>
          <w:szCs w:val="24"/>
        </w:rPr>
      </w:pPr>
    </w:p>
    <w:p>
      <w:pPr>
        <w:pBdr/>
        <w:pStyle w:val="Normal"/>
        <w:spacing/>
        <w:ind/>
        <w:rPr>
          <w:rFonts w:ascii="Times New Roman" w:hAnsi="Times New Roman" w:cs="Times New Roman"/>
          <w:color w:val="000000"/>
          <w:sz w:val="24"/>
          <w:szCs w:val="24"/>
        </w:rPr>
      </w:pPr>
    </w:p>
    <w:p>
      <w:pPr>
        <w:pBdr/>
        <w:pStyle w:val="Normal"/>
        <w:spacing w:after="0" w:line="480" w:lineRule="auto"/>
        <w:ind/>
        <w:rPr>
          <w:rFonts w:ascii="Times New Roman" w:eastAsia="Times New Roman" w:hAnsi="Times New Roman" w:cs="Times New Roman"/>
          <w:color w:val="000000"/>
          <w:sz w:val="24"/>
          <w:szCs w:val="24"/>
          <w:u w:val="single"/>
        </w:rPr>
      </w:pPr>
    </w:p>
    <w:p>
      <w:pPr>
        <w:pBdr/>
        <w:pStyle w:val="Normal"/>
        <w:spacing w:after="0" w:line="480" w:lineRule="auto"/>
        <w:ind/>
        <w:jc w:val="center"/>
        <w:rPr>
          <w:rFonts w:ascii="Times New Roman" w:eastAsia="Times New Roman" w:hAnsi="Times New Roman" w:cs="Times New Roman"/>
          <w:color w:val="000000"/>
          <w:sz w:val="24"/>
          <w:szCs w:val="24"/>
          <w:u w:val="single"/>
        </w:rPr>
      </w:pPr>
      <w:r>
        <w:rPr>
          <w:rFonts w:ascii="Times New Roman" w:eastAsia="Times New Roman" w:hAnsi="Times New Roman" w:cs="Times New Roman"/>
          <w:color w:val="000000"/>
          <w:sz w:val="24"/>
          <w:szCs w:val="24"/>
          <w:u w:val="single"/>
        </w:rPr>
        <w:br w:type="page"/>
      </w:r>
    </w:p>
    <w:p>
      <w:pPr>
        <w:pBdr/>
        <w:pStyle w:val="Normal"/>
        <w:spacing w:after="0" w:line="480" w:lineRule="auto"/>
        <w:ind/>
        <w:jc w:val="center"/>
        <w:rPr>
          <w:rFonts w:ascii="Times New Roman" w:eastAsia="Times New Roman" w:hAnsi="Times New Roman" w:cs="Times New Roman"/>
          <w:b/>
          <w:bCs/>
          <w:color w:val="000000"/>
          <w:sz w:val="24"/>
          <w:szCs w:val="24"/>
          <w:u w:val="single"/>
        </w:rPr>
      </w:pPr>
      <w:r>
        <w:rPr>
          <w:rFonts w:ascii="Times New Roman" w:eastAsia="Times New Roman" w:hAnsi="Times New Roman" w:cs="Times New Roman"/>
          <w:b/>
          <w:bCs/>
          <w:color w:val="000000"/>
          <w:sz w:val="24"/>
          <w:szCs w:val="24"/>
          <w:u w:val="single"/>
        </w:rPr>
        <w:t xml:space="preserve">References</w:t>
      </w:r>
    </w:p>
    <w:p>
      <w:pPr>
        <w:pBdr/>
        <w:pStyle w:val="Bibliography"/>
        <w:spacing/>
        <w:ind/>
        <w:rPr>
          <w:rFonts w:ascii="Times New Roman" w:hAnsi="Times New Roman" w:cs="Times New Roman"/>
        </w:rPr>
      </w:pPr>
      <w:r>
        <w:rPr>
          <w:rFonts w:ascii="Times New Roman" w:eastAsia="Times New Roman" w:hAnsi="Times New Roman" w:cs="Times New Roman"/>
          <w:color w:val="000000"/>
          <w:sz w:val="24"/>
          <w:szCs w:val="24"/>
        </w:rPr>
        <w:fldChar w:fldCharType="begin"/>
      </w:r>
      <w:r>
        <w:rPr>
          <w:rFonts w:ascii="Times New Roman" w:eastAsia="Times New Roman" w:hAnsi="Times New Roman" w:cs="Times New Roman"/>
          <w:color w:val="000000"/>
          <w:sz w:val="24"/>
          <w:szCs w:val="24"/>
        </w:rPr>
        <w:instrText xml:space="preserve"> ADDIN ZOTERO_BIBL {"uncited":[],"omitted":[],"custom":[]} CSL_BIBLIOGRAPHY </w:instrText>
      </w:r>
      <w:r>
        <w:rPr>
          <w:rFonts w:ascii="Times New Roman" w:eastAsia="Times New Roman" w:hAnsi="Times New Roman" w:cs="Times New Roman"/>
          <w:color w:val="000000"/>
          <w:sz w:val="24"/>
          <w:szCs w:val="24"/>
        </w:rPr>
        <w:fldChar w:fldCharType="separate"/>
      </w:r>
      <w:r>
        <w:rPr>
          <w:rFonts w:ascii="Times New Roman" w:hAnsi="Times New Roman" w:cs="Times New Roman"/>
        </w:rPr>
        <w:t xml:space="preserve">Aarøe, Lene, Martin Baekgaard, Julian Christensen, and Donald P. Moynihan. 2021. “Personality and Public Administration: Policymaker Tolerance of Administrative Burdens in Welfare Services.” </w:t>
      </w:r>
      <w:r>
        <w:rPr>
          <w:rFonts w:ascii="Times New Roman" w:hAnsi="Times New Roman" w:cs="Times New Roman"/>
          <w:i/>
          <w:iCs/>
        </w:rPr>
        <w:t xml:space="preserve">Public Administration Review</w:t>
      </w:r>
      <w:r>
        <w:rPr>
          <w:rFonts w:ascii="Times New Roman" w:hAnsi="Times New Roman" w:cs="Times New Roman"/>
        </w:rPr>
        <w:t xml:space="preserve"> 81(4): 652–63. doi:10.1111/puar.13381.</w:t>
      </w:r>
    </w:p>
    <w:p>
      <w:pPr>
        <w:pBdr/>
        <w:pStyle w:val="Bibliography"/>
        <w:spacing/>
        <w:ind/>
        <w:rPr>
          <w:rFonts w:ascii="Times New Roman" w:hAnsi="Times New Roman" w:cs="Times New Roman"/>
        </w:rPr>
      </w:pPr>
      <w:r>
        <w:rPr>
          <w:rFonts w:ascii="Times New Roman" w:hAnsi="Times New Roman" w:cs="Times New Roman"/>
        </w:rPr>
        <w:t xml:space="preserve">Ansolabehere, Stephen, and Nathaniel Persily. 2008. “Vote Fraud in the Eye of the Beholder: The Role of Public Opinion in the Challenge to Voter Identification Requirements.” </w:t>
      </w:r>
      <w:r>
        <w:rPr>
          <w:rFonts w:ascii="Times New Roman" w:hAnsi="Times New Roman" w:cs="Times New Roman"/>
          <w:i/>
          <w:iCs/>
        </w:rPr>
        <w:t xml:space="preserve">Harvard Law Review</w:t>
      </w:r>
      <w:r>
        <w:rPr>
          <w:rFonts w:ascii="Times New Roman" w:hAnsi="Times New Roman" w:cs="Times New Roman"/>
        </w:rPr>
        <w:t xml:space="preserve"> 121(7): 1737–74.</w:t>
      </w:r>
    </w:p>
    <w:p>
      <w:pPr>
        <w:pBdr/>
        <w:pStyle w:val="Bibliography"/>
        <w:spacing/>
        <w:ind/>
        <w:rPr>
          <w:rFonts w:ascii="Times New Roman" w:hAnsi="Times New Roman" w:cs="Times New Roman"/>
        </w:rPr>
      </w:pPr>
      <w:r>
        <w:rPr>
          <w:rFonts w:ascii="Times New Roman" w:hAnsi="Times New Roman" w:cs="Times New Roman"/>
        </w:rPr>
        <w:t xml:space="preserve">Baekgaard, Martin, Aske Halling, and Donald P. Moynihan. 2025. “Burden Tolerance: Developing a Validated Measurement Instrument across Seven Countries.” </w:t>
      </w:r>
      <w:r>
        <w:rPr>
          <w:rFonts w:ascii="Times New Roman" w:hAnsi="Times New Roman" w:cs="Times New Roman"/>
          <w:i/>
          <w:iCs/>
        </w:rPr>
        <w:t xml:space="preserve">Public Administration Review</w:t>
      </w:r>
      <w:r>
        <w:rPr>
          <w:rFonts w:ascii="Times New Roman" w:hAnsi="Times New Roman" w:cs="Times New Roman"/>
        </w:rPr>
        <w:t xml:space="preserve"> 85(2): 519–46. doi:10.1111/puar.13835.</w:t>
      </w:r>
    </w:p>
    <w:p>
      <w:pPr>
        <w:pBdr/>
        <w:pStyle w:val="Bibliography"/>
        <w:spacing/>
        <w:ind/>
        <w:rPr>
          <w:rFonts w:ascii="Times New Roman" w:hAnsi="Times New Roman" w:cs="Times New Roman"/>
        </w:rPr>
      </w:pPr>
      <w:r>
        <w:rPr>
          <w:rFonts w:ascii="Times New Roman" w:hAnsi="Times New Roman" w:cs="Times New Roman"/>
        </w:rPr>
        <w:t xml:space="preserve">Baekgaard, Martin, Donald P. Moynihan, and Mette Kjærgaard Thomsen. 2021. “Why Do Policymakers Support Administrative Burdens? The Roles of Deservingness, Political Ideology, and Personal Experience.” </w:t>
      </w:r>
      <w:r>
        <w:rPr>
          <w:rFonts w:ascii="Times New Roman" w:hAnsi="Times New Roman" w:cs="Times New Roman"/>
          <w:i/>
          <w:iCs/>
        </w:rPr>
        <w:t xml:space="preserve">Journal of Public Administration Research and Theory</w:t>
      </w:r>
      <w:r>
        <w:rPr>
          <w:rFonts w:ascii="Times New Roman" w:hAnsi="Times New Roman" w:cs="Times New Roman"/>
        </w:rPr>
        <w:t xml:space="preserve"> 31(1): 184–200. doi:10.1093/jopart/muaa033.</w:t>
      </w:r>
    </w:p>
    <w:p>
      <w:pPr>
        <w:pBdr/>
        <w:pStyle w:val="Bibliography"/>
        <w:spacing/>
        <w:ind/>
        <w:rPr>
          <w:rFonts w:ascii="Times New Roman" w:hAnsi="Times New Roman" w:cs="Times New Roman"/>
        </w:rPr>
      </w:pPr>
      <w:r>
        <w:rPr>
          <w:rFonts w:ascii="Times New Roman" w:hAnsi="Times New Roman" w:cs="Times New Roman"/>
        </w:rPr>
        <w:t xml:space="preserve">Bell, Elizabeth, Julian Christensen, and Kristina Jessen Hansen. 2022. “Resistance or Capitulation? How Discrete Emotions Shape Citizens’ Interactions With the Administrative State.” </w:t>
      </w:r>
      <w:r>
        <w:rPr>
          <w:rFonts w:ascii="Times New Roman" w:hAnsi="Times New Roman" w:cs="Times New Roman"/>
          <w:i/>
          <w:iCs/>
        </w:rPr>
        <w:t xml:space="preserve">The American Review of Public Administration</w:t>
      </w:r>
      <w:r>
        <w:rPr>
          <w:rFonts w:ascii="Times New Roman" w:hAnsi="Times New Roman" w:cs="Times New Roman"/>
        </w:rPr>
        <w:t xml:space="preserve"> 52(8): 535–57. doi:10.1177/02750740221128554.</w:t>
      </w:r>
    </w:p>
    <w:p>
      <w:pPr>
        <w:pBdr/>
        <w:pStyle w:val="Bibliography"/>
        <w:spacing/>
        <w:ind/>
        <w:rPr>
          <w:rFonts w:ascii="Times New Roman" w:hAnsi="Times New Roman" w:cs="Times New Roman"/>
        </w:rPr>
      </w:pPr>
      <w:r>
        <w:rPr>
          <w:rFonts w:ascii="Times New Roman" w:hAnsi="Times New Roman" w:cs="Times New Roman"/>
        </w:rPr>
        <w:t xml:space="preserve">Bell, Elizabeth, Ani Ter Mkrtchyan, Wesley Wehde, and Kylie Smith. 2021. “Just or Unjust? How Ideological Beliefs Shape Street-Level Bureaucrats’ Perceptions of Administrative Burden.” </w:t>
      </w:r>
      <w:r>
        <w:rPr>
          <w:rFonts w:ascii="Times New Roman" w:hAnsi="Times New Roman" w:cs="Times New Roman"/>
          <w:i/>
          <w:iCs/>
        </w:rPr>
        <w:t xml:space="preserve">Public Administration Review</w:t>
      </w:r>
      <w:r>
        <w:rPr>
          <w:rFonts w:ascii="Times New Roman" w:hAnsi="Times New Roman" w:cs="Times New Roman"/>
        </w:rPr>
        <w:t xml:space="preserve"> 81(4): 610–24. doi:https://doi.org/10.1111/puar.13311.</w:t>
      </w:r>
    </w:p>
    <w:p>
      <w:pPr>
        <w:pBdr/>
        <w:pStyle w:val="Bibliography"/>
        <w:spacing/>
        <w:ind/>
        <w:rPr>
          <w:rFonts w:ascii="Times New Roman" w:hAnsi="Times New Roman" w:cs="Times New Roman"/>
        </w:rPr>
      </w:pPr>
      <w:r>
        <w:rPr>
          <w:rFonts w:ascii="Times New Roman" w:hAnsi="Times New Roman" w:cs="Times New Roman"/>
        </w:rPr>
        <w:t xml:space="preserve">Bell, Elizabeth, James E Wright II, and Jeongmin Oh. 2024. “Does Administrative Burden Create Racialized Policy Feedback? How Losing Access to Public Benefits Impacts Beliefs about Government.” </w:t>
      </w:r>
      <w:r>
        <w:rPr>
          <w:rFonts w:ascii="Times New Roman" w:hAnsi="Times New Roman" w:cs="Times New Roman"/>
          <w:i/>
          <w:iCs/>
        </w:rPr>
        <w:t xml:space="preserve">Journal of Public Administration Research and Theory</w:t>
      </w:r>
      <w:r>
        <w:rPr>
          <w:rFonts w:ascii="Times New Roman" w:hAnsi="Times New Roman" w:cs="Times New Roman"/>
        </w:rPr>
        <w:t xml:space="preserve">: muae004. doi:10.1093/jopart/muae004.</w:t>
      </w:r>
    </w:p>
    <w:p>
      <w:pPr>
        <w:pBdr/>
        <w:pStyle w:val="Bibliography"/>
        <w:spacing/>
        <w:ind/>
        <w:rPr>
          <w:rFonts w:ascii="Times New Roman" w:hAnsi="Times New Roman" w:cs="Times New Roman"/>
        </w:rPr>
      </w:pPr>
      <w:r>
        <w:rPr>
          <w:rFonts w:ascii="Times New Roman" w:hAnsi="Times New Roman" w:cs="Times New Roman"/>
        </w:rPr>
        <w:t xml:space="preserve">Christensen, Julian, Lene Aarøe, Martin Baekgaard, Pamela Herd, and Donald P. Moynihan. 2020. “Human Capital and Administrative Burden: The Role of Cognitive Resources in Citizen-State Interactions.” </w:t>
      </w:r>
      <w:r>
        <w:rPr>
          <w:rFonts w:ascii="Times New Roman" w:hAnsi="Times New Roman" w:cs="Times New Roman"/>
          <w:i/>
          <w:iCs/>
        </w:rPr>
        <w:t xml:space="preserve">Public Administration Review</w:t>
      </w:r>
      <w:r>
        <w:rPr>
          <w:rFonts w:ascii="Times New Roman" w:hAnsi="Times New Roman" w:cs="Times New Roman"/>
        </w:rPr>
        <w:t xml:space="preserve"> 80(1): 127–36. doi:10.1111/puar.13134.</w:t>
      </w:r>
    </w:p>
    <w:p>
      <w:pPr>
        <w:pBdr/>
        <w:pStyle w:val="Bibliography"/>
        <w:spacing/>
        <w:ind/>
        <w:rPr>
          <w:rFonts w:ascii="Times New Roman" w:hAnsi="Times New Roman" w:cs="Times New Roman"/>
        </w:rPr>
      </w:pPr>
      <w:r>
        <w:rPr>
          <w:rFonts w:ascii="Times New Roman" w:hAnsi="Times New Roman" w:cs="Times New Roman"/>
        </w:rPr>
        <w:t xml:space="preserve">Daigneault, Pierre-Marc, Mathieu Ouimet, Alexandre Fortier-Chouinard, Eriole Zita Nonki Tadida, and Antoine Baby-Bouchard. 2025. “How Effective Are Behavioral Interventions to Increase the Take-up of Social Benefits? A Systematic Review of Field Experiments.” </w:t>
      </w:r>
      <w:r>
        <w:rPr>
          <w:rFonts w:ascii="Times New Roman" w:hAnsi="Times New Roman" w:cs="Times New Roman"/>
          <w:i/>
          <w:iCs/>
        </w:rPr>
        <w:t xml:space="preserve">Journal of Policy Analysis and Management</w:t>
      </w:r>
      <w:r>
        <w:rPr>
          <w:rFonts w:ascii="Times New Roman" w:hAnsi="Times New Roman" w:cs="Times New Roman"/>
        </w:rPr>
        <w:t xml:space="preserve"> 44(3): 997–1059. doi:10.1002/pam.70005.</w:t>
      </w:r>
    </w:p>
    <w:p>
      <w:pPr>
        <w:pBdr/>
        <w:pStyle w:val="Bibliography"/>
        <w:spacing/>
        <w:ind/>
        <w:rPr>
          <w:rFonts w:ascii="Times New Roman" w:hAnsi="Times New Roman" w:cs="Times New Roman"/>
        </w:rPr>
      </w:pPr>
      <w:r>
        <w:rPr>
          <w:rFonts w:ascii="Times New Roman" w:hAnsi="Times New Roman" w:cs="Times New Roman"/>
        </w:rPr>
        <w:t xml:space="preserve">Döring, Matthias, and Jonas Krogh Madsen. 2022. “Mitigating Psychological Costs—The Role of Citizens’ Administrative Literacy and Social Capital.” </w:t>
      </w:r>
      <w:r>
        <w:rPr>
          <w:rFonts w:ascii="Times New Roman" w:hAnsi="Times New Roman" w:cs="Times New Roman"/>
          <w:i/>
          <w:iCs/>
        </w:rPr>
        <w:t xml:space="preserve">Public Administration Review</w:t>
      </w:r>
      <w:r>
        <w:rPr>
          <w:rFonts w:ascii="Times New Roman" w:hAnsi="Times New Roman" w:cs="Times New Roman"/>
        </w:rPr>
        <w:t xml:space="preserve"> 82(4): 671–81. doi:10.1111/puar.13472.</w:t>
      </w:r>
    </w:p>
    <w:p>
      <w:pPr>
        <w:pBdr/>
        <w:pStyle w:val="Bibliography"/>
        <w:spacing/>
        <w:ind/>
        <w:rPr>
          <w:rFonts w:ascii="Times New Roman" w:hAnsi="Times New Roman" w:cs="Times New Roman"/>
        </w:rPr>
      </w:pPr>
      <w:r>
        <w:rPr>
          <w:rFonts w:ascii="Times New Roman" w:hAnsi="Times New Roman" w:cs="Times New Roman"/>
        </w:rPr>
        <w:t xml:space="preserve">Douglas, Mary. 1978. </w:t>
      </w:r>
      <w:r>
        <w:rPr>
          <w:rFonts w:ascii="Times New Roman" w:hAnsi="Times New Roman" w:cs="Times New Roman"/>
          <w:i/>
          <w:iCs/>
        </w:rPr>
        <w:t xml:space="preserve">Cultural Bias</w:t>
      </w:r>
      <w:r>
        <w:rPr>
          <w:rFonts w:ascii="Times New Roman" w:hAnsi="Times New Roman" w:cs="Times New Roman"/>
        </w:rPr>
        <w:t xml:space="preserve">. Royal Anthropological Institute.</w:t>
      </w:r>
    </w:p>
    <w:p>
      <w:pPr>
        <w:pBdr/>
        <w:pStyle w:val="Bibliography"/>
        <w:spacing/>
        <w:ind/>
        <w:rPr>
          <w:rFonts w:ascii="Times New Roman" w:hAnsi="Times New Roman" w:cs="Times New Roman"/>
        </w:rPr>
      </w:pPr>
      <w:r>
        <w:rPr>
          <w:rFonts w:ascii="Times New Roman" w:hAnsi="Times New Roman" w:cs="Times New Roman"/>
        </w:rPr>
        <w:t xml:space="preserve">Douglas, Mary, and Aaron Wildavsky. 1982. </w:t>
      </w:r>
      <w:r>
        <w:rPr>
          <w:rFonts w:ascii="Times New Roman" w:hAnsi="Times New Roman" w:cs="Times New Roman"/>
          <w:i/>
          <w:iCs/>
        </w:rPr>
        <w:t xml:space="preserve">Risk and Culture: An Essay on the Selection of Technological and Environmental Dangers</w:t>
      </w:r>
      <w:r>
        <w:rPr>
          <w:rFonts w:ascii="Times New Roman" w:hAnsi="Times New Roman" w:cs="Times New Roman"/>
        </w:rPr>
        <w:t xml:space="preserve">. Berkeley, CA: University of California Press.</w:t>
      </w:r>
    </w:p>
    <w:p>
      <w:pPr>
        <w:pBdr/>
        <w:pStyle w:val="Bibliography"/>
        <w:spacing/>
        <w:ind/>
        <w:rPr>
          <w:rFonts w:ascii="Times New Roman" w:hAnsi="Times New Roman" w:cs="Times New Roman"/>
        </w:rPr>
      </w:pPr>
      <w:r>
        <w:rPr>
          <w:rFonts w:ascii="Times New Roman" w:hAnsi="Times New Roman" w:cs="Times New Roman"/>
        </w:rPr>
        <w:t xml:space="preserve">Fording, Richard C., and Dana Patton. 2020. “The Affordable Care Act and the Diffusion of Policy Feedback: The Case of Medicaid Work Requirements.” </w:t>
      </w:r>
      <w:r>
        <w:rPr>
          <w:rFonts w:ascii="Times New Roman" w:hAnsi="Times New Roman" w:cs="Times New Roman"/>
          <w:i/>
          <w:iCs/>
        </w:rPr>
        <w:t xml:space="preserve">RSF: The Russell Sage Foundation Journal of the Social Sciences</w:t>
      </w:r>
      <w:r>
        <w:rPr>
          <w:rFonts w:ascii="Times New Roman" w:hAnsi="Times New Roman" w:cs="Times New Roman"/>
        </w:rPr>
        <w:t xml:space="preserve"> 6(2): 131–53. doi:10.7758/RSF.2020.6.2.06.</w:t>
      </w:r>
    </w:p>
    <w:p>
      <w:pPr>
        <w:pBdr/>
        <w:pStyle w:val="Bibliography"/>
        <w:spacing/>
        <w:ind/>
        <w:rPr>
          <w:rFonts w:ascii="Times New Roman" w:hAnsi="Times New Roman" w:cs="Times New Roman"/>
        </w:rPr>
      </w:pPr>
      <w:r>
        <w:rPr>
          <w:rFonts w:ascii="Times New Roman" w:hAnsi="Times New Roman" w:cs="Times New Roman"/>
        </w:rPr>
        <w:t xml:space="preserve">Gilad, Sharon, and Michaela Assouline. 2024. “Citizens’ Choice to Voice in Response to Administrative Burdens.” </w:t>
      </w:r>
      <w:r>
        <w:rPr>
          <w:rFonts w:ascii="Times New Roman" w:hAnsi="Times New Roman" w:cs="Times New Roman"/>
          <w:i/>
          <w:iCs/>
        </w:rPr>
        <w:t xml:space="preserve">International Public Management Journal</w:t>
      </w:r>
      <w:r>
        <w:rPr>
          <w:rFonts w:ascii="Times New Roman" w:hAnsi="Times New Roman" w:cs="Times New Roman"/>
        </w:rPr>
        <w:t xml:space="preserve"> 27(1): 38–59. doi:10.1080/10967494.2022.2072988.</w:t>
      </w:r>
    </w:p>
    <w:p>
      <w:pPr>
        <w:pBdr/>
        <w:pStyle w:val="Bibliography"/>
        <w:spacing/>
        <w:ind/>
        <w:rPr>
          <w:rFonts w:ascii="Times New Roman" w:hAnsi="Times New Roman" w:cs="Times New Roman"/>
        </w:rPr>
      </w:pPr>
      <w:r>
        <w:rPr>
          <w:rFonts w:ascii="Times New Roman" w:hAnsi="Times New Roman" w:cs="Times New Roman"/>
        </w:rPr>
        <w:t xml:space="preserve">Goebbert, Kevin, Hank C. Jenkins-Smith, Kim Klockow, Matthew C. Nowlin, and Carol L. Silva. 2012. “Weather, Climate, and Worldviews: The Sources and Consequences of Public Perceptions of Changes in Local Weather Patterns.” </w:t>
      </w:r>
      <w:r>
        <w:rPr>
          <w:rFonts w:ascii="Times New Roman" w:hAnsi="Times New Roman" w:cs="Times New Roman"/>
          <w:i/>
          <w:iCs/>
        </w:rPr>
        <w:t xml:space="preserve">Weather, Climate, and Society</w:t>
      </w:r>
      <w:r>
        <w:rPr>
          <w:rFonts w:ascii="Times New Roman" w:hAnsi="Times New Roman" w:cs="Times New Roman"/>
        </w:rPr>
        <w:t xml:space="preserve"> 4(2): 132–44. doi:10.1175/WCAS-D-11-00044.1.</w:t>
      </w:r>
    </w:p>
    <w:p>
      <w:pPr>
        <w:pBdr/>
        <w:pStyle w:val="Bibliography"/>
        <w:spacing/>
        <w:ind/>
        <w:rPr>
          <w:rFonts w:ascii="Times New Roman" w:hAnsi="Times New Roman" w:cs="Times New Roman"/>
        </w:rPr>
      </w:pPr>
      <w:r>
        <w:rPr>
          <w:rFonts w:ascii="Times New Roman" w:hAnsi="Times New Roman" w:cs="Times New Roman"/>
        </w:rPr>
        <w:t xml:space="preserve">Haeder, Simon F. Forthcoming. “Assessing the Effect of Deservingness Cues on Tolerance for Administrative Burdens.” </w:t>
      </w:r>
      <w:r>
        <w:rPr>
          <w:rFonts w:ascii="Times New Roman" w:hAnsi="Times New Roman" w:cs="Times New Roman"/>
          <w:i/>
          <w:iCs/>
        </w:rPr>
        <w:t xml:space="preserve">Policy Studies Journal</w:t>
      </w:r>
      <w:r>
        <w:rPr>
          <w:rFonts w:ascii="Times New Roman" w:hAnsi="Times New Roman" w:cs="Times New Roman"/>
        </w:rPr>
        <w:t xml:space="preserve">. doi:10.1111/psj.70043.</w:t>
      </w:r>
    </w:p>
    <w:p>
      <w:pPr>
        <w:pBdr/>
        <w:pStyle w:val="Bibliography"/>
        <w:spacing/>
        <w:ind/>
        <w:rPr>
          <w:rFonts w:ascii="Times New Roman" w:hAnsi="Times New Roman" w:cs="Times New Roman"/>
        </w:rPr>
      </w:pPr>
      <w:r>
        <w:rPr>
          <w:rFonts w:ascii="Times New Roman" w:hAnsi="Times New Roman" w:cs="Times New Roman"/>
        </w:rPr>
        <w:t xml:space="preserve">Haeder, Simon F., and Donald P. Moynihan. 2023. “Race And Racial Perceptions Shape Burden Tolerance For Medicaid And The Supplemental Nutrition Assistance Program.” </w:t>
      </w:r>
      <w:r>
        <w:rPr>
          <w:rFonts w:ascii="Times New Roman" w:hAnsi="Times New Roman" w:cs="Times New Roman"/>
          <w:i/>
          <w:iCs/>
        </w:rPr>
        <w:t xml:space="preserve">Health Affairs</w:t>
      </w:r>
      <w:r>
        <w:rPr>
          <w:rFonts w:ascii="Times New Roman" w:hAnsi="Times New Roman" w:cs="Times New Roman"/>
        </w:rPr>
        <w:t xml:space="preserve"> 42(10): 1334–43. doi:10.1377/hlthaff.2023.00472.</w:t>
      </w:r>
    </w:p>
    <w:p>
      <w:pPr>
        <w:pBdr/>
        <w:pStyle w:val="Bibliography"/>
        <w:spacing/>
        <w:ind/>
        <w:rPr>
          <w:rFonts w:ascii="Times New Roman" w:hAnsi="Times New Roman" w:cs="Times New Roman"/>
        </w:rPr>
      </w:pPr>
      <w:r>
        <w:rPr>
          <w:rFonts w:ascii="Times New Roman" w:hAnsi="Times New Roman" w:cs="Times New Roman"/>
        </w:rPr>
        <w:t xml:space="preserve">Haeder, Simon F., and Donald P. Moynihan. 2025. “Assessing Burden Tolerance amid the Medicaid Great Unwinding.” </w:t>
      </w:r>
      <w:r>
        <w:rPr>
          <w:rFonts w:ascii="Times New Roman" w:hAnsi="Times New Roman" w:cs="Times New Roman"/>
          <w:i/>
          <w:iCs/>
        </w:rPr>
        <w:t xml:space="preserve">Public Administration Review</w:t>
      </w:r>
      <w:r>
        <w:rPr>
          <w:rFonts w:ascii="Times New Roman" w:hAnsi="Times New Roman" w:cs="Times New Roman"/>
        </w:rPr>
        <w:t xml:space="preserve"> 85(2): 547–66. doi:10.1111/puar.13853.</w:t>
      </w:r>
    </w:p>
    <w:p>
      <w:pPr>
        <w:pBdr/>
        <w:pStyle w:val="Bibliography"/>
        <w:spacing/>
        <w:ind/>
        <w:rPr>
          <w:rFonts w:ascii="Times New Roman" w:hAnsi="Times New Roman" w:cs="Times New Roman"/>
        </w:rPr>
      </w:pPr>
      <w:r>
        <w:rPr>
          <w:rFonts w:ascii="Times New Roman" w:hAnsi="Times New Roman" w:cs="Times New Roman"/>
        </w:rPr>
        <w:t xml:space="preserve">Haeder, Simon F., Steven M. Sylvester, and Timothy Callaghan. 2021. “Lingering Legacies: Public Attitudes about Medicaid Beneficiaries and Work Requirements.” </w:t>
      </w:r>
      <w:r>
        <w:rPr>
          <w:rFonts w:ascii="Times New Roman" w:hAnsi="Times New Roman" w:cs="Times New Roman"/>
          <w:i/>
          <w:iCs/>
        </w:rPr>
        <w:t xml:space="preserve">Journal of Health Politics, Policy and Law</w:t>
      </w:r>
      <w:r>
        <w:rPr>
          <w:rFonts w:ascii="Times New Roman" w:hAnsi="Times New Roman" w:cs="Times New Roman"/>
        </w:rPr>
        <w:t xml:space="preserve"> 46(2): 305–55. doi:10.1215/03616878-8802198.</w:t>
      </w:r>
    </w:p>
    <w:p>
      <w:pPr>
        <w:pBdr/>
        <w:pStyle w:val="Bibliography"/>
        <w:spacing/>
        <w:ind/>
        <w:rPr>
          <w:rFonts w:ascii="Times New Roman" w:hAnsi="Times New Roman" w:cs="Times New Roman"/>
        </w:rPr>
      </w:pPr>
      <w:r>
        <w:rPr>
          <w:rFonts w:ascii="Times New Roman" w:hAnsi="Times New Roman" w:cs="Times New Roman"/>
        </w:rPr>
        <w:t xml:space="preserve">Halling, Aske, and Martin Baekgaard. 2024. “Administrative Burden in Citizen–State Interactions: A Systematic Literature Review.” </w:t>
      </w:r>
      <w:r>
        <w:rPr>
          <w:rFonts w:ascii="Times New Roman" w:hAnsi="Times New Roman" w:cs="Times New Roman"/>
          <w:i/>
          <w:iCs/>
        </w:rPr>
        <w:t xml:space="preserve">Journal of Public Administration Research and Theory</w:t>
      </w:r>
      <w:r>
        <w:rPr>
          <w:rFonts w:ascii="Times New Roman" w:hAnsi="Times New Roman" w:cs="Times New Roman"/>
        </w:rPr>
        <w:t xml:space="preserve"> 34(2): 180–95. doi:10.1093/jopart/muad023.</w:t>
      </w:r>
    </w:p>
    <w:p>
      <w:pPr>
        <w:pBdr/>
        <w:pStyle w:val="Bibliography"/>
        <w:spacing/>
        <w:ind/>
        <w:rPr>
          <w:rFonts w:ascii="Times New Roman" w:hAnsi="Times New Roman" w:cs="Times New Roman"/>
        </w:rPr>
      </w:pPr>
      <w:r>
        <w:rPr>
          <w:rFonts w:ascii="Times New Roman" w:hAnsi="Times New Roman" w:cs="Times New Roman"/>
        </w:rPr>
        <w:t xml:space="preserve">Halling, Aske, Pamela Herd, and Donald Moynihan. 2023. “How Difficult Should It Be? Evidence of Burden Tolerance from a Nationally Representative Sample.” </w:t>
      </w:r>
      <w:r>
        <w:rPr>
          <w:rFonts w:ascii="Times New Roman" w:hAnsi="Times New Roman" w:cs="Times New Roman"/>
          <w:i/>
          <w:iCs/>
        </w:rPr>
        <w:t xml:space="preserve">Public Management Review</w:t>
      </w:r>
      <w:r>
        <w:rPr>
          <w:rFonts w:ascii="Times New Roman" w:hAnsi="Times New Roman" w:cs="Times New Roman"/>
        </w:rPr>
        <w:t xml:space="preserve"> 25(11): 2053–72. doi:10.1080/14719037.2022.2056910.</w:t>
      </w:r>
    </w:p>
    <w:p>
      <w:pPr>
        <w:pBdr/>
        <w:pStyle w:val="Bibliography"/>
        <w:spacing/>
        <w:ind/>
        <w:rPr>
          <w:rFonts w:ascii="Times New Roman" w:hAnsi="Times New Roman" w:cs="Times New Roman"/>
        </w:rPr>
      </w:pPr>
      <w:r>
        <w:rPr>
          <w:rFonts w:ascii="Times New Roman" w:hAnsi="Times New Roman" w:cs="Times New Roman"/>
        </w:rPr>
        <w:t xml:space="preserve">Herd, Pamela, and Donald P. Moynihan. 2019. </w:t>
      </w:r>
      <w:r>
        <w:rPr>
          <w:rFonts w:ascii="Times New Roman" w:hAnsi="Times New Roman" w:cs="Times New Roman"/>
          <w:i/>
          <w:iCs/>
        </w:rPr>
        <w:t xml:space="preserve">Administrative Burden: Policymaking by Other Means</w:t>
      </w:r>
      <w:r>
        <w:rPr>
          <w:rFonts w:ascii="Times New Roman" w:hAnsi="Times New Roman" w:cs="Times New Roman"/>
        </w:rPr>
        <w:t xml:space="preserve">. New York: Russell Sage Foundation.</w:t>
      </w:r>
    </w:p>
    <w:p>
      <w:pPr>
        <w:pBdr/>
        <w:pStyle w:val="Bibliography"/>
        <w:spacing/>
        <w:ind/>
        <w:rPr>
          <w:rFonts w:ascii="Times New Roman" w:hAnsi="Times New Roman" w:cs="Times New Roman"/>
        </w:rPr>
      </w:pPr>
      <w:r>
        <w:rPr>
          <w:rFonts w:ascii="Times New Roman" w:hAnsi="Times New Roman" w:cs="Times New Roman"/>
        </w:rPr>
        <w:t xml:space="preserve">Jackson, Natalie M. 2014. “A Theory of Preference Formation Among Ideologues and Nonideologues*.” </w:t>
      </w:r>
      <w:r>
        <w:rPr>
          <w:rFonts w:ascii="Times New Roman" w:hAnsi="Times New Roman" w:cs="Times New Roman"/>
          <w:i/>
          <w:iCs/>
        </w:rPr>
        <w:t xml:space="preserve">Social Science Quarterly</w:t>
      </w:r>
      <w:r>
        <w:rPr>
          <w:rFonts w:ascii="Times New Roman" w:hAnsi="Times New Roman" w:cs="Times New Roman"/>
        </w:rPr>
        <w:t xml:space="preserve">. doi:10.1111/ssqu.12136.</w:t>
      </w:r>
    </w:p>
    <w:p>
      <w:pPr>
        <w:pBdr/>
        <w:pStyle w:val="Bibliography"/>
        <w:spacing/>
        <w:ind/>
        <w:rPr>
          <w:rFonts w:ascii="Times New Roman" w:hAnsi="Times New Roman" w:cs="Times New Roman"/>
        </w:rPr>
      </w:pPr>
      <w:r>
        <w:rPr>
          <w:rFonts w:ascii="Times New Roman" w:hAnsi="Times New Roman" w:cs="Times New Roman"/>
        </w:rPr>
        <w:t xml:space="preserve">Jenkins-Smith, Hank C., Carol L. Silva, Kuhika Gupta, and Joseph T. Ripberger. 2014. “Belief System Continuity and Change in Policy Advocacy Coalitions: Using Cultural Theory to Specify Belief Systems, Coalitions, and Sources of Change.” </w:t>
      </w:r>
      <w:r>
        <w:rPr>
          <w:rFonts w:ascii="Times New Roman" w:hAnsi="Times New Roman" w:cs="Times New Roman"/>
          <w:i/>
          <w:iCs/>
        </w:rPr>
        <w:t xml:space="preserve">Policy Studies Journal</w:t>
      </w:r>
      <w:r>
        <w:rPr>
          <w:rFonts w:ascii="Times New Roman" w:hAnsi="Times New Roman" w:cs="Times New Roman"/>
        </w:rPr>
        <w:t xml:space="preserve"> 42(4): 484–508. doi:10.1111/psj.12071.</w:t>
      </w:r>
    </w:p>
    <w:p>
      <w:pPr>
        <w:pBdr/>
        <w:pStyle w:val="Bibliography"/>
        <w:spacing/>
        <w:ind/>
        <w:rPr>
          <w:rFonts w:ascii="Times New Roman" w:hAnsi="Times New Roman" w:cs="Times New Roman"/>
        </w:rPr>
      </w:pPr>
      <w:r>
        <w:rPr>
          <w:rFonts w:ascii="Times New Roman" w:hAnsi="Times New Roman" w:cs="Times New Roman"/>
        </w:rPr>
        <w:t xml:space="preserve">Jones, Michael D. 2011. “Leading the Way to Compromise? Cultural Theory and Climate Change Opinion.” </w:t>
      </w:r>
      <w:r>
        <w:rPr>
          <w:rFonts w:ascii="Times New Roman" w:hAnsi="Times New Roman" w:cs="Times New Roman"/>
          <w:i/>
          <w:iCs/>
        </w:rPr>
        <w:t xml:space="preserve">PS: Political Science &amp; Politics</w:t>
      </w:r>
      <w:r>
        <w:rPr>
          <w:rFonts w:ascii="Times New Roman" w:hAnsi="Times New Roman" w:cs="Times New Roman"/>
        </w:rPr>
        <w:t xml:space="preserve"> 44(04): 720–25. doi:10.1017/S104909651100134X.</w:t>
      </w:r>
    </w:p>
    <w:p>
      <w:pPr>
        <w:pBdr/>
        <w:pStyle w:val="Bibliography"/>
        <w:spacing/>
        <w:ind/>
        <w:rPr>
          <w:rFonts w:ascii="Times New Roman" w:hAnsi="Times New Roman" w:cs="Times New Roman"/>
        </w:rPr>
      </w:pPr>
      <w:r>
        <w:rPr>
          <w:rFonts w:ascii="Times New Roman" w:hAnsi="Times New Roman" w:cs="Times New Roman"/>
        </w:rPr>
        <w:t xml:space="preserve">Jones, Michael D., and Geoboo Song. 2014. “Making Sense of Climate Change: How Story Frames Shape Cognition.” </w:t>
      </w:r>
      <w:r>
        <w:rPr>
          <w:rFonts w:ascii="Times New Roman" w:hAnsi="Times New Roman" w:cs="Times New Roman"/>
          <w:i/>
          <w:iCs/>
        </w:rPr>
        <w:t xml:space="preserve">Political Psychology</w:t>
      </w:r>
      <w:r>
        <w:rPr>
          <w:rFonts w:ascii="Times New Roman" w:hAnsi="Times New Roman" w:cs="Times New Roman"/>
        </w:rPr>
        <w:t xml:space="preserve"> 35(4): 447–76. doi:10.1111/pops.12057.</w:t>
      </w:r>
    </w:p>
    <w:p>
      <w:pPr>
        <w:pBdr/>
        <w:pStyle w:val="Bibliography"/>
        <w:spacing/>
        <w:ind/>
        <w:rPr>
          <w:rFonts w:ascii="Times New Roman" w:hAnsi="Times New Roman" w:cs="Times New Roman"/>
        </w:rPr>
      </w:pPr>
      <w:r>
        <w:rPr>
          <w:rFonts w:ascii="Times New Roman" w:hAnsi="Times New Roman" w:cs="Times New Roman"/>
        </w:rPr>
        <w:t xml:space="preserve">Kahan, Dan M., and Donald Braman. 2003. “More Statistics, Less Persuasion: A Cultural Theory of Gun-</w:t>
      </w:r>
      <w:r>
        <w:rPr>
          <w:rFonts w:ascii="Times New Roman" w:hAnsi="Times New Roman" w:cs="Times New Roman"/>
        </w:rPr>
        <w:t xml:space="preserve">Risk Perceptions.” </w:t>
      </w:r>
      <w:r>
        <w:rPr>
          <w:rFonts w:ascii="Times New Roman" w:hAnsi="Times New Roman" w:cs="Times New Roman"/>
          <w:i/>
          <w:iCs/>
        </w:rPr>
        <w:t xml:space="preserve">University of Pennsylvania Law Review</w:t>
      </w:r>
      <w:r>
        <w:rPr>
          <w:rFonts w:ascii="Times New Roman" w:hAnsi="Times New Roman" w:cs="Times New Roman"/>
        </w:rPr>
        <w:t xml:space="preserve"> 151(4): 1291–1327. doi:10.2307/3312930.</w:t>
      </w:r>
    </w:p>
    <w:p>
      <w:pPr>
        <w:pBdr/>
        <w:pStyle w:val="Bibliography"/>
        <w:spacing/>
        <w:ind/>
        <w:rPr>
          <w:rFonts w:ascii="Times New Roman" w:hAnsi="Times New Roman" w:cs="Times New Roman"/>
        </w:rPr>
      </w:pPr>
      <w:r>
        <w:rPr>
          <w:rFonts w:ascii="Times New Roman" w:hAnsi="Times New Roman" w:cs="Times New Roman"/>
        </w:rPr>
        <w:t xml:space="preserve">Kahan, Dan M., Donald Braman, Geoffrey L. Cohen, John Gastil, and Paul Slovic. 2010. “Who Fears the HPV Vaccine, Who Doesn’t, and Why? An Experimental Study of the Mechanisms of Cultural Cognition.” </w:t>
      </w:r>
      <w:r>
        <w:rPr>
          <w:rFonts w:ascii="Times New Roman" w:hAnsi="Times New Roman" w:cs="Times New Roman"/>
          <w:i/>
          <w:iCs/>
        </w:rPr>
        <w:t xml:space="preserve">Law and human behavior</w:t>
      </w:r>
      <w:r>
        <w:rPr>
          <w:rFonts w:ascii="Times New Roman" w:hAnsi="Times New Roman" w:cs="Times New Roman"/>
        </w:rPr>
        <w:t xml:space="preserve"> 34(6): 501.</w:t>
      </w:r>
    </w:p>
    <w:p>
      <w:pPr>
        <w:pBdr/>
        <w:pStyle w:val="Bibliography"/>
        <w:spacing/>
        <w:ind/>
        <w:rPr>
          <w:rFonts w:ascii="Times New Roman" w:hAnsi="Times New Roman" w:cs="Times New Roman"/>
        </w:rPr>
      </w:pPr>
      <w:r>
        <w:rPr>
          <w:rFonts w:ascii="Times New Roman" w:hAnsi="Times New Roman" w:cs="Times New Roman"/>
        </w:rPr>
        <w:t xml:space="preserve">Kahan, Dan M., Hank C. Jenkins-Smith, Tor Tarantola, Carol L Silva, and Donald Braman. 2012. “Geoengineering and the Science Communication Environment: A Cross-Cultural Experiment.” </w:t>
      </w:r>
      <w:r>
        <w:rPr>
          <w:rFonts w:ascii="Times New Roman" w:hAnsi="Times New Roman" w:cs="Times New Roman"/>
          <w:i/>
          <w:iCs/>
        </w:rPr>
        <w:t xml:space="preserve">SSRN eLibrary</w:t>
      </w:r>
      <w:r>
        <w:rPr>
          <w:rFonts w:ascii="Times New Roman" w:hAnsi="Times New Roman" w:cs="Times New Roman"/>
        </w:rPr>
        <w:t xml:space="preserve">. http://papers.ssrn.com/sol3/papers.cfm?abstract_id=1981907 (February 15, 2012).</w:t>
      </w:r>
    </w:p>
    <w:p>
      <w:pPr>
        <w:pBdr/>
        <w:pStyle w:val="Bibliography"/>
        <w:spacing/>
        <w:ind/>
        <w:rPr>
          <w:rFonts w:ascii="Times New Roman" w:hAnsi="Times New Roman" w:cs="Times New Roman"/>
        </w:rPr>
      </w:pPr>
      <w:r>
        <w:rPr>
          <w:rFonts w:ascii="Times New Roman" w:hAnsi="Times New Roman" w:cs="Times New Roman"/>
        </w:rPr>
        <w:t xml:space="preserve">Kahan, Dan M., Ellen Peters, Maggie Wittlin, Paul Slovic, Lisa Larrimore Ouellette, Donald Braman, and Gregory Mandel. 2012. “The Polarizing Impact of Science Literacy and Numeracy on Perceived Climate Change Risks.” </w:t>
      </w:r>
      <w:r>
        <w:rPr>
          <w:rFonts w:ascii="Times New Roman" w:hAnsi="Times New Roman" w:cs="Times New Roman"/>
          <w:i/>
          <w:iCs/>
        </w:rPr>
        <w:t xml:space="preserve">Nature Climate Change</w:t>
      </w:r>
      <w:r>
        <w:rPr>
          <w:rFonts w:ascii="Times New Roman" w:hAnsi="Times New Roman" w:cs="Times New Roman"/>
        </w:rPr>
        <w:t xml:space="preserve"> 2(10): 732–35. doi:10.1038/nclimate1547.</w:t>
      </w:r>
    </w:p>
    <w:p>
      <w:pPr>
        <w:pBdr/>
        <w:pStyle w:val="Bibliography"/>
        <w:spacing/>
        <w:ind/>
        <w:rPr>
          <w:rFonts w:ascii="Times New Roman" w:hAnsi="Times New Roman" w:cs="Times New Roman"/>
        </w:rPr>
      </w:pPr>
      <w:r>
        <w:rPr>
          <w:rFonts w:ascii="Times New Roman" w:hAnsi="Times New Roman" w:cs="Times New Roman"/>
        </w:rPr>
        <w:t xml:space="preserve">Keiser, Lael R., and Susan M. Miller. 2020. “Does Administrative Burden Influence Public Support for Government Programs? Evidence from a Survey Experiment.” </w:t>
      </w:r>
      <w:r>
        <w:rPr>
          <w:rFonts w:ascii="Times New Roman" w:hAnsi="Times New Roman" w:cs="Times New Roman"/>
          <w:i/>
          <w:iCs/>
        </w:rPr>
        <w:t xml:space="preserve">Public Administration Review</w:t>
      </w:r>
      <w:r>
        <w:rPr>
          <w:rFonts w:ascii="Times New Roman" w:hAnsi="Times New Roman" w:cs="Times New Roman"/>
        </w:rPr>
        <w:t xml:space="preserve"> 80(1): 137–50. doi:https://doi.org/10.1111/puar.13133.</w:t>
      </w:r>
    </w:p>
    <w:p>
      <w:pPr>
        <w:pBdr/>
        <w:pStyle w:val="Bibliography"/>
        <w:spacing/>
        <w:ind/>
        <w:rPr>
          <w:rFonts w:ascii="Times New Roman" w:hAnsi="Times New Roman" w:cs="Times New Roman"/>
        </w:rPr>
      </w:pPr>
      <w:r>
        <w:rPr>
          <w:rFonts w:ascii="Times New Roman" w:hAnsi="Times New Roman" w:cs="Times New Roman"/>
        </w:rPr>
        <w:t xml:space="preserve">Lachapelle, Erick, Éric Montpetit, and Jean-Philippe Gauvin. 2014. “Public Perceptions of Expert Credibility on Policy Issues: The Role of Expert Framing and Political Worldviews.” </w:t>
      </w:r>
      <w:r>
        <w:rPr>
          <w:rFonts w:ascii="Times New Roman" w:hAnsi="Times New Roman" w:cs="Times New Roman"/>
          <w:i/>
          <w:iCs/>
        </w:rPr>
        <w:t xml:space="preserve">Policy Studies Journal</w:t>
      </w:r>
      <w:r>
        <w:rPr>
          <w:rFonts w:ascii="Times New Roman" w:hAnsi="Times New Roman" w:cs="Times New Roman"/>
        </w:rPr>
        <w:t xml:space="preserve"> 42(4): 674–97. doi:10.1111/psj.12073.</w:t>
      </w:r>
    </w:p>
    <w:p>
      <w:pPr>
        <w:pBdr/>
        <w:pStyle w:val="Bibliography"/>
        <w:spacing/>
        <w:ind/>
        <w:rPr>
          <w:rFonts w:ascii="Times New Roman" w:hAnsi="Times New Roman" w:cs="Times New Roman"/>
        </w:rPr>
      </w:pPr>
      <w:r>
        <w:rPr>
          <w:rFonts w:ascii="Times New Roman" w:hAnsi="Times New Roman" w:cs="Times New Roman"/>
        </w:rPr>
        <w:t xml:space="preserve">Michaud, Kristy E. H., Juliet E. Carlisle, and Eric R. A. N. Smith. 2009. “The Relationship between Cultural Values and Political Ideology, and the Role of Political Knowledge.” </w:t>
      </w:r>
      <w:r>
        <w:rPr>
          <w:rFonts w:ascii="Times New Roman" w:hAnsi="Times New Roman" w:cs="Times New Roman"/>
          <w:i/>
          <w:iCs/>
        </w:rPr>
        <w:t xml:space="preserve">Political Psychology</w:t>
      </w:r>
      <w:r>
        <w:rPr>
          <w:rFonts w:ascii="Times New Roman" w:hAnsi="Times New Roman" w:cs="Times New Roman"/>
        </w:rPr>
        <w:t xml:space="preserve"> 30(1): 27–42. doi:10.1111/j.1467-9221.2008.00679.x.</w:t>
      </w:r>
    </w:p>
    <w:p>
      <w:pPr>
        <w:pBdr/>
        <w:pStyle w:val="Bibliography"/>
        <w:spacing/>
        <w:ind/>
        <w:rPr>
          <w:rFonts w:ascii="Times New Roman" w:hAnsi="Times New Roman" w:cs="Times New Roman"/>
        </w:rPr>
      </w:pPr>
      <w:r>
        <w:rPr>
          <w:rFonts w:ascii="Times New Roman" w:hAnsi="Times New Roman" w:cs="Times New Roman"/>
        </w:rPr>
        <w:t xml:space="preserve">Nicholson-Crotty, Jill, Susan M. Miller, and Lael R. Keiser. 2021. “Administrative Burden, Social Construction, and Public Support for Government Programs.” </w:t>
      </w:r>
      <w:r>
        <w:rPr>
          <w:rFonts w:ascii="Times New Roman" w:hAnsi="Times New Roman" w:cs="Times New Roman"/>
          <w:i/>
          <w:iCs/>
        </w:rPr>
        <w:t xml:space="preserve">Journal of Behavioral Public Administration</w:t>
      </w:r>
      <w:r>
        <w:rPr>
          <w:rFonts w:ascii="Times New Roman" w:hAnsi="Times New Roman" w:cs="Times New Roman"/>
        </w:rPr>
        <w:t xml:space="preserve"> 4(1). doi:10.30636/jbpa.41.193.</w:t>
      </w:r>
    </w:p>
    <w:p>
      <w:pPr>
        <w:pBdr/>
        <w:pStyle w:val="Bibliography"/>
        <w:spacing/>
        <w:ind/>
        <w:rPr>
          <w:rFonts w:ascii="Times New Roman" w:hAnsi="Times New Roman" w:cs="Times New Roman"/>
        </w:rPr>
      </w:pPr>
      <w:r>
        <w:rPr>
          <w:rFonts w:ascii="Times New Roman" w:hAnsi="Times New Roman" w:cs="Times New Roman"/>
        </w:rPr>
        <w:t xml:space="preserve">Nowlin, Matthew C., and Thomas M. Rabovsky. 2020. “A Cultural Theory of Partisanship and Policy Attitudes.” </w:t>
      </w:r>
      <w:r>
        <w:rPr>
          <w:rFonts w:ascii="Times New Roman" w:hAnsi="Times New Roman" w:cs="Times New Roman"/>
          <w:i/>
          <w:iCs/>
        </w:rPr>
        <w:t xml:space="preserve">Social Science Quarterly</w:t>
      </w:r>
      <w:r>
        <w:rPr>
          <w:rFonts w:ascii="Times New Roman" w:hAnsi="Times New Roman" w:cs="Times New Roman"/>
        </w:rPr>
        <w:t xml:space="preserve"> 101(2): 878–92. doi:https://doi.org/10.1111/ssqu.12750.</w:t>
      </w:r>
    </w:p>
    <w:p>
      <w:pPr>
        <w:pBdr/>
        <w:pStyle w:val="Bibliography"/>
        <w:spacing/>
        <w:ind/>
        <w:rPr>
          <w:rFonts w:ascii="Times New Roman" w:hAnsi="Times New Roman" w:cs="Times New Roman"/>
        </w:rPr>
      </w:pPr>
      <w:r>
        <w:rPr>
          <w:rFonts w:ascii="Times New Roman" w:hAnsi="Times New Roman" w:cs="Times New Roman"/>
        </w:rPr>
        <w:t xml:space="preserve">O’Toole, Laurence J., and Kenneth J. Meier. 2011. </w:t>
      </w:r>
      <w:r>
        <w:rPr>
          <w:rFonts w:ascii="Times New Roman" w:hAnsi="Times New Roman" w:cs="Times New Roman"/>
          <w:i/>
          <w:iCs/>
        </w:rPr>
        <w:t xml:space="preserve">Public Management: Organizations, Governance, and Performance</w:t>
      </w:r>
      <w:r>
        <w:rPr>
          <w:rFonts w:ascii="Times New Roman" w:hAnsi="Times New Roman" w:cs="Times New Roman"/>
        </w:rPr>
        <w:t xml:space="preserve">. Cambridge University Press.</w:t>
      </w:r>
    </w:p>
    <w:p>
      <w:pPr>
        <w:pBdr/>
        <w:pStyle w:val="Bibliography"/>
        <w:spacing/>
        <w:ind/>
        <w:rPr>
          <w:rFonts w:ascii="Times New Roman" w:hAnsi="Times New Roman" w:cs="Times New Roman"/>
        </w:rPr>
      </w:pPr>
      <w:r>
        <w:rPr>
          <w:rFonts w:ascii="Times New Roman" w:hAnsi="Times New Roman" w:cs="Times New Roman"/>
        </w:rPr>
        <w:t xml:space="preserve">Ray, Victor, Pamela Herd, and Donald Moynihan. 2023. “Racialized Burdens: Applying Racialized Organization Theory to the Administrative State.” </w:t>
      </w:r>
      <w:r>
        <w:rPr>
          <w:rFonts w:ascii="Times New Roman" w:hAnsi="Times New Roman" w:cs="Times New Roman"/>
          <w:i/>
          <w:iCs/>
        </w:rPr>
        <w:t xml:space="preserve">Journal of Public Administration Research and Theory</w:t>
      </w:r>
      <w:r>
        <w:rPr>
          <w:rFonts w:ascii="Times New Roman" w:hAnsi="Times New Roman" w:cs="Times New Roman"/>
        </w:rPr>
        <w:t xml:space="preserve"> 33(1): 139–52. doi:10.1093/jopart/muac001.</w:t>
      </w:r>
    </w:p>
    <w:p>
      <w:pPr>
        <w:pBdr/>
        <w:pStyle w:val="Bibliography"/>
        <w:spacing/>
        <w:ind/>
        <w:rPr>
          <w:rFonts w:ascii="Times New Roman" w:hAnsi="Times New Roman" w:cs="Times New Roman"/>
        </w:rPr>
      </w:pPr>
      <w:r>
        <w:rPr>
          <w:rFonts w:ascii="Times New Roman" w:hAnsi="Times New Roman" w:cs="Times New Roman"/>
        </w:rPr>
        <w:t xml:space="preserve">Ripberger, Joseph T., Geoboo Song, Matthew C. Nowlin, Michael D. Jones, and Hank C. Jenkins-Smith. 2012. “Reconsidering the Relationship Between Cultural Theory, Political Ideology, and Political Knowledge.” </w:t>
      </w:r>
      <w:r>
        <w:rPr>
          <w:rFonts w:ascii="Times New Roman" w:hAnsi="Times New Roman" w:cs="Times New Roman"/>
          <w:i/>
          <w:iCs/>
        </w:rPr>
        <w:t xml:space="preserve">Social Science Quarterly</w:t>
      </w:r>
      <w:r>
        <w:rPr>
          <w:rFonts w:ascii="Times New Roman" w:hAnsi="Times New Roman" w:cs="Times New Roman"/>
        </w:rPr>
        <w:t xml:space="preserve"> 93(3): 713–31. doi:10.1111/j.1540-6237.2012.00884.x.</w:t>
      </w:r>
    </w:p>
    <w:p>
      <w:pPr>
        <w:pBdr/>
        <w:pStyle w:val="Bibliography"/>
        <w:spacing/>
        <w:ind/>
        <w:rPr>
          <w:rFonts w:ascii="Times New Roman" w:hAnsi="Times New Roman" w:cs="Times New Roman"/>
        </w:rPr>
      </w:pPr>
      <w:r>
        <w:rPr>
          <w:rFonts w:ascii="Times New Roman" w:hAnsi="Times New Roman" w:cs="Times New Roman"/>
        </w:rPr>
        <w:t xml:space="preserve">Robinson, Robert R. 2016. “Cultural Change and Policy Images in Policy Subsystems.” </w:t>
      </w:r>
      <w:r>
        <w:rPr>
          <w:rFonts w:ascii="Times New Roman" w:hAnsi="Times New Roman" w:cs="Times New Roman"/>
          <w:i/>
          <w:iCs/>
        </w:rPr>
        <w:t xml:space="preserve">Public Administration</w:t>
      </w:r>
      <w:r>
        <w:rPr>
          <w:rFonts w:ascii="Times New Roman" w:hAnsi="Times New Roman" w:cs="Times New Roman"/>
        </w:rPr>
        <w:t xml:space="preserve"> 94(4): 953–69. doi:10.1111/padm.12215.</w:t>
      </w:r>
    </w:p>
    <w:p>
      <w:pPr>
        <w:pBdr/>
        <w:pStyle w:val="Bibliography"/>
        <w:spacing/>
        <w:ind/>
        <w:rPr>
          <w:rFonts w:ascii="Times New Roman" w:hAnsi="Times New Roman" w:cs="Times New Roman"/>
        </w:rPr>
      </w:pPr>
      <w:r>
        <w:rPr>
          <w:rFonts w:ascii="Times New Roman" w:hAnsi="Times New Roman" w:cs="Times New Roman"/>
        </w:rPr>
        <w:t xml:space="preserve">Sievert, Martin, and Jonas Bruder. 2024. “Unpacking the Effects of Burdensome State Actions on Citizens’ Policy Perceptions.” </w:t>
      </w:r>
      <w:r>
        <w:rPr>
          <w:rFonts w:ascii="Times New Roman" w:hAnsi="Times New Roman" w:cs="Times New Roman"/>
          <w:i/>
          <w:iCs/>
        </w:rPr>
        <w:t xml:space="preserve">Public Administration</w:t>
      </w:r>
      <w:r>
        <w:rPr>
          <w:rFonts w:ascii="Times New Roman" w:hAnsi="Times New Roman" w:cs="Times New Roman"/>
        </w:rPr>
        <w:t xml:space="preserve"> 102(3): 915–35. doi:10.1111/padm.12957.</w:t>
      </w:r>
    </w:p>
    <w:p>
      <w:pPr>
        <w:pBdr/>
        <w:pStyle w:val="Bibliography"/>
        <w:spacing/>
        <w:ind/>
        <w:rPr>
          <w:rFonts w:ascii="Times New Roman" w:hAnsi="Times New Roman" w:cs="Times New Roman"/>
        </w:rPr>
      </w:pPr>
      <w:r>
        <w:rPr>
          <w:rFonts w:ascii="Times New Roman" w:hAnsi="Times New Roman" w:cs="Times New Roman"/>
        </w:rPr>
        <w:t xml:space="preserve">Song, Geoboo, Carol L. Silva, and Hank C. Jenkins-Smith. 2014. “Cultural Worldview and Preference for Childhood Vaccination Policy.” </w:t>
      </w:r>
      <w:r>
        <w:rPr>
          <w:rFonts w:ascii="Times New Roman" w:hAnsi="Times New Roman" w:cs="Times New Roman"/>
          <w:i/>
          <w:iCs/>
        </w:rPr>
        <w:t xml:space="preserve">Policy Studies Journal</w:t>
      </w:r>
      <w:r>
        <w:rPr>
          <w:rFonts w:ascii="Times New Roman" w:hAnsi="Times New Roman" w:cs="Times New Roman"/>
        </w:rPr>
        <w:t xml:space="preserve"> 42(4): 528–54. doi:10.1111/psj.12076.</w:t>
      </w:r>
    </w:p>
    <w:p>
      <w:pPr>
        <w:pBdr/>
        <w:pStyle w:val="Bibliography"/>
        <w:spacing/>
        <w:ind/>
        <w:rPr>
          <w:rFonts w:ascii="Times New Roman" w:hAnsi="Times New Roman" w:cs="Times New Roman"/>
        </w:rPr>
      </w:pPr>
      <w:r>
        <w:rPr>
          <w:rFonts w:ascii="Times New Roman" w:hAnsi="Times New Roman" w:cs="Times New Roman"/>
        </w:rPr>
        <w:t xml:space="preserve">Stenderup, Rasmus, and Mogens Jin Pedersen. 2025. “Compliance Burden versus Program Integrity Protection: A Survey Experiment on Citizen Attitudes toward Administrative Documentation Requirements in Public Service Policy.” </w:t>
      </w:r>
      <w:r>
        <w:rPr>
          <w:rFonts w:ascii="Times New Roman" w:hAnsi="Times New Roman" w:cs="Times New Roman"/>
          <w:i/>
          <w:iCs/>
        </w:rPr>
        <w:t xml:space="preserve">Public Administration Review</w:t>
      </w:r>
      <w:r>
        <w:rPr>
          <w:rFonts w:ascii="Times New Roman" w:hAnsi="Times New Roman" w:cs="Times New Roman"/>
        </w:rPr>
        <w:t xml:space="preserve"> 85(5): 1512–27. doi:10.1111/puar.13919.</w:t>
      </w:r>
    </w:p>
    <w:p>
      <w:pPr>
        <w:pBdr/>
        <w:pStyle w:val="Bibliography"/>
        <w:spacing/>
        <w:ind/>
        <w:rPr>
          <w:rFonts w:ascii="Times New Roman" w:hAnsi="Times New Roman" w:cs="Times New Roman"/>
        </w:rPr>
      </w:pPr>
      <w:r>
        <w:rPr>
          <w:rFonts w:ascii="Times New Roman" w:hAnsi="Times New Roman" w:cs="Times New Roman"/>
        </w:rPr>
        <w:t xml:space="preserve">Stenvoll, Dag. 2002. “Norwegian Politics of Abortion: Perspectives, Arguments, and Values.” </w:t>
      </w:r>
      <w:r>
        <w:rPr>
          <w:rFonts w:ascii="Times New Roman" w:hAnsi="Times New Roman" w:cs="Times New Roman"/>
          <w:i/>
          <w:iCs/>
        </w:rPr>
        <w:t xml:space="preserve">Journal of Comparative Policy Analysis</w:t>
      </w:r>
      <w:r>
        <w:rPr>
          <w:rFonts w:ascii="Times New Roman" w:hAnsi="Times New Roman" w:cs="Times New Roman"/>
        </w:rPr>
        <w:t xml:space="preserve"> 4(3): 287–304. doi:10.1023/A:1020354518437.</w:t>
      </w:r>
    </w:p>
    <w:p>
      <w:pPr>
        <w:pBdr/>
        <w:pStyle w:val="Bibliography"/>
        <w:spacing/>
        <w:ind/>
        <w:rPr>
          <w:rFonts w:ascii="Times New Roman" w:hAnsi="Times New Roman" w:cs="Times New Roman"/>
        </w:rPr>
      </w:pPr>
      <w:r>
        <w:rPr>
          <w:rFonts w:ascii="Times New Roman" w:hAnsi="Times New Roman" w:cs="Times New Roman"/>
        </w:rPr>
        <w:t xml:space="preserve">Swedlow, Brendon, and Branden Johnson. 2019. “The Value-Added by Cultural Theories of Political Values: Comparing Ideology, Partisanship, and Two Cultural Value Explanations.” doi:10.2139/ssrn.3426221.</w:t>
      </w:r>
    </w:p>
    <w:p>
      <w:pPr>
        <w:pBdr/>
        <w:pStyle w:val="Bibliography"/>
        <w:spacing/>
        <w:ind/>
        <w:rPr>
          <w:rFonts w:ascii="Times New Roman" w:hAnsi="Times New Roman" w:cs="Times New Roman"/>
        </w:rPr>
      </w:pPr>
      <w:r>
        <w:rPr>
          <w:rFonts w:ascii="Times New Roman" w:hAnsi="Times New Roman" w:cs="Times New Roman"/>
        </w:rPr>
        <w:t xml:space="preserve">Thompson, Michael, Gunnar Grendstad, and Per Selle. 1999. </w:t>
      </w:r>
      <w:r>
        <w:rPr>
          <w:rFonts w:ascii="Times New Roman" w:hAnsi="Times New Roman" w:cs="Times New Roman"/>
          <w:i/>
          <w:iCs/>
        </w:rPr>
        <w:t xml:space="preserve">Cultural Theory as Political Science</w:t>
      </w:r>
      <w:r>
        <w:rPr>
          <w:rFonts w:ascii="Times New Roman" w:hAnsi="Times New Roman" w:cs="Times New Roman"/>
        </w:rPr>
        <w:t xml:space="preserve">. Routledge.</w:t>
      </w:r>
    </w:p>
    <w:p>
      <w:pPr>
        <w:pBdr/>
        <w:pStyle w:val="Bibliography"/>
        <w:spacing/>
        <w:ind/>
        <w:rPr>
          <w:rFonts w:ascii="Times New Roman" w:hAnsi="Times New Roman" w:cs="Times New Roman"/>
        </w:rPr>
      </w:pPr>
      <w:r>
        <w:rPr>
          <w:rFonts w:ascii="Times New Roman" w:hAnsi="Times New Roman" w:cs="Times New Roman"/>
        </w:rPr>
        <w:t xml:space="preserve">Weare, Christopher, Paul Lichterman, and Nicole Esparza. 2014. “Collaboration and Culture: Organizational Culture and the Dynamics of Collaborative Policy Networks.” </w:t>
      </w:r>
      <w:r>
        <w:rPr>
          <w:rFonts w:ascii="Times New Roman" w:hAnsi="Times New Roman" w:cs="Times New Roman"/>
          <w:i/>
          <w:iCs/>
        </w:rPr>
        <w:t xml:space="preserve">Policy Studies Journal</w:t>
      </w:r>
      <w:r>
        <w:rPr>
          <w:rFonts w:ascii="Times New Roman" w:hAnsi="Times New Roman" w:cs="Times New Roman"/>
        </w:rPr>
        <w:t xml:space="preserve"> 42(4): 590–619. doi:10.1111/psj.12077.</w:t>
      </w:r>
    </w:p>
    <w:p>
      <w:pPr>
        <w:pBdr/>
        <w:pStyle w:val="Bibliography"/>
        <w:spacing/>
        <w:ind/>
        <w:rPr>
          <w:rFonts w:ascii="Times New Roman" w:hAnsi="Times New Roman" w:cs="Times New Roman"/>
        </w:rPr>
      </w:pPr>
      <w:r>
        <w:rPr>
          <w:rFonts w:ascii="Times New Roman" w:hAnsi="Times New Roman" w:cs="Times New Roman"/>
        </w:rPr>
        <w:t xml:space="preserve">Wildavsky, Aaron. 1987. “Choosing Preferences by Constructing Institutions: A Cultural Theory of Preference Formation.” </w:t>
      </w:r>
      <w:r>
        <w:rPr>
          <w:rFonts w:ascii="Times New Roman" w:hAnsi="Times New Roman" w:cs="Times New Roman"/>
          <w:i/>
          <w:iCs/>
        </w:rPr>
        <w:t xml:space="preserve">The American Political Science Review</w:t>
      </w:r>
      <w:r>
        <w:rPr>
          <w:rFonts w:ascii="Times New Roman" w:hAnsi="Times New Roman" w:cs="Times New Roman"/>
        </w:rPr>
        <w:t xml:space="preserve"> 81(1): 4–21.</w:t>
      </w:r>
    </w:p>
    <w:p>
      <w:pPr>
        <w:pBdr/>
        <w:pStyle w:val="Normal"/>
        <w:spacing w:line="480" w:lineRule="auto"/>
        <w:ind/>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fldChar w:fldCharType="end"/>
      </w:r>
    </w:p>
    <w:p>
      <w:pPr>
        <w:pBdr/>
        <w:pStyle w:val="Normal"/>
        <w:spacing/>
        <w:ind/>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br w:type="page"/>
      </w:r>
    </w:p>
    <w:p>
      <w:pPr>
        <w:pBdr/>
        <w:pStyle w:val="Normal"/>
        <w:spacing/>
        <w:ind/>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 xml:space="preserve">Appendix A1: General Burden Tolerance Index</w:t>
      </w:r>
    </w:p>
    <w:tbl>
      <w:tblPr>
        <w:tblStyle w:val="Table Grid"/>
        <w:tblW w:w="0" w:type="auto"/>
        <w:jc w:val="left"/>
        <w:tblInd w:w="0" w:type="dxa"/>
        <w:tblCellMar>
          <w:top w:w="0" w:type="dxa"/>
          <w:left w:w="108" w:type="dxa"/>
          <w:bottom w:w="0" w:type="dxa"/>
          <w:right w:w="108"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fill="auto" w:color="auto"/>
      </w:tblPr>
      <w:tblGrid>
        <w:gridCol w:w="9350"/>
      </w:tblGrid>
      <w:tr>
        <w:tblPrEx>
          <w:tblBorders/>
        </w:tblPrEx>
        <w:trPr>
          <w:trHeight w:hRule="atLeast" w:val="20"/>
        </w:trPr>
        <w:tc>
          <w:tcPr>
            <w:tcW w:w="9350" w:type="dxa"/>
            <w:tcBorders>
              <w:bottom w:val="single" w:color="000000" w:sz="4" w:space="0"/>
            </w:tcBorders>
            <w:shd w:fill="auto" w:color="auto"/>
            <w:vAlign w:val="center"/>
          </w:tcPr>
          <w:p>
            <w:pPr>
              <w:pBdr/>
              <w:pStyle w:val="Normal"/>
              <w:spacing w:after="0" w:line="360" w:lineRule="auto"/>
              <w:ind/>
              <w:jc w:val="center"/>
              <w:rPr>
                <w:rFonts w:ascii="Times New Roman" w:hAnsi="Times New Roman" w:cs="Times New Roman"/>
                <w:b/>
                <w:bCs/>
                <w:color w:val="000000"/>
                <w:sz w:val="24"/>
                <w:szCs w:val="24"/>
              </w:rPr>
            </w:pPr>
            <w:r>
              <w:rPr>
                <w:rFonts w:ascii="Times New Roman" w:hAnsi="Times New Roman" w:cs="Times New Roman"/>
                <w:b/>
                <w:bCs/>
                <w:color w:val="000000"/>
                <w:sz w:val="24"/>
                <w:szCs w:val="24"/>
              </w:rPr>
              <w:t xml:space="preserve">Please indicate whether you agree or disagree with the statements below:</w:t>
            </w:r>
          </w:p>
        </w:tc>
      </w:tr>
      <w:tr>
        <w:tblPrEx>
          <w:tblBorders/>
        </w:tblPrEx>
        <w:trPr>
          <w:trHeight w:hRule="atLeast" w:val="20"/>
        </w:trPr>
        <w:tc>
          <w:tcPr>
            <w:tcW w:w="9350" w:type="dxa"/>
            <w:tcBorders>
              <w:top w:val="single" w:color="000000" w:sz="4" w:space="0"/>
              <w:left w:val="single" w:color="000000" w:sz="4" w:space="0"/>
              <w:bottom w:val="nil"/>
              <w:right w:val="single" w:color="000000" w:sz="4" w:space="0"/>
            </w:tcBorders>
            <w:shd w:fill="auto" w:color="auto"/>
            <w:vAlign w:val="center"/>
          </w:tcPr>
          <w:p>
            <w:pPr>
              <w:pBdr/>
              <w:pStyle w:val="Normal"/>
              <w:spacing w:after="0" w:line="276" w:lineRule="auto"/>
              <w:ind/>
              <w:rPr>
                <w:rFonts w:ascii="Times New Roman" w:hAnsi="Times New Roman" w:cs="Times New Roman"/>
                <w:color w:val="000000"/>
                <w:sz w:val="24"/>
                <w:szCs w:val="24"/>
              </w:rPr>
            </w:pPr>
            <w:r>
              <w:rPr>
                <w:rFonts w:ascii="Times New Roman" w:hAnsi="Times New Roman" w:cs="Times New Roman"/>
                <w:color w:val="000000"/>
                <w:sz w:val="24"/>
                <w:szCs w:val="24"/>
              </w:rPr>
              <w:t xml:space="preserve">It is acceptable that people face some hassles when they are in contact with the government. </w:t>
            </w:r>
          </w:p>
          <w:p>
            <w:pPr>
              <w:pBdr/>
              <w:pStyle w:val="Normal"/>
              <w:spacing w:after="0" w:line="276" w:lineRule="auto"/>
              <w:ind/>
              <w:rPr>
                <w:rFonts w:ascii="Times New Roman" w:eastAsia="Times New Roman" w:hAnsi="Times New Roman" w:cs="Times New Roman"/>
                <w:b/>
                <w:bCs/>
                <w:color w:val="000000"/>
                <w:sz w:val="24"/>
                <w:szCs w:val="24"/>
              </w:rPr>
            </w:pPr>
            <w:r>
              <w:rPr>
                <w:rFonts w:ascii="Times New Roman" w:hAnsi="Times New Roman" w:cs="Times New Roman"/>
                <w:color w:val="000000"/>
                <w:sz w:val="24"/>
                <w:szCs w:val="24"/>
              </w:rPr>
              <w:t xml:space="preserve"> </w:t>
            </w:r>
          </w:p>
        </w:tc>
      </w:tr>
      <w:tr>
        <w:tblPrEx>
          <w:tblBorders/>
        </w:tblPrEx>
        <w:trPr>
          <w:trHeight w:hRule="atLeast" w:val="20"/>
        </w:trPr>
        <w:tc>
          <w:tcPr>
            <w:tcW w:w="9350" w:type="dxa"/>
            <w:tcBorders>
              <w:top w:val="nil"/>
              <w:left w:val="single" w:color="000000" w:sz="4" w:space="0"/>
              <w:bottom w:val="nil"/>
              <w:right w:val="single" w:color="000000" w:sz="4" w:space="0"/>
            </w:tcBorders>
            <w:shd w:fill="auto" w:color="auto"/>
            <w:vAlign w:val="center"/>
          </w:tcPr>
          <w:p>
            <w:pPr>
              <w:pBdr/>
              <w:pStyle w:val="Normal"/>
              <w:spacing w:after="0" w:line="276" w:lineRule="auto"/>
              <w:ind/>
              <w:rPr>
                <w:rFonts w:ascii="Times New Roman" w:hAnsi="Times New Roman" w:cs="Times New Roman"/>
                <w:color w:val="000000"/>
                <w:sz w:val="24"/>
                <w:szCs w:val="24"/>
              </w:rPr>
            </w:pPr>
            <w:r>
              <w:rPr>
                <w:rFonts w:ascii="Times New Roman" w:hAnsi="Times New Roman" w:cs="Times New Roman"/>
                <w:color w:val="000000"/>
                <w:sz w:val="24"/>
                <w:szCs w:val="24"/>
              </w:rPr>
              <w:t xml:space="preserve">If people want to access public services and benefits, it is only fair that they have to make a significant effort to get them. </w:t>
            </w:r>
          </w:p>
          <w:p>
            <w:pPr>
              <w:pBdr/>
              <w:pStyle w:val="Normal"/>
              <w:spacing w:after="0" w:line="276" w:lineRule="auto"/>
              <w:ind/>
              <w:rPr>
                <w:rFonts w:ascii="Times New Roman" w:eastAsia="Times New Roman" w:hAnsi="Times New Roman" w:cs="Times New Roman"/>
                <w:b/>
                <w:bCs/>
                <w:color w:val="000000"/>
                <w:sz w:val="24"/>
                <w:szCs w:val="24"/>
              </w:rPr>
            </w:pPr>
          </w:p>
        </w:tc>
      </w:tr>
      <w:tr>
        <w:tblPrEx>
          <w:tblBorders/>
        </w:tblPrEx>
        <w:trPr>
          <w:trHeight w:hRule="atLeast" w:val="20"/>
        </w:trPr>
        <w:tc>
          <w:tcPr>
            <w:tcW w:w="9350" w:type="dxa"/>
            <w:tcBorders>
              <w:top w:val="nil"/>
              <w:left w:val="single" w:color="000000" w:sz="4" w:space="0"/>
              <w:bottom w:val="nil"/>
              <w:right w:val="single" w:color="000000" w:sz="4" w:space="0"/>
            </w:tcBorders>
            <w:shd w:fill="auto" w:color="auto"/>
            <w:vAlign w:val="center"/>
          </w:tcPr>
          <w:p>
            <w:pPr>
              <w:pBdr/>
              <w:pStyle w:val="Normal"/>
              <w:spacing w:after="0" w:line="276" w:lineRule="auto"/>
              <w:ind/>
              <w:rPr>
                <w:rFonts w:ascii="Times New Roman" w:hAnsi="Times New Roman" w:cs="Times New Roman"/>
                <w:color w:val="000000"/>
                <w:sz w:val="24"/>
                <w:szCs w:val="24"/>
              </w:rPr>
            </w:pPr>
            <w:r>
              <w:rPr>
                <w:rFonts w:ascii="Times New Roman" w:hAnsi="Times New Roman" w:cs="Times New Roman"/>
                <w:color w:val="000000"/>
                <w:sz w:val="24"/>
                <w:szCs w:val="24"/>
              </w:rPr>
              <w:t xml:space="preserve">People should be responsible for figuring out how to access government services themselves; it is not the government’s responsibility to help them.</w:t>
            </w:r>
          </w:p>
          <w:p>
            <w:pPr>
              <w:pBdr/>
              <w:pStyle w:val="Normal"/>
              <w:spacing w:after="0" w:line="276" w:lineRule="auto"/>
              <w:ind/>
              <w:rPr>
                <w:rFonts w:ascii="Times New Roman" w:eastAsia="Times New Roman" w:hAnsi="Times New Roman" w:cs="Times New Roman"/>
                <w:b/>
                <w:bCs/>
                <w:color w:val="000000"/>
                <w:sz w:val="24"/>
                <w:szCs w:val="24"/>
              </w:rPr>
            </w:pPr>
          </w:p>
        </w:tc>
      </w:tr>
      <w:tr>
        <w:tblPrEx>
          <w:tblBorders/>
        </w:tblPrEx>
        <w:trPr>
          <w:trHeight w:hRule="atLeast" w:val="20"/>
        </w:trPr>
        <w:tc>
          <w:tcPr>
            <w:tcW w:w="9350" w:type="dxa"/>
            <w:tcBorders>
              <w:top w:val="nil"/>
              <w:left w:val="single" w:color="000000" w:sz="4" w:space="0"/>
              <w:bottom w:val="single" w:color="000000" w:sz="4" w:space="0"/>
              <w:right w:val="single" w:color="000000" w:sz="4" w:space="0"/>
            </w:tcBorders>
            <w:shd w:fill="auto" w:color="auto"/>
            <w:vAlign w:val="center"/>
          </w:tcPr>
          <w:p>
            <w:pPr>
              <w:pBdr/>
              <w:pStyle w:val="Normal"/>
              <w:spacing w:after="0" w:line="276" w:lineRule="auto"/>
              <w:ind/>
              <w:rPr>
                <w:rFonts w:ascii="Times New Roman" w:eastAsia="Times New Roman" w:hAnsi="Times New Roman" w:cs="Times New Roman"/>
                <w:b/>
                <w:bCs/>
                <w:color w:val="000000"/>
                <w:sz w:val="24"/>
                <w:szCs w:val="24"/>
              </w:rPr>
            </w:pPr>
            <w:r>
              <w:rPr>
                <w:rFonts w:ascii="Times New Roman" w:hAnsi="Times New Roman" w:cs="Times New Roman"/>
                <w:color w:val="000000"/>
                <w:sz w:val="24"/>
                <w:szCs w:val="24"/>
              </w:rPr>
              <w:t xml:space="preserve">It is acceptable that people sometimes feel that it is difficult and time-consuming to apply for government services and benefits. </w:t>
            </w:r>
          </w:p>
        </w:tc>
      </w:tr>
    </w:tbl>
    <w:p>
      <w:pPr>
        <w:pBdr/>
        <w:pStyle w:val="Normal"/>
        <w:spacing/>
        <w:ind/>
        <w:rPr>
          <w:rFonts w:ascii="Times New Roman" w:eastAsia="Times New Roman" w:hAnsi="Times New Roman" w:cs="Times New Roman"/>
          <w:b/>
          <w:bCs/>
          <w:color w:val="000000"/>
          <w:sz w:val="24"/>
          <w:szCs w:val="24"/>
        </w:rPr>
      </w:pPr>
    </w:p>
    <w:p>
      <w:pPr>
        <w:pBdr/>
        <w:pStyle w:val="Normal"/>
        <w:spacing w:line="240" w:lineRule="auto"/>
        <w:ind w:left="720" w:hanging="720"/>
        <w:jc w:val="center"/>
        <w:rPr>
          <w:rFonts w:ascii="Times New Roman" w:eastAsia="Times New Roman" w:hAnsi="Times New Roman" w:cs="Times New Roman"/>
          <w:b/>
          <w:bCs/>
          <w:color w:val="000000"/>
          <w:sz w:val="24"/>
          <w:szCs w:val="24"/>
        </w:rPr>
      </w:pPr>
    </w:p>
    <w:p>
      <w:pPr>
        <w:pBdr/>
        <w:pStyle w:val="Normal"/>
        <w:spacing w:line="240" w:lineRule="auto"/>
        <w:ind w:left="720" w:hanging="720"/>
        <w:jc w:val="center"/>
        <w:rPr>
          <w:rFonts w:ascii="Times New Roman" w:eastAsia="Times New Roman" w:hAnsi="Times New Roman" w:cs="Times New Roman"/>
          <w:b/>
          <w:bCs/>
          <w:color w:val="000000"/>
          <w:sz w:val="24"/>
          <w:szCs w:val="24"/>
        </w:rPr>
      </w:pPr>
    </w:p>
    <w:p>
      <w:pPr>
        <w:pBdr/>
        <w:pStyle w:val="Normal"/>
        <w:spacing w:line="240" w:lineRule="auto"/>
        <w:ind w:left="720" w:hanging="720"/>
        <w:jc w:val="center"/>
        <w:rPr>
          <w:rFonts w:ascii="Times New Roman" w:eastAsia="Times New Roman" w:hAnsi="Times New Roman" w:cs="Times New Roman"/>
          <w:b/>
          <w:bCs/>
          <w:color w:val="000000"/>
          <w:sz w:val="24"/>
          <w:szCs w:val="24"/>
        </w:rPr>
      </w:pPr>
    </w:p>
    <w:p>
      <w:pPr>
        <w:pBdr/>
        <w:pStyle w:val="Normal"/>
        <w:spacing w:line="240" w:lineRule="auto"/>
        <w:ind w:left="720" w:hanging="720"/>
        <w:jc w:val="center"/>
        <w:rPr>
          <w:rFonts w:ascii="Times New Roman" w:eastAsia="Times New Roman" w:hAnsi="Times New Roman" w:cs="Times New Roman"/>
          <w:b/>
          <w:bCs/>
          <w:color w:val="000000"/>
          <w:sz w:val="24"/>
          <w:szCs w:val="24"/>
        </w:rPr>
      </w:pPr>
    </w:p>
    <w:p>
      <w:pPr>
        <w:pBdr/>
        <w:pStyle w:val="Normal"/>
        <w:spacing w:line="240" w:lineRule="auto"/>
        <w:ind w:left="720" w:hanging="720"/>
        <w:jc w:val="center"/>
        <w:rPr>
          <w:rFonts w:ascii="Times New Roman" w:eastAsia="Times New Roman" w:hAnsi="Times New Roman" w:cs="Times New Roman"/>
          <w:b/>
          <w:bCs/>
          <w:color w:val="000000"/>
          <w:sz w:val="24"/>
          <w:szCs w:val="24"/>
        </w:rPr>
      </w:pPr>
    </w:p>
    <w:p>
      <w:pPr>
        <w:pBdr/>
        <w:pStyle w:val="Normal"/>
        <w:spacing w:line="240" w:lineRule="auto"/>
        <w:ind w:left="720" w:hanging="720"/>
        <w:jc w:val="center"/>
        <w:rPr>
          <w:rFonts w:ascii="Times New Roman" w:eastAsia="Times New Roman" w:hAnsi="Times New Roman" w:cs="Times New Roman"/>
          <w:b/>
          <w:bCs/>
          <w:color w:val="000000"/>
          <w:sz w:val="24"/>
          <w:szCs w:val="24"/>
        </w:rPr>
      </w:pPr>
    </w:p>
    <w:p>
      <w:pPr>
        <w:pBdr/>
        <w:pStyle w:val="Normal"/>
        <w:spacing w:line="240" w:lineRule="auto"/>
        <w:ind w:left="720" w:hanging="720"/>
        <w:jc w:val="center"/>
        <w:rPr>
          <w:rFonts w:ascii="Times New Roman" w:eastAsia="Times New Roman" w:hAnsi="Times New Roman" w:cs="Times New Roman"/>
          <w:b/>
          <w:bCs/>
          <w:color w:val="000000"/>
          <w:sz w:val="24"/>
          <w:szCs w:val="24"/>
        </w:rPr>
      </w:pPr>
    </w:p>
    <w:p>
      <w:pPr>
        <w:pBdr/>
        <w:pStyle w:val="Normal"/>
        <w:spacing w:line="240" w:lineRule="auto"/>
        <w:ind w:left="720" w:hanging="720"/>
        <w:jc w:val="center"/>
        <w:rPr>
          <w:rFonts w:ascii="Times New Roman" w:eastAsia="Times New Roman" w:hAnsi="Times New Roman" w:cs="Times New Roman"/>
          <w:b/>
          <w:bCs/>
          <w:color w:val="000000"/>
          <w:sz w:val="24"/>
          <w:szCs w:val="24"/>
        </w:rPr>
      </w:pPr>
    </w:p>
    <w:p>
      <w:pPr>
        <w:pBdr/>
        <w:pStyle w:val="Normal"/>
        <w:spacing w:line="240" w:lineRule="auto"/>
        <w:ind w:left="720" w:hanging="720"/>
        <w:jc w:val="center"/>
        <w:rPr>
          <w:rFonts w:ascii="Times New Roman" w:eastAsia="Times New Roman" w:hAnsi="Times New Roman" w:cs="Times New Roman"/>
          <w:b/>
          <w:bCs/>
          <w:color w:val="000000"/>
          <w:sz w:val="24"/>
          <w:szCs w:val="24"/>
        </w:rPr>
      </w:pPr>
    </w:p>
    <w:p>
      <w:pPr>
        <w:pBdr/>
        <w:pStyle w:val="Normal"/>
        <w:spacing w:line="240" w:lineRule="auto"/>
        <w:ind w:left="720" w:hanging="720"/>
        <w:jc w:val="center"/>
        <w:rPr>
          <w:rFonts w:ascii="Times New Roman" w:eastAsia="Times New Roman" w:hAnsi="Times New Roman" w:cs="Times New Roman"/>
          <w:b/>
          <w:bCs/>
          <w:color w:val="000000"/>
          <w:sz w:val="24"/>
          <w:szCs w:val="24"/>
        </w:rPr>
      </w:pPr>
    </w:p>
    <w:p>
      <w:pPr>
        <w:pBdr/>
        <w:pStyle w:val="Normal"/>
        <w:spacing w:line="240" w:lineRule="auto"/>
        <w:ind w:left="720" w:hanging="720"/>
        <w:jc w:val="center"/>
        <w:rPr>
          <w:rFonts w:ascii="Times New Roman" w:eastAsia="Times New Roman" w:hAnsi="Times New Roman" w:cs="Times New Roman"/>
          <w:b/>
          <w:bCs/>
          <w:color w:val="000000"/>
          <w:sz w:val="24"/>
          <w:szCs w:val="24"/>
        </w:rPr>
      </w:pPr>
    </w:p>
    <w:p>
      <w:pPr>
        <w:pBdr/>
        <w:pStyle w:val="Normal"/>
        <w:spacing w:line="240" w:lineRule="auto"/>
        <w:ind w:left="720" w:hanging="720"/>
        <w:jc w:val="center"/>
        <w:rPr>
          <w:rFonts w:ascii="Times New Roman" w:eastAsia="Times New Roman" w:hAnsi="Times New Roman" w:cs="Times New Roman"/>
          <w:b/>
          <w:bCs/>
          <w:color w:val="000000"/>
          <w:sz w:val="24"/>
          <w:szCs w:val="24"/>
        </w:rPr>
      </w:pPr>
    </w:p>
    <w:p>
      <w:pPr>
        <w:pBdr/>
        <w:pStyle w:val="Normal"/>
        <w:spacing w:line="240" w:lineRule="auto"/>
        <w:ind w:left="720" w:hanging="720"/>
        <w:jc w:val="center"/>
        <w:rPr>
          <w:rFonts w:ascii="Times New Roman" w:eastAsia="Times New Roman" w:hAnsi="Times New Roman" w:cs="Times New Roman"/>
          <w:b/>
          <w:bCs/>
          <w:color w:val="000000"/>
          <w:sz w:val="24"/>
          <w:szCs w:val="24"/>
        </w:rPr>
      </w:pPr>
    </w:p>
    <w:p>
      <w:pPr>
        <w:pBdr/>
        <w:pStyle w:val="Normal"/>
        <w:spacing w:line="240" w:lineRule="auto"/>
        <w:ind w:left="720" w:hanging="720"/>
        <w:jc w:val="center"/>
        <w:rPr>
          <w:rFonts w:ascii="Times New Roman" w:eastAsia="Times New Roman" w:hAnsi="Times New Roman" w:cs="Times New Roman"/>
          <w:b/>
          <w:bCs/>
          <w:color w:val="000000"/>
          <w:sz w:val="24"/>
          <w:szCs w:val="24"/>
        </w:rPr>
      </w:pPr>
    </w:p>
    <w:p>
      <w:pPr>
        <w:pBdr/>
        <w:pStyle w:val="Normal"/>
        <w:spacing w:line="240" w:lineRule="auto"/>
        <w:ind w:left="720" w:hanging="720"/>
        <w:jc w:val="center"/>
        <w:rPr>
          <w:rFonts w:ascii="Times New Roman" w:eastAsia="Times New Roman" w:hAnsi="Times New Roman" w:cs="Times New Roman"/>
          <w:b/>
          <w:bCs/>
          <w:color w:val="000000"/>
          <w:sz w:val="24"/>
          <w:szCs w:val="24"/>
        </w:rPr>
      </w:pPr>
    </w:p>
    <w:p>
      <w:pPr>
        <w:pBdr/>
        <w:pStyle w:val="Normal"/>
        <w:spacing w:line="240" w:lineRule="auto"/>
        <w:ind w:left="720" w:hanging="720"/>
        <w:jc w:val="center"/>
        <w:rPr>
          <w:rFonts w:ascii="Times New Roman" w:eastAsia="Times New Roman" w:hAnsi="Times New Roman" w:cs="Times New Roman"/>
          <w:b/>
          <w:bCs/>
          <w:color w:val="000000"/>
          <w:sz w:val="24"/>
          <w:szCs w:val="24"/>
        </w:rPr>
      </w:pPr>
    </w:p>
    <w:p>
      <w:pPr>
        <w:pBdr/>
        <w:pStyle w:val="Normal"/>
        <w:spacing w:line="240" w:lineRule="auto"/>
        <w:ind w:left="720" w:hanging="720"/>
        <w:jc w:val="center"/>
        <w:rPr>
          <w:rFonts w:ascii="Times New Roman" w:eastAsia="Times New Roman" w:hAnsi="Times New Roman" w:cs="Times New Roman"/>
          <w:b/>
          <w:bCs/>
          <w:color w:val="000000"/>
          <w:sz w:val="24"/>
          <w:szCs w:val="24"/>
        </w:rPr>
      </w:pPr>
    </w:p>
    <w:p>
      <w:pPr>
        <w:pBdr/>
        <w:pStyle w:val="Normal"/>
        <w:spacing w:line="240" w:lineRule="auto"/>
        <w:ind w:left="720" w:hanging="720"/>
        <w:jc w:val="center"/>
        <w:rPr>
          <w:rFonts w:ascii="Times New Roman" w:eastAsia="Times New Roman" w:hAnsi="Times New Roman" w:cs="Times New Roman"/>
          <w:b/>
          <w:bCs/>
          <w:color w:val="000000"/>
          <w:sz w:val="24"/>
          <w:szCs w:val="24"/>
        </w:rPr>
      </w:pPr>
    </w:p>
    <w:p>
      <w:pPr>
        <w:pBdr/>
        <w:pStyle w:val="Normal"/>
        <w:spacing w:line="240" w:lineRule="auto"/>
        <w:ind w:left="720" w:hanging="720"/>
        <w:jc w:val="center"/>
        <w:rPr>
          <w:rFonts w:ascii="Times New Roman" w:eastAsia="Times New Roman" w:hAnsi="Times New Roman" w:cs="Times New Roman"/>
          <w:b/>
          <w:bCs/>
          <w:color w:val="000000"/>
          <w:sz w:val="24"/>
          <w:szCs w:val="24"/>
        </w:rPr>
      </w:pPr>
    </w:p>
    <w:p>
      <w:pPr>
        <w:pBdr/>
        <w:pStyle w:val="Normal"/>
        <w:spacing w:line="240" w:lineRule="auto"/>
        <w:ind w:left="720" w:hanging="720"/>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 xml:space="preserve">Appendix A2: Policy Areas and Support for Administrative Burdens Items</w:t>
      </w:r>
    </w:p>
    <w:tbl>
      <w:tblPr>
        <w:tblStyle w:val="QQuestionTable"/>
        <w:tblW w:w="5000" w:type="pct"/>
        <w:jc w:val="left"/>
        <w:tblInd w:w="0" w:type="dxa"/>
        <w:tblCellMar>
          <w:top w:w="43" w:type="dxa"/>
          <w:left w:w="115" w:type="dxa"/>
          <w:bottom w:w="115" w:type="dxa"/>
          <w:right w:w="115" w:type="dxa"/>
        </w:tblCellMar>
        <w:tblBorders>
          <w:top w:val="single" w:color="000000" w:sz="8" w:space="0"/>
          <w:left w:val="single" w:color="000000" w:sz="8" w:space="0"/>
          <w:bottom w:val="single" w:color="000000" w:sz="8" w:space="0"/>
          <w:right w:val="single" w:color="000000" w:sz="8" w:space="0"/>
        </w:tblBorders>
        <w:shd w:fill="auto" w:color="auto"/>
      </w:tblPr>
      <w:tblGrid>
        <w:gridCol w:w="9360"/>
      </w:tblGrid>
      <w:tr>
        <w:tblPrEx>
          <w:tblBorders>
            <w:top w:val="single" w:color="000000" w:sz="8" w:space="0"/>
            <w:left w:val="single" w:color="000000" w:sz="8" w:space="0"/>
            <w:bottom w:val="single" w:color="000000" w:sz="8" w:space="0"/>
            <w:right w:val="single" w:color="000000" w:sz="8" w:space="0"/>
          </w:tblBorders>
        </w:tblPrEx>
        <w:trPr>
          <w:trHeight w:hRule="atLeast" w:val="20"/>
        </w:trPr>
        <w:tc>
          <w:tcPr>
            <w:tcW w:type="pct" w:w="5000"/>
            <w:tcBorders>
              <w:top w:val="single" w:color="000000" w:sz="8" w:space="0"/>
              <w:bottom w:val="single" w:color="000000" w:sz="8" w:space="0"/>
            </w:tcBorders>
            <w:shd w:fill="auto" w:color="auto"/>
            <w:vAlign w:val="top"/>
          </w:tcPr>
          <w:p>
            <w:pPr>
              <w:pBdr/>
              <w:pStyle w:val="Normal"/>
              <w:keepNext/>
              <w:spacing w:after="0" w:line="240" w:lineRule="auto"/>
              <w:ind/>
              <w:jc w:val="left"/>
              <w:rPr>
                <w:rFonts w:ascii="Times New Roman" w:eastAsiaTheme="minorEastAsia" w:hAnsi="Times New Roman" w:cs="Times New Roman"/>
                <w:b/>
                <w:bCs/>
                <w:color w:val="000000"/>
                <w:sz w:val="20"/>
                <w:szCs w:val="20"/>
              </w:rPr>
            </w:pPr>
            <w:r>
              <w:rPr>
                <w:rFonts w:ascii="Times New Roman" w:eastAsiaTheme="minorEastAsia" w:hAnsi="Times New Roman" w:cs="Times New Roman"/>
                <w:b/>
                <w:bCs/>
                <w:color w:val="000000"/>
                <w:sz w:val="20"/>
                <w:szCs w:val="20"/>
              </w:rPr>
              <w:t xml:space="preserve">“How supportive are you of the following policies related to ____”</w:t>
            </w:r>
          </w:p>
        </w:tc>
      </w:tr>
      <w:tr>
        <w:tblPrEx>
          <w:tblBorders>
            <w:top w:val="single" w:color="000000" w:sz="8" w:space="0"/>
            <w:left w:val="single" w:color="000000" w:sz="8" w:space="0"/>
            <w:bottom w:val="single" w:color="000000" w:sz="8" w:space="0"/>
            <w:right w:val="single" w:color="000000" w:sz="8" w:space="0"/>
          </w:tblBorders>
        </w:tblPrEx>
        <w:trPr>
          <w:trHeight w:hRule="atLeast" w:val="20"/>
        </w:trPr>
        <w:tc>
          <w:tcPr>
            <w:tcW w:type="pct" w:w="5000"/>
            <w:tcBorders>
              <w:top w:val="single" w:color="000000" w:sz="8" w:space="0"/>
              <w:bottom w:val="single" w:color="000000" w:sz="8" w:space="0"/>
              <w:right w:val="single" w:color="BFBFBF" w:sz="4" w:space="0"/>
            </w:tcBorders>
            <w:shd w:fill="auto" w:color="auto"/>
            <w:vAlign w:val="center"/>
          </w:tcPr>
          <w:p>
            <w:pPr>
              <w:pBdr/>
              <w:pStyle w:val="Normal"/>
              <w:keepNext/>
              <w:spacing w:after="0" w:line="240" w:lineRule="auto"/>
              <w:ind/>
              <w:jc w:val="center"/>
              <w:rPr>
                <w:rFonts w:ascii="Times New Roman" w:eastAsiaTheme="minorEastAsia" w:hAnsi="Times New Roman" w:cs="Times New Roman"/>
                <w:b/>
                <w:bCs/>
                <w:i/>
                <w:iCs/>
                <w:color w:val="000000"/>
                <w:sz w:val="20"/>
                <w:szCs w:val="20"/>
                <w:u w:val="single"/>
              </w:rPr>
            </w:pPr>
            <w:r>
              <w:rPr>
                <w:rFonts w:ascii="Times New Roman" w:eastAsiaTheme="minorEastAsia" w:hAnsi="Times New Roman" w:cs="Times New Roman"/>
                <w:b/>
                <w:bCs/>
                <w:i/>
                <w:iCs/>
                <w:color w:val="000000"/>
                <w:sz w:val="20"/>
                <w:szCs w:val="20"/>
                <w:u w:val="single"/>
              </w:rPr>
              <w:t xml:space="preserve">Voting Items</w:t>
            </w:r>
          </w:p>
        </w:tc>
      </w:tr>
      <w:tr>
        <w:tblPrEx>
          <w:tblBorders>
            <w:top w:val="single" w:color="000000" w:sz="8" w:space="0"/>
            <w:left w:val="single" w:color="000000" w:sz="8" w:space="0"/>
            <w:bottom w:val="single" w:color="000000" w:sz="8" w:space="0"/>
            <w:right w:val="single" w:color="000000" w:sz="8" w:space="0"/>
          </w:tblBorders>
        </w:tblPrEx>
        <w:trPr>
          <w:trHeight w:hRule="atLeast" w:val="20"/>
        </w:trPr>
        <w:tc>
          <w:tcPr>
            <w:tcW w:type="pct" w:w="5000"/>
            <w:tcBorders>
              <w:top w:val="single" w:color="000000" w:sz="8" w:space="0"/>
              <w:right w:val="single" w:color="BFBFBF" w:sz="4" w:space="0"/>
            </w:tcBorders>
            <w:shd w:fill="auto" w:color="auto"/>
            <w:vAlign w:val="center"/>
          </w:tcPr>
          <w:p>
            <w:pPr>
              <w:pBdr/>
              <w:pStyle w:val="Normal"/>
              <w:keepNext/>
              <w:spacing w:after="0" w:line="240" w:lineRule="auto"/>
              <w:ind/>
              <w:jc w:val="left"/>
              <w:rPr>
                <w:rFonts w:ascii="Times New Roman" w:eastAsiaTheme="minorEastAsia" w:hAnsi="Times New Roman" w:cs="Times New Roman"/>
                <w:color w:val="000000"/>
                <w:sz w:val="20"/>
                <w:szCs w:val="20"/>
              </w:rPr>
            </w:pPr>
            <w:r>
              <w:rPr>
                <w:rFonts w:ascii="Times New Roman" w:eastAsiaTheme="minorEastAsia" w:hAnsi="Times New Roman" w:cs="Times New Roman"/>
                <w:color w:val="000000"/>
                <w:sz w:val="20"/>
                <w:szCs w:val="20"/>
              </w:rPr>
              <w:t xml:space="preserve">Automatically registering all eligible citizens to vote (Reverse Coded)</w:t>
            </w:r>
          </w:p>
        </w:tc>
      </w:tr>
      <w:tr>
        <w:tblPrEx>
          <w:tblBorders>
            <w:top w:val="single" w:color="000000" w:sz="8" w:space="0"/>
            <w:left w:val="single" w:color="000000" w:sz="8" w:space="0"/>
            <w:bottom w:val="single" w:color="000000" w:sz="8" w:space="0"/>
            <w:right w:val="single" w:color="000000" w:sz="8" w:space="0"/>
          </w:tblBorders>
        </w:tblPrEx>
        <w:trPr>
          <w:trHeight w:hRule="atLeast" w:val="20"/>
        </w:trPr>
        <w:tc>
          <w:tcPr>
            <w:tcW w:type="pct" w:w="5000"/>
            <w:tcBorders>
              <w:right w:val="single" w:color="BFBFBF" w:sz="4" w:space="0"/>
            </w:tcBorders>
            <w:shd w:fill="auto" w:color="auto"/>
            <w:vAlign w:val="center"/>
          </w:tcPr>
          <w:p>
            <w:pPr>
              <w:pBdr/>
              <w:pStyle w:val="Normal"/>
              <w:keepNext/>
              <w:spacing w:after="0" w:line="240" w:lineRule="auto"/>
              <w:ind/>
              <w:jc w:val="left"/>
              <w:rPr>
                <w:rFonts w:ascii="Times New Roman" w:eastAsiaTheme="minorEastAsia" w:hAnsi="Times New Roman" w:cs="Times New Roman"/>
                <w:color w:val="000000"/>
                <w:sz w:val="20"/>
                <w:szCs w:val="20"/>
              </w:rPr>
            </w:pPr>
            <w:r>
              <w:rPr>
                <w:rFonts w:ascii="Times New Roman" w:eastAsiaTheme="minorEastAsia" w:hAnsi="Times New Roman" w:cs="Times New Roman"/>
                <w:color w:val="000000"/>
                <w:sz w:val="20"/>
                <w:szCs w:val="20"/>
              </w:rPr>
              <w:t xml:space="preserve">Implementing same-day registration (SDR), which allows any qualified resident of the state to register to vote and cast a ballot at the same time. (Reverse Coded)</w:t>
            </w:r>
          </w:p>
        </w:tc>
      </w:tr>
      <w:tr>
        <w:tblPrEx>
          <w:tblBorders>
            <w:top w:val="single" w:color="000000" w:sz="8" w:space="0"/>
            <w:left w:val="single" w:color="000000" w:sz="8" w:space="0"/>
            <w:bottom w:val="single" w:color="000000" w:sz="8" w:space="0"/>
            <w:right w:val="single" w:color="000000" w:sz="8" w:space="0"/>
          </w:tblBorders>
        </w:tblPrEx>
        <w:trPr>
          <w:trHeight w:hRule="atLeast" w:val="20"/>
        </w:trPr>
        <w:tc>
          <w:tcPr>
            <w:tcW w:type="pct" w:w="5000"/>
            <w:tcBorders>
              <w:right w:val="single" w:color="BFBFBF" w:sz="4" w:space="0"/>
            </w:tcBorders>
            <w:shd w:fill="auto" w:color="auto"/>
            <w:vAlign w:val="center"/>
          </w:tcPr>
          <w:p>
            <w:pPr>
              <w:pBdr/>
              <w:pStyle w:val="Normal"/>
              <w:keepNext/>
              <w:spacing w:after="0" w:line="240" w:lineRule="auto"/>
              <w:ind/>
              <w:jc w:val="left"/>
              <w:rPr>
                <w:rFonts w:ascii="Times New Roman" w:eastAsiaTheme="minorEastAsia" w:hAnsi="Times New Roman" w:cs="Times New Roman"/>
                <w:color w:val="000000"/>
                <w:sz w:val="20"/>
                <w:szCs w:val="20"/>
              </w:rPr>
            </w:pPr>
            <w:r>
              <w:rPr>
                <w:rFonts w:ascii="Times New Roman" w:eastAsiaTheme="minorEastAsia" w:hAnsi="Times New Roman" w:cs="Times New Roman"/>
                <w:color w:val="000000"/>
                <w:sz w:val="20"/>
                <w:szCs w:val="20"/>
              </w:rPr>
              <w:t xml:space="preserve">Making early, in-person voting available to voters for at least 2 weeks prior to Election Day </w:t>
            </w:r>
          </w:p>
        </w:tc>
      </w:tr>
      <w:tr>
        <w:tblPrEx>
          <w:tblBorders>
            <w:top w:val="single" w:color="000000" w:sz="8" w:space="0"/>
            <w:left w:val="single" w:color="000000" w:sz="8" w:space="0"/>
            <w:bottom w:val="single" w:color="000000" w:sz="8" w:space="0"/>
            <w:right w:val="single" w:color="000000" w:sz="8" w:space="0"/>
          </w:tblBorders>
        </w:tblPrEx>
        <w:trPr>
          <w:trHeight w:hRule="atLeast" w:val="20"/>
        </w:trPr>
        <w:tc>
          <w:tcPr>
            <w:tcW w:type="pct" w:w="5000"/>
            <w:tcBorders>
              <w:right w:val="single" w:color="BFBFBF" w:sz="4" w:space="0"/>
            </w:tcBorders>
            <w:shd w:fill="auto" w:color="auto"/>
            <w:vAlign w:val="center"/>
          </w:tcPr>
          <w:p>
            <w:pPr>
              <w:pBdr/>
              <w:pStyle w:val="Normal"/>
              <w:keepNext/>
              <w:spacing w:after="0" w:line="240" w:lineRule="auto"/>
              <w:ind/>
              <w:jc w:val="left"/>
              <w:rPr>
                <w:rFonts w:ascii="Times New Roman" w:eastAsiaTheme="minorEastAsia" w:hAnsi="Times New Roman" w:cs="Times New Roman"/>
                <w:color w:val="000000"/>
                <w:sz w:val="20"/>
                <w:szCs w:val="20"/>
              </w:rPr>
            </w:pPr>
            <w:r>
              <w:rPr>
                <w:rFonts w:ascii="Times New Roman" w:eastAsiaTheme="minorEastAsia" w:hAnsi="Times New Roman" w:cs="Times New Roman"/>
                <w:color w:val="000000"/>
                <w:sz w:val="20"/>
                <w:szCs w:val="20"/>
              </w:rPr>
              <w:t xml:space="preserve">Removing people from registration lists if they have not voted recently or confirmed their registration </w:t>
            </w:r>
          </w:p>
        </w:tc>
      </w:tr>
      <w:tr>
        <w:tblPrEx>
          <w:tblBorders>
            <w:top w:val="single" w:color="000000" w:sz="8" w:space="0"/>
            <w:left w:val="single" w:color="000000" w:sz="8" w:space="0"/>
            <w:bottom w:val="single" w:color="000000" w:sz="8" w:space="0"/>
            <w:right w:val="single" w:color="000000" w:sz="8" w:space="0"/>
          </w:tblBorders>
        </w:tblPrEx>
        <w:trPr>
          <w:trHeight w:hRule="atLeast" w:val="20"/>
        </w:trPr>
        <w:tc>
          <w:tcPr>
            <w:tcW w:type="pct" w:w="5000"/>
            <w:tcBorders>
              <w:right w:val="single" w:color="BFBFBF" w:sz="4" w:space="0"/>
            </w:tcBorders>
            <w:shd w:fill="auto" w:color="auto"/>
            <w:vAlign w:val="center"/>
          </w:tcPr>
          <w:p>
            <w:pPr>
              <w:pBdr/>
              <w:pStyle w:val="Normal"/>
              <w:keepNext/>
              <w:spacing w:after="0" w:line="240" w:lineRule="auto"/>
              <w:ind/>
              <w:jc w:val="left"/>
              <w:rPr>
                <w:rFonts w:ascii="Times New Roman" w:eastAsiaTheme="minorEastAsia" w:hAnsi="Times New Roman" w:cs="Times New Roman"/>
                <w:color w:val="000000"/>
                <w:sz w:val="20"/>
                <w:szCs w:val="20"/>
              </w:rPr>
            </w:pPr>
            <w:r>
              <w:rPr>
                <w:rFonts w:ascii="Times New Roman" w:eastAsiaTheme="minorEastAsia" w:hAnsi="Times New Roman" w:cs="Times New Roman"/>
                <w:color w:val="000000"/>
                <w:sz w:val="20"/>
                <w:szCs w:val="20"/>
              </w:rPr>
              <w:t xml:space="preserve">Requiring all voters to provide valid government issued photo identification </w:t>
            </w:r>
          </w:p>
        </w:tc>
      </w:tr>
      <w:tr>
        <w:tblPrEx>
          <w:tblBorders>
            <w:top w:val="single" w:color="000000" w:sz="8" w:space="0"/>
            <w:left w:val="single" w:color="000000" w:sz="8" w:space="0"/>
            <w:bottom w:val="single" w:color="000000" w:sz="8" w:space="0"/>
            <w:right w:val="single" w:color="000000" w:sz="8" w:space="0"/>
          </w:tblBorders>
        </w:tblPrEx>
        <w:trPr>
          <w:trHeight w:hRule="atLeast" w:val="20"/>
        </w:trPr>
        <w:tc>
          <w:tcPr>
            <w:tcW w:type="pct" w:w="5000"/>
            <w:tcBorders>
              <w:right w:val="single" w:color="BFBFBF" w:sz="4" w:space="0"/>
            </w:tcBorders>
            <w:shd w:fill="auto" w:color="auto"/>
            <w:vAlign w:val="center"/>
          </w:tcPr>
          <w:p>
            <w:pPr>
              <w:pBdr/>
              <w:pStyle w:val="Normal"/>
              <w:keepNext/>
              <w:spacing w:after="0" w:line="240" w:lineRule="auto"/>
              <w:ind/>
              <w:jc w:val="left"/>
              <w:rPr>
                <w:rFonts w:ascii="Times New Roman" w:eastAsiaTheme="minorEastAsia" w:hAnsi="Times New Roman" w:cs="Times New Roman"/>
                <w:color w:val="000000"/>
                <w:sz w:val="20"/>
                <w:szCs w:val="20"/>
              </w:rPr>
            </w:pPr>
            <w:r>
              <w:rPr>
                <w:rFonts w:ascii="Times New Roman" w:eastAsiaTheme="minorEastAsia" w:hAnsi="Times New Roman" w:cs="Times New Roman"/>
                <w:color w:val="000000"/>
                <w:sz w:val="20"/>
                <w:szCs w:val="20"/>
              </w:rPr>
              <w:t xml:space="preserve">Allowing any voter the option to vote early or absentee without having to document a reason. (Reverse coded)</w:t>
            </w:r>
          </w:p>
        </w:tc>
      </w:tr>
      <w:tr>
        <w:tblPrEx>
          <w:tblBorders>
            <w:top w:val="single" w:color="000000" w:sz="8" w:space="0"/>
            <w:left w:val="single" w:color="000000" w:sz="8" w:space="0"/>
            <w:bottom w:val="single" w:color="000000" w:sz="8" w:space="0"/>
            <w:right w:val="single" w:color="000000" w:sz="8" w:space="0"/>
          </w:tblBorders>
        </w:tblPrEx>
        <w:trPr>
          <w:trHeight w:hRule="atLeast" w:val="20"/>
        </w:trPr>
        <w:tc>
          <w:tcPr>
            <w:tcW w:type="pct" w:w="5000"/>
            <w:tcBorders>
              <w:bottom w:val="single" w:color="000000" w:sz="8" w:space="0"/>
              <w:right w:val="single" w:color="BFBFBF" w:sz="4" w:space="0"/>
            </w:tcBorders>
            <w:shd w:fill="auto" w:color="auto"/>
            <w:vAlign w:val="center"/>
          </w:tcPr>
          <w:p>
            <w:pPr>
              <w:pBdr/>
              <w:pStyle w:val="Normal"/>
              <w:keepNext/>
              <w:spacing w:after="0" w:line="240" w:lineRule="auto"/>
              <w:ind/>
              <w:jc w:val="left"/>
              <w:rPr>
                <w:rFonts w:ascii="Times New Roman" w:eastAsiaTheme="minorEastAsia" w:hAnsi="Times New Roman" w:cs="Times New Roman"/>
                <w:color w:val="000000"/>
                <w:sz w:val="20"/>
                <w:szCs w:val="20"/>
              </w:rPr>
            </w:pPr>
            <w:r>
              <w:rPr>
                <w:rFonts w:ascii="Times New Roman" w:eastAsiaTheme="minorEastAsia" w:hAnsi="Times New Roman" w:cs="Times New Roman"/>
                <w:color w:val="000000"/>
                <w:sz w:val="20"/>
                <w:szCs w:val="20"/>
              </w:rPr>
              <w:t xml:space="preserve">Distributing voter registration information to individuals of voting age being released from jails (Reverse coded)</w:t>
            </w:r>
          </w:p>
        </w:tc>
      </w:tr>
      <w:tr>
        <w:tblPrEx>
          <w:tblBorders>
            <w:top w:val="single" w:color="000000" w:sz="8" w:space="0"/>
            <w:left w:val="single" w:color="000000" w:sz="8" w:space="0"/>
            <w:bottom w:val="single" w:color="000000" w:sz="8" w:space="0"/>
            <w:right w:val="single" w:color="000000" w:sz="8" w:space="0"/>
          </w:tblBorders>
        </w:tblPrEx>
        <w:trPr>
          <w:trHeight w:hRule="atLeast" w:val="20"/>
        </w:trPr>
        <w:tc>
          <w:tcPr>
            <w:tcW w:type="pct" w:w="5000"/>
            <w:tcBorders>
              <w:top w:val="single" w:color="000000" w:sz="8" w:space="0"/>
              <w:bottom w:val="single" w:color="000000" w:sz="8" w:space="0"/>
              <w:right w:val="single" w:color="BFBFBF" w:sz="4" w:space="0"/>
            </w:tcBorders>
            <w:shd w:fill="auto" w:color="auto"/>
            <w:vAlign w:val="center"/>
          </w:tcPr>
          <w:p>
            <w:pPr>
              <w:pBdr/>
              <w:pStyle w:val="Normal"/>
              <w:keepNext/>
              <w:spacing w:after="0" w:line="240" w:lineRule="auto"/>
              <w:ind/>
              <w:jc w:val="center"/>
              <w:rPr>
                <w:rFonts w:ascii="Times New Roman" w:eastAsiaTheme="minorEastAsia" w:hAnsi="Times New Roman" w:cs="Times New Roman"/>
                <w:b/>
                <w:bCs/>
                <w:i/>
                <w:iCs/>
                <w:color w:val="000000"/>
                <w:sz w:val="20"/>
                <w:szCs w:val="20"/>
                <w:u w:val="single"/>
              </w:rPr>
            </w:pPr>
            <w:r>
              <w:rPr>
                <w:rFonts w:ascii="Times New Roman" w:eastAsiaTheme="minorEastAsia" w:hAnsi="Times New Roman" w:cs="Times New Roman"/>
                <w:b/>
                <w:bCs/>
                <w:i/>
                <w:iCs/>
                <w:color w:val="000000"/>
                <w:sz w:val="20"/>
                <w:szCs w:val="20"/>
                <w:u w:val="single"/>
              </w:rPr>
              <w:t xml:space="preserve">SNAP Items</w:t>
            </w:r>
          </w:p>
        </w:tc>
      </w:tr>
      <w:tr>
        <w:tblPrEx>
          <w:tblBorders>
            <w:top w:val="single" w:color="000000" w:sz="8" w:space="0"/>
            <w:left w:val="single" w:color="000000" w:sz="8" w:space="0"/>
            <w:bottom w:val="single" w:color="000000" w:sz="8" w:space="0"/>
            <w:right w:val="single" w:color="000000" w:sz="8" w:space="0"/>
          </w:tblBorders>
        </w:tblPrEx>
        <w:trPr>
          <w:trHeight w:hRule="atLeast" w:val="20"/>
        </w:trPr>
        <w:tc>
          <w:tcPr>
            <w:tcW w:type="pct" w:w="5000"/>
            <w:tcBorders>
              <w:top w:val="single" w:color="000000" w:sz="8" w:space="0"/>
              <w:right w:val="single" w:color="BFBFBF" w:sz="4" w:space="0"/>
            </w:tcBorders>
            <w:shd w:fill="auto" w:color="auto"/>
            <w:vAlign w:val="center"/>
          </w:tcPr>
          <w:p>
            <w:pPr>
              <w:pBdr/>
              <w:pStyle w:val="Normal"/>
              <w:keepNext/>
              <w:spacing w:after="0" w:line="240" w:lineRule="auto"/>
              <w:ind/>
              <w:jc w:val="left"/>
              <w:rPr>
                <w:rFonts w:ascii="Times New Roman" w:eastAsiaTheme="minorEastAsia" w:hAnsi="Times New Roman" w:cs="Times New Roman"/>
                <w:color w:val="000000"/>
                <w:sz w:val="20"/>
                <w:szCs w:val="20"/>
              </w:rPr>
            </w:pPr>
            <w:r>
              <w:rPr>
                <w:rFonts w:ascii="Times New Roman" w:eastAsiaTheme="minorEastAsia" w:hAnsi="Times New Roman" w:cs="Times New Roman"/>
                <w:color w:val="000000"/>
                <w:sz w:val="20"/>
                <w:szCs w:val="20"/>
              </w:rPr>
              <w:t xml:space="preserve">Requiring beneficiaries to submit regular drug testing </w:t>
            </w:r>
          </w:p>
        </w:tc>
      </w:tr>
      <w:tr>
        <w:tblPrEx>
          <w:tblBorders>
            <w:top w:val="single" w:color="000000" w:sz="8" w:space="0"/>
            <w:left w:val="single" w:color="000000" w:sz="8" w:space="0"/>
            <w:bottom w:val="single" w:color="000000" w:sz="8" w:space="0"/>
            <w:right w:val="single" w:color="000000" w:sz="8" w:space="0"/>
          </w:tblBorders>
        </w:tblPrEx>
        <w:trPr>
          <w:trHeight w:hRule="atLeast" w:val="20"/>
        </w:trPr>
        <w:tc>
          <w:tcPr>
            <w:tcW w:type="pct" w:w="5000"/>
            <w:tcBorders>
              <w:right w:val="single" w:color="BFBFBF" w:sz="4" w:space="0"/>
            </w:tcBorders>
            <w:shd w:fill="auto" w:color="auto"/>
            <w:vAlign w:val="center"/>
          </w:tcPr>
          <w:p>
            <w:pPr>
              <w:pBdr/>
              <w:pStyle w:val="Normal"/>
              <w:keepNext/>
              <w:spacing w:after="0" w:line="240" w:lineRule="auto"/>
              <w:ind/>
              <w:jc w:val="left"/>
              <w:rPr>
                <w:rFonts w:ascii="Times New Roman" w:eastAsiaTheme="minorEastAsia" w:hAnsi="Times New Roman" w:cs="Times New Roman"/>
                <w:color w:val="000000"/>
                <w:sz w:val="20"/>
                <w:szCs w:val="20"/>
              </w:rPr>
            </w:pPr>
            <w:r>
              <w:rPr>
                <w:rFonts w:ascii="Times New Roman" w:eastAsiaTheme="minorEastAsia" w:hAnsi="Times New Roman" w:cs="Times New Roman"/>
                <w:color w:val="000000"/>
                <w:sz w:val="20"/>
                <w:szCs w:val="20"/>
              </w:rPr>
              <w:t xml:space="preserve">Requiring that applicants complete an in-person certification interview with a caseworker before they can enroll in the program</w:t>
            </w:r>
          </w:p>
        </w:tc>
      </w:tr>
      <w:tr>
        <w:tblPrEx>
          <w:tblBorders>
            <w:top w:val="single" w:color="000000" w:sz="8" w:space="0"/>
            <w:left w:val="single" w:color="000000" w:sz="8" w:space="0"/>
            <w:bottom w:val="single" w:color="000000" w:sz="8" w:space="0"/>
            <w:right w:val="single" w:color="000000" w:sz="8" w:space="0"/>
          </w:tblBorders>
        </w:tblPrEx>
        <w:trPr>
          <w:trHeight w:hRule="atLeast" w:val="20"/>
        </w:trPr>
        <w:tc>
          <w:tcPr>
            <w:tcW w:type="pct" w:w="5000"/>
            <w:tcBorders>
              <w:right w:val="single" w:color="BFBFBF" w:sz="4" w:space="0"/>
            </w:tcBorders>
            <w:shd w:fill="auto" w:color="auto"/>
            <w:vAlign w:val="center"/>
          </w:tcPr>
          <w:p>
            <w:pPr>
              <w:pBdr/>
              <w:pStyle w:val="Normal"/>
              <w:keepNext/>
              <w:spacing w:after="0" w:line="240" w:lineRule="auto"/>
              <w:ind/>
              <w:jc w:val="left"/>
              <w:rPr>
                <w:rFonts w:ascii="Times New Roman" w:eastAsiaTheme="minorEastAsia" w:hAnsi="Times New Roman" w:cs="Times New Roman"/>
                <w:color w:val="000000"/>
                <w:sz w:val="20"/>
                <w:szCs w:val="20"/>
              </w:rPr>
            </w:pPr>
            <w:r>
              <w:rPr>
                <w:rFonts w:ascii="Times New Roman" w:eastAsiaTheme="minorEastAsia" w:hAnsi="Times New Roman" w:cs="Times New Roman"/>
                <w:color w:val="000000"/>
                <w:sz w:val="20"/>
                <w:szCs w:val="20"/>
              </w:rPr>
              <w:t xml:space="preserve">Requiring beneficiaries to attend regular meetings with a caseworker to discuss their job search efforts </w:t>
            </w:r>
          </w:p>
        </w:tc>
      </w:tr>
      <w:tr>
        <w:tblPrEx>
          <w:tblBorders>
            <w:top w:val="single" w:color="000000" w:sz="8" w:space="0"/>
            <w:left w:val="single" w:color="000000" w:sz="8" w:space="0"/>
            <w:bottom w:val="single" w:color="000000" w:sz="8" w:space="0"/>
            <w:right w:val="single" w:color="000000" w:sz="8" w:space="0"/>
          </w:tblBorders>
        </w:tblPrEx>
        <w:trPr>
          <w:trHeight w:hRule="atLeast" w:val="20"/>
        </w:trPr>
        <w:tc>
          <w:tcPr>
            <w:tcW w:type="pct" w:w="5000"/>
            <w:tcBorders>
              <w:right w:val="single" w:color="BFBFBF" w:sz="4" w:space="0"/>
            </w:tcBorders>
            <w:shd w:fill="auto" w:color="auto"/>
            <w:vAlign w:val="center"/>
          </w:tcPr>
          <w:p>
            <w:pPr>
              <w:pBdr/>
              <w:pStyle w:val="Normal"/>
              <w:keepNext/>
              <w:spacing w:after="0" w:line="240" w:lineRule="auto"/>
              <w:ind/>
              <w:jc w:val="left"/>
              <w:rPr>
                <w:rFonts w:ascii="Times New Roman" w:eastAsiaTheme="minorEastAsia" w:hAnsi="Times New Roman" w:cs="Times New Roman"/>
                <w:color w:val="000000"/>
                <w:sz w:val="20"/>
                <w:szCs w:val="20"/>
              </w:rPr>
            </w:pPr>
            <w:r>
              <w:rPr>
                <w:rFonts w:ascii="Times New Roman" w:eastAsiaTheme="minorEastAsia" w:hAnsi="Times New Roman" w:cs="Times New Roman"/>
                <w:color w:val="000000"/>
                <w:sz w:val="20"/>
                <w:szCs w:val="20"/>
              </w:rPr>
              <w:t xml:space="preserve">Providing flexible scheduling for certification interviews by allowing applicants to call anytime within business hours and complete the caseworker interview over the phone (Reverse coded)</w:t>
            </w:r>
          </w:p>
        </w:tc>
      </w:tr>
      <w:tr>
        <w:tblPrEx>
          <w:tblBorders>
            <w:top w:val="single" w:color="000000" w:sz="8" w:space="0"/>
            <w:left w:val="single" w:color="000000" w:sz="8" w:space="0"/>
            <w:bottom w:val="single" w:color="000000" w:sz="8" w:space="0"/>
            <w:right w:val="single" w:color="000000" w:sz="8" w:space="0"/>
          </w:tblBorders>
        </w:tblPrEx>
        <w:trPr>
          <w:trHeight w:hRule="atLeast" w:val="20"/>
        </w:trPr>
        <w:tc>
          <w:tcPr>
            <w:tcW w:type="pct" w:w="5000"/>
            <w:tcBorders>
              <w:right w:val="single" w:color="BFBFBF" w:sz="4" w:space="0"/>
            </w:tcBorders>
            <w:shd w:fill="auto" w:color="auto"/>
            <w:vAlign w:val="center"/>
          </w:tcPr>
          <w:p>
            <w:pPr>
              <w:pBdr/>
              <w:pStyle w:val="Normal"/>
              <w:keepNext/>
              <w:spacing w:after="0" w:line="240" w:lineRule="auto"/>
              <w:ind/>
              <w:jc w:val="left"/>
              <w:rPr>
                <w:rFonts w:ascii="Times New Roman" w:eastAsiaTheme="minorEastAsia" w:hAnsi="Times New Roman" w:cs="Times New Roman"/>
                <w:color w:val="000000"/>
                <w:sz w:val="20"/>
                <w:szCs w:val="20"/>
              </w:rPr>
            </w:pPr>
            <w:r>
              <w:rPr>
                <w:rFonts w:ascii="Times New Roman" w:eastAsiaTheme="minorEastAsia" w:hAnsi="Times New Roman" w:cs="Times New Roman"/>
                <w:color w:val="000000"/>
                <w:sz w:val="20"/>
                <w:szCs w:val="20"/>
              </w:rPr>
              <w:t xml:space="preserve">Sending text message alerts reminding recipients of the date and time when their caseworker interview is scheduled and the deadline for completing the interview before they lose SNAP benefits (Reverse Coded) </w:t>
            </w:r>
          </w:p>
          <w:p>
            <w:pPr>
              <w:pBdr/>
              <w:pStyle w:val="Normal"/>
              <w:keepNext/>
              <w:spacing w:after="0" w:line="240" w:lineRule="auto"/>
              <w:ind/>
              <w:jc w:val="left"/>
              <w:rPr>
                <w:rFonts w:ascii="Times New Roman" w:eastAsiaTheme="minorEastAsia" w:hAnsi="Times New Roman" w:cs="Times New Roman"/>
                <w:color w:val="000000"/>
                <w:sz w:val="20"/>
                <w:szCs w:val="20"/>
              </w:rPr>
            </w:pPr>
          </w:p>
          <w:p>
            <w:pPr>
              <w:pBdr/>
              <w:pStyle w:val="Normal"/>
              <w:keepNext/>
              <w:spacing w:after="0" w:line="240" w:lineRule="auto"/>
              <w:ind/>
              <w:jc w:val="left"/>
              <w:rPr>
                <w:rFonts w:ascii="Times New Roman" w:eastAsiaTheme="minorEastAsia" w:hAnsi="Times New Roman" w:cs="Times New Roman"/>
                <w:color w:val="000000"/>
                <w:sz w:val="20"/>
                <w:szCs w:val="20"/>
              </w:rPr>
            </w:pPr>
            <w:r>
              <w:rPr>
                <w:rFonts w:ascii="Times New Roman" w:eastAsiaTheme="minorEastAsia" w:hAnsi="Times New Roman" w:cs="Times New Roman"/>
                <w:color w:val="000000"/>
                <w:sz w:val="20"/>
                <w:szCs w:val="20"/>
              </w:rPr>
              <w:t xml:space="preserve">Requiring that recipients provide documentation every 6 months to prove they meet the criteria needed to be eligible for SNAP benefits (work, income, household size, housing and medical expenses, etc.)</w:t>
            </w:r>
          </w:p>
        </w:tc>
      </w:tr>
      <w:tr>
        <w:tblPrEx>
          <w:tblBorders>
            <w:top w:val="single" w:color="000000" w:sz="8" w:space="0"/>
            <w:left w:val="single" w:color="000000" w:sz="8" w:space="0"/>
            <w:bottom w:val="single" w:color="000000" w:sz="8" w:space="0"/>
            <w:right w:val="single" w:color="000000" w:sz="8" w:space="0"/>
          </w:tblBorders>
        </w:tblPrEx>
        <w:trPr>
          <w:trHeight w:hRule="atLeast" w:val="20"/>
        </w:trPr>
        <w:tc>
          <w:tcPr>
            <w:tcW w:type="pct" w:w="5000"/>
            <w:tcBorders>
              <w:right w:val="single" w:color="BFBFBF" w:sz="4" w:space="0"/>
            </w:tcBorders>
            <w:shd w:fill="auto" w:color="auto"/>
            <w:vAlign w:val="center"/>
          </w:tcPr>
          <w:p>
            <w:pPr>
              <w:pBdr/>
              <w:pStyle w:val="Normal"/>
              <w:keepNext/>
              <w:spacing w:after="0" w:line="240" w:lineRule="auto"/>
              <w:ind/>
              <w:jc w:val="left"/>
              <w:rPr>
                <w:rFonts w:ascii="Times New Roman" w:eastAsiaTheme="minorEastAsia" w:hAnsi="Times New Roman" w:cs="Times New Roman"/>
                <w:color w:val="000000"/>
                <w:sz w:val="20"/>
                <w:szCs w:val="20"/>
              </w:rPr>
            </w:pPr>
            <w:r>
              <w:rPr>
                <w:rFonts w:ascii="Times New Roman" w:eastAsiaTheme="minorEastAsia" w:hAnsi="Times New Roman" w:cs="Times New Roman"/>
                <w:color w:val="000000"/>
                <w:sz w:val="20"/>
                <w:szCs w:val="20"/>
              </w:rPr>
              <w:t xml:space="preserve">Restricting grocery items that food stamps can be used to purchase</w:t>
            </w:r>
          </w:p>
        </w:tc>
      </w:tr>
      <w:tr>
        <w:tblPrEx>
          <w:tblBorders>
            <w:top w:val="single" w:color="000000" w:sz="8" w:space="0"/>
            <w:left w:val="single" w:color="000000" w:sz="8" w:space="0"/>
            <w:bottom w:val="single" w:color="000000" w:sz="8" w:space="0"/>
            <w:right w:val="single" w:color="000000" w:sz="8" w:space="0"/>
          </w:tblBorders>
        </w:tblPrEx>
        <w:trPr>
          <w:trHeight w:hRule="atLeast" w:val="20"/>
        </w:trPr>
        <w:tc>
          <w:tcPr>
            <w:tcW w:type="pct" w:w="5000"/>
            <w:tcBorders>
              <w:right w:val="single" w:color="BFBFBF" w:sz="4" w:space="0"/>
            </w:tcBorders>
            <w:shd w:fill="auto" w:color="auto"/>
            <w:vAlign w:val="center"/>
          </w:tcPr>
          <w:p>
            <w:pPr>
              <w:pBdr/>
              <w:pStyle w:val="Normal"/>
              <w:keepNext/>
              <w:spacing w:after="0" w:line="240" w:lineRule="auto"/>
              <w:ind/>
              <w:jc w:val="left"/>
              <w:rPr>
                <w:rFonts w:ascii="Times New Roman" w:eastAsiaTheme="minorEastAsia" w:hAnsi="Times New Roman" w:cs="Times New Roman"/>
                <w:color w:val="000000"/>
                <w:sz w:val="20"/>
                <w:szCs w:val="20"/>
              </w:rPr>
            </w:pPr>
            <w:r>
              <w:rPr>
                <w:rFonts w:ascii="Times New Roman" w:eastAsiaTheme="minorEastAsia" w:hAnsi="Times New Roman" w:cs="Times New Roman"/>
                <w:color w:val="000000"/>
                <w:sz w:val="20"/>
                <w:szCs w:val="20"/>
              </w:rPr>
              <w:t xml:space="preserve">Launching a mobile phone app designed to make collecting food items from a food bank anonymous and convenient (Reverse Coded)</w:t>
            </w:r>
          </w:p>
        </w:tc>
      </w:tr>
      <w:tr>
        <w:tblPrEx>
          <w:tblBorders>
            <w:top w:val="single" w:color="000000" w:sz="8" w:space="0"/>
            <w:left w:val="single" w:color="000000" w:sz="8" w:space="0"/>
            <w:bottom w:val="single" w:color="000000" w:sz="8" w:space="0"/>
            <w:right w:val="single" w:color="000000" w:sz="8" w:space="0"/>
          </w:tblBorders>
        </w:tblPrEx>
        <w:trPr>
          <w:trHeight w:hRule="atLeast" w:val="20"/>
        </w:trPr>
        <w:tc>
          <w:tcPr>
            <w:tcW w:type="pct" w:w="5000"/>
            <w:tcBorders>
              <w:bottom w:val="single" w:color="000000" w:sz="8" w:space="0"/>
              <w:right w:val="single" w:color="BFBFBF" w:sz="4" w:space="0"/>
            </w:tcBorders>
            <w:shd w:fill="auto" w:color="auto"/>
            <w:vAlign w:val="center"/>
          </w:tcPr>
          <w:p>
            <w:pPr>
              <w:pBdr/>
              <w:pStyle w:val="Normal"/>
              <w:keepNext/>
              <w:spacing w:after="0" w:line="240" w:lineRule="auto"/>
              <w:ind/>
              <w:jc w:val="left"/>
              <w:rPr>
                <w:rFonts w:ascii="Times New Roman" w:eastAsiaTheme="minorEastAsia" w:hAnsi="Times New Roman" w:cs="Times New Roman"/>
                <w:color w:val="000000"/>
                <w:sz w:val="20"/>
                <w:szCs w:val="20"/>
              </w:rPr>
            </w:pPr>
            <w:r>
              <w:rPr>
                <w:rFonts w:ascii="Times New Roman" w:eastAsiaTheme="minorEastAsia" w:hAnsi="Times New Roman" w:cs="Times New Roman"/>
                <w:color w:val="000000"/>
                <w:sz w:val="20"/>
                <w:szCs w:val="20"/>
              </w:rPr>
              <w:t xml:space="preserve">Automatically contacting people who enrolled in Medicaid but not SNAP to inform them that they likely qualify for SNAP benefits (Reverse Coded)</w:t>
            </w:r>
          </w:p>
        </w:tc>
      </w:tr>
      <w:tr>
        <w:tblPrEx>
          <w:tblBorders>
            <w:top w:val="single" w:color="000000" w:sz="8" w:space="0"/>
            <w:left w:val="single" w:color="000000" w:sz="8" w:space="0"/>
            <w:bottom w:val="single" w:color="000000" w:sz="8" w:space="0"/>
            <w:right w:val="single" w:color="000000" w:sz="8" w:space="0"/>
          </w:tblBorders>
        </w:tblPrEx>
        <w:trPr>
          <w:trHeight w:hRule="atLeast" w:val="20"/>
        </w:trPr>
        <w:tc>
          <w:tcPr>
            <w:tcW w:type="pct" w:w="5000"/>
            <w:tcBorders>
              <w:top w:val="single" w:color="000000" w:sz="8" w:space="0"/>
              <w:bottom w:val="single" w:color="000000" w:sz="8" w:space="0"/>
              <w:right w:val="single" w:color="BFBFBF" w:sz="4" w:space="0"/>
            </w:tcBorders>
            <w:shd w:fill="auto" w:color="auto"/>
            <w:vAlign w:val="center"/>
          </w:tcPr>
          <w:p>
            <w:pPr>
              <w:pBdr/>
              <w:pStyle w:val="Normal"/>
              <w:keepNext/>
              <w:spacing w:after="0" w:line="240" w:lineRule="auto"/>
              <w:ind/>
              <w:jc w:val="center"/>
              <w:rPr>
                <w:rFonts w:ascii="Times New Roman" w:eastAsiaTheme="minorEastAsia" w:hAnsi="Times New Roman" w:cs="Times New Roman"/>
                <w:b/>
                <w:bCs/>
                <w:i/>
                <w:iCs/>
                <w:color w:val="000000"/>
                <w:sz w:val="20"/>
                <w:szCs w:val="20"/>
                <w:u w:val="single"/>
              </w:rPr>
            </w:pPr>
            <w:r>
              <w:rPr>
                <w:rFonts w:ascii="Times New Roman" w:eastAsiaTheme="minorEastAsia" w:hAnsi="Times New Roman" w:cs="Times New Roman"/>
                <w:b/>
                <w:bCs/>
                <w:i/>
                <w:iCs/>
                <w:color w:val="000000"/>
                <w:sz w:val="20"/>
                <w:szCs w:val="20"/>
                <w:u w:val="single"/>
              </w:rPr>
              <w:t xml:space="preserve">Gun Ownership Items</w:t>
            </w:r>
          </w:p>
        </w:tc>
      </w:tr>
      <w:tr>
        <w:tblPrEx>
          <w:tblBorders>
            <w:top w:val="single" w:color="000000" w:sz="8" w:space="0"/>
            <w:left w:val="single" w:color="000000" w:sz="8" w:space="0"/>
            <w:bottom w:val="single" w:color="000000" w:sz="8" w:space="0"/>
            <w:right w:val="single" w:color="000000" w:sz="8" w:space="0"/>
          </w:tblBorders>
        </w:tblPrEx>
        <w:trPr>
          <w:trHeight w:hRule="atLeast" w:val="20"/>
        </w:trPr>
        <w:tc>
          <w:tcPr>
            <w:tcW w:type="pct" w:w="5000"/>
            <w:tcBorders>
              <w:top w:val="single" w:color="000000" w:sz="8" w:space="0"/>
              <w:right w:val="single" w:color="BFBFBF" w:sz="4" w:space="0"/>
            </w:tcBorders>
            <w:shd w:fill="auto" w:color="auto"/>
            <w:vAlign w:val="center"/>
          </w:tcPr>
          <w:p>
            <w:pPr>
              <w:pBdr/>
              <w:pStyle w:val="Normal"/>
              <w:keepNext/>
              <w:spacing w:after="0" w:line="240" w:lineRule="auto"/>
              <w:ind/>
              <w:jc w:val="left"/>
              <w:rPr>
                <w:rFonts w:ascii="Times New Roman" w:eastAsiaTheme="minorEastAsia" w:hAnsi="Times New Roman" w:cs="Times New Roman"/>
                <w:color w:val="000000"/>
                <w:sz w:val="20"/>
                <w:szCs w:val="20"/>
              </w:rPr>
            </w:pPr>
            <w:r>
              <w:rPr>
                <w:rFonts w:ascii="Times New Roman" w:eastAsiaTheme="minorEastAsia" w:hAnsi="Times New Roman" w:cs="Times New Roman"/>
                <w:color w:val="000000"/>
                <w:sz w:val="20"/>
                <w:szCs w:val="20"/>
              </w:rPr>
              <w:t xml:space="preserve">Requiring first-time gun purchasers to take a safety course on safe handling and storage before buying a gun </w:t>
            </w:r>
          </w:p>
        </w:tc>
      </w:tr>
      <w:tr>
        <w:tblPrEx>
          <w:tblBorders>
            <w:top w:val="single" w:color="000000" w:sz="8" w:space="0"/>
            <w:left w:val="single" w:color="000000" w:sz="8" w:space="0"/>
            <w:bottom w:val="single" w:color="000000" w:sz="8" w:space="0"/>
            <w:right w:val="single" w:color="000000" w:sz="8" w:space="0"/>
          </w:tblBorders>
        </w:tblPrEx>
        <w:trPr>
          <w:trHeight w:hRule="atLeast" w:val="20"/>
        </w:trPr>
        <w:tc>
          <w:tcPr>
            <w:tcW w:type="pct" w:w="5000"/>
            <w:tcBorders>
              <w:right w:val="single" w:color="BFBFBF" w:sz="4" w:space="0"/>
            </w:tcBorders>
            <w:shd w:fill="auto" w:color="auto"/>
            <w:vAlign w:val="center"/>
          </w:tcPr>
          <w:p>
            <w:pPr>
              <w:pBdr/>
              <w:pStyle w:val="Normal"/>
              <w:keepNext/>
              <w:spacing w:after="0" w:line="240" w:lineRule="auto"/>
              <w:ind/>
              <w:jc w:val="left"/>
              <w:rPr>
                <w:rFonts w:ascii="Times New Roman" w:eastAsiaTheme="minorEastAsia" w:hAnsi="Times New Roman" w:cs="Times New Roman"/>
                <w:color w:val="000000"/>
                <w:sz w:val="20"/>
                <w:szCs w:val="20"/>
              </w:rPr>
            </w:pPr>
            <w:r>
              <w:rPr>
                <w:rFonts w:ascii="Times New Roman" w:eastAsiaTheme="minorEastAsia" w:hAnsi="Times New Roman" w:cs="Times New Roman"/>
                <w:color w:val="000000"/>
                <w:sz w:val="20"/>
                <w:szCs w:val="20"/>
              </w:rPr>
              <w:t xml:space="preserve">Requiring a person who has applied for a license to carry a concealed gun in public to pass a test demonstrating that they can safely and lawfully handle a gun in common situations they might encounter </w:t>
            </w:r>
          </w:p>
        </w:tc>
      </w:tr>
      <w:tr>
        <w:tblPrEx>
          <w:tblBorders>
            <w:top w:val="single" w:color="000000" w:sz="8" w:space="0"/>
            <w:left w:val="single" w:color="000000" w:sz="8" w:space="0"/>
            <w:bottom w:val="single" w:color="000000" w:sz="8" w:space="0"/>
            <w:right w:val="single" w:color="000000" w:sz="8" w:space="0"/>
          </w:tblBorders>
        </w:tblPrEx>
        <w:trPr>
          <w:trHeight w:hRule="atLeast" w:val="20"/>
        </w:trPr>
        <w:tc>
          <w:tcPr>
            <w:tcW w:type="pct" w:w="5000"/>
            <w:tcBorders>
              <w:right w:val="single" w:color="BFBFBF" w:sz="4" w:space="0"/>
            </w:tcBorders>
            <w:shd w:fill="auto" w:color="auto"/>
            <w:vAlign w:val="center"/>
          </w:tcPr>
          <w:p>
            <w:pPr>
              <w:pBdr/>
              <w:pStyle w:val="Normal"/>
              <w:keepNext/>
              <w:spacing w:after="0" w:line="240" w:lineRule="auto"/>
              <w:ind/>
              <w:jc w:val="left"/>
              <w:rPr>
                <w:rFonts w:ascii="Times New Roman" w:eastAsiaTheme="minorEastAsia" w:hAnsi="Times New Roman" w:cs="Times New Roman"/>
                <w:color w:val="000000"/>
                <w:sz w:val="20"/>
                <w:szCs w:val="20"/>
              </w:rPr>
            </w:pPr>
            <w:r>
              <w:rPr>
                <w:rFonts w:ascii="Times New Roman" w:eastAsiaTheme="minorEastAsia" w:hAnsi="Times New Roman" w:cs="Times New Roman"/>
                <w:color w:val="000000"/>
                <w:sz w:val="20"/>
                <w:szCs w:val="20"/>
              </w:rPr>
              <w:t xml:space="preserve">Requiring background checks for purchase of ammunition in addition to firearms</w:t>
            </w:r>
          </w:p>
        </w:tc>
      </w:tr>
      <w:tr>
        <w:tblPrEx>
          <w:tblBorders>
            <w:top w:val="single" w:color="000000" w:sz="8" w:space="0"/>
            <w:left w:val="single" w:color="000000" w:sz="8" w:space="0"/>
            <w:bottom w:val="single" w:color="000000" w:sz="8" w:space="0"/>
            <w:right w:val="single" w:color="000000" w:sz="8" w:space="0"/>
          </w:tblBorders>
        </w:tblPrEx>
        <w:trPr>
          <w:trHeight w:hRule="atLeast" w:val="20"/>
        </w:trPr>
        <w:tc>
          <w:tcPr>
            <w:tcW w:type="pct" w:w="5000"/>
            <w:tcBorders>
              <w:right w:val="single" w:color="BFBFBF" w:sz="4" w:space="0"/>
            </w:tcBorders>
            <w:shd w:fill="auto" w:color="auto"/>
            <w:vAlign w:val="center"/>
          </w:tcPr>
          <w:p>
            <w:pPr>
              <w:pBdr/>
              <w:pStyle w:val="Normal"/>
              <w:keepNext/>
              <w:spacing w:after="0" w:line="240" w:lineRule="auto"/>
              <w:ind/>
              <w:jc w:val="left"/>
              <w:rPr>
                <w:rFonts w:ascii="Times New Roman" w:eastAsiaTheme="minorEastAsia" w:hAnsi="Times New Roman" w:cs="Times New Roman"/>
                <w:color w:val="000000"/>
                <w:sz w:val="20"/>
                <w:szCs w:val="20"/>
              </w:rPr>
            </w:pPr>
            <w:r>
              <w:rPr>
                <w:rFonts w:ascii="Times New Roman" w:eastAsiaTheme="minorEastAsia" w:hAnsi="Times New Roman" w:cs="Times New Roman"/>
                <w:color w:val="000000"/>
                <w:sz w:val="20"/>
                <w:szCs w:val="20"/>
              </w:rPr>
              <w:t xml:space="preserve">Requiring those purchasing a firearm to pay a small fee (less than $10) to pay for a background check </w:t>
            </w:r>
          </w:p>
        </w:tc>
      </w:tr>
      <w:tr>
        <w:tblPrEx>
          <w:tblBorders>
            <w:top w:val="single" w:color="000000" w:sz="8" w:space="0"/>
            <w:left w:val="single" w:color="000000" w:sz="8" w:space="0"/>
            <w:bottom w:val="single" w:color="000000" w:sz="8" w:space="0"/>
            <w:right w:val="single" w:color="000000" w:sz="8" w:space="0"/>
          </w:tblBorders>
        </w:tblPrEx>
        <w:trPr>
          <w:trHeight w:hRule="atLeast" w:val="20"/>
        </w:trPr>
        <w:tc>
          <w:tcPr>
            <w:tcW w:type="pct" w:w="5000"/>
            <w:tcBorders>
              <w:right w:val="single" w:color="BFBFBF" w:sz="4" w:space="0"/>
            </w:tcBorders>
            <w:shd w:fill="auto" w:color="auto"/>
            <w:vAlign w:val="center"/>
          </w:tcPr>
          <w:p>
            <w:pPr>
              <w:pBdr/>
              <w:pStyle w:val="Normal"/>
              <w:keepNext/>
              <w:spacing w:after="0" w:line="240" w:lineRule="auto"/>
              <w:ind/>
              <w:jc w:val="left"/>
              <w:rPr>
                <w:rFonts w:ascii="Times New Roman" w:eastAsiaTheme="minorEastAsia" w:hAnsi="Times New Roman" w:cs="Times New Roman"/>
                <w:color w:val="000000"/>
                <w:sz w:val="20"/>
                <w:szCs w:val="20"/>
              </w:rPr>
            </w:pPr>
            <w:r>
              <w:rPr>
                <w:rFonts w:ascii="Times New Roman" w:eastAsiaTheme="minorEastAsia" w:hAnsi="Times New Roman" w:cs="Times New Roman"/>
                <w:color w:val="000000"/>
                <w:sz w:val="20"/>
                <w:szCs w:val="20"/>
              </w:rPr>
              <w:t xml:space="preserve">Requiring a waiting period of at least 7 days before purchase of handguns or assault weapons. </w:t>
            </w:r>
          </w:p>
        </w:tc>
      </w:tr>
      <w:tr>
        <w:tblPrEx>
          <w:tblBorders>
            <w:top w:val="single" w:color="000000" w:sz="8" w:space="0"/>
            <w:left w:val="single" w:color="000000" w:sz="8" w:space="0"/>
            <w:bottom w:val="single" w:color="000000" w:sz="8" w:space="0"/>
            <w:right w:val="single" w:color="000000" w:sz="8" w:space="0"/>
          </w:tblBorders>
        </w:tblPrEx>
        <w:trPr>
          <w:trHeight w:hRule="atLeast" w:val="20"/>
        </w:trPr>
        <w:tc>
          <w:tcPr>
            <w:tcW w:type="pct" w:w="5000"/>
            <w:tcBorders>
              <w:right w:val="single" w:color="BFBFBF" w:sz="4" w:space="0"/>
            </w:tcBorders>
            <w:shd w:fill="auto" w:color="auto"/>
            <w:vAlign w:val="center"/>
          </w:tcPr>
          <w:p>
            <w:pPr>
              <w:pBdr/>
              <w:pStyle w:val="Normal"/>
              <w:keepNext/>
              <w:spacing w:after="0" w:line="240" w:lineRule="auto"/>
              <w:ind/>
              <w:jc w:val="left"/>
              <w:rPr>
                <w:rFonts w:ascii="Times New Roman" w:eastAsiaTheme="minorEastAsia" w:hAnsi="Times New Roman" w:cs="Times New Roman"/>
                <w:color w:val="000000"/>
                <w:sz w:val="20"/>
                <w:szCs w:val="20"/>
              </w:rPr>
            </w:pPr>
            <w:r>
              <w:rPr>
                <w:rFonts w:ascii="Times New Roman" w:eastAsiaTheme="minorEastAsia" w:hAnsi="Times New Roman" w:cs="Times New Roman"/>
                <w:color w:val="000000"/>
                <w:sz w:val="20"/>
                <w:szCs w:val="20"/>
              </w:rPr>
              <w:t xml:space="preserve">Requiring a waiting period of at least 7 days before purchase of any firearm. </w:t>
            </w:r>
          </w:p>
        </w:tc>
      </w:tr>
    </w:tbl>
    <w:p>
      <w:pPr>
        <w:pBdr/>
        <w:pStyle w:val="Normal"/>
        <w:spacing w:line="480" w:lineRule="auto"/>
        <w:ind w:left="720" w:hanging="720"/>
        <w:rPr>
          <w:rFonts w:ascii="Times New Roman" w:eastAsia="Times New Roman" w:hAnsi="Times New Roman" w:cs="Times New Roman"/>
          <w:color w:val="000000"/>
          <w:sz w:val="24"/>
          <w:szCs w:val="24"/>
        </w:rPr>
      </w:pPr>
    </w:p>
    <w:sectPr>
      <w:headerReference w:type="first" r:id="rId1"/>
      <w:footerReference w:type="first" r:id="rId2"/>
      <w:headerReference w:type="default" r:id="rId3"/>
      <w:footerReference w:type="default" r:id="rId4"/>
      <w:type w:val="nextPage"/>
      <w:pgSz w:w="12240" w:h="15840"/>
      <w:pgMar w:top="1440" w:right="1440" w:bottom="1440" w:left="1440" w:header="720" w:footer="720" w:gutter="0"/>
      <w:pgNumType w:fmt="Arabic"/>
      <w:pgNumType w:start="0"/>
      <w:pgBorders/>
      <w:endnotePr>
        <w:pos w:val="docEnd"/>
        <w:numFmt w:val="lowerRoman"/>
        <w:numRestart w:val="continuous"/>
        <w:numStart w:val="1"/>
      </w:endnotePr>
      <w:titlePg/>
    </w:sectPr>
  </w:body>
</w:document>
</file>

<file path=word/endnotes.xml><?xml version="1.0" encoding="utf-8"?>
<w:endnotes xmlns:wpc="http://schemas.microsoft.com/office/word/2010/wordprocessingCanvas" xmlns:cx="http://schemas.microsoft.com/office/drawing/2014/chartex" xmlns:aink="http://schemas.microsoft.com/office/drawing/2016/ink" xmlns:am3d="http://schemas.microsoft.com/office/drawing/2017/,odel3d"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endnote w:type="separator" w:id="-1">
    <w:p>
      <w:pPr>
        <w:pBdr/>
        <w:pStyle w:val="Normal"/>
        <w:spacing w:after="0" w:line="240" w:lineRule="auto"/>
        <w:ind/>
        <w:rPr/>
      </w:pPr>
      <w:r>
        <w:rPr/>
        <w:separator/>
      </w:r>
    </w:p>
  </w:endnote>
  <w:endnote w:type="continuationSeparator" w:id="0">
    <w:p>
      <w:pPr>
        <w:pBdr/>
        <w:pStyle w:val="Normal"/>
        <w:spacing w:after="0" w:line="240" w:lineRule="auto"/>
        <w:ind/>
        <w:rPr/>
      </w:pPr>
      <w:r>
        <w:rPr/>
        <w:continuationSeparator/>
      </w:r>
    </w:p>
  </w:endnote>
  <w:endnote w:type="continuationNotice" w:id="1">
    <w:p>
      <w:pPr>
        <w:pBdr/>
        <w:pStyle w:val="Normal"/>
        <w:spacing w:after="0" w:line="240" w:lineRule="auto"/>
        <w:ind/>
        <w:rPr/>
      </w:pPr>
    </w:p>
  </w:endnote>
</w:endnotes>
</file>

<file path=word/footer2.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tbl>
    <w:tblPr>
      <w:tblW w:w="0" w:type="auto"/>
      <w:jc w:val="left"/>
      <w:tblInd w:w="0" w:type="dxa"/>
      <w:tblCellMar>
        <w:top w:w="0" w:type="dxa"/>
        <w:left w:w="108" w:type="dxa"/>
        <w:bottom w:w="0" w:type="dxa"/>
        <w:right w:w="108" w:type="dxa"/>
      </w:tblCellMar>
      <w:tblBorders>
        <w:top w:val="none" w:sz="0" w:space="0"/>
        <w:left w:val="none" w:sz="0" w:space="0"/>
        <w:bottom w:val="none" w:sz="0" w:space="0"/>
        <w:right w:val="none" w:sz="0" w:space="0"/>
        <w:insideH w:val="none" w:sz="0" w:space="0"/>
        <w:insideV w:val="none" w:sz="0" w:space="0"/>
      </w:tblBorders>
      <w:shd w:fill="auto" w:color="auto"/>
      <w:tblLayout w:type="fixed"/>
    </w:tblPr>
    <w:tblGrid>
      <w:gridCol w:w="3120"/>
      <w:gridCol w:w="3120"/>
      <w:gridCol w:w="3120"/>
    </w:tblGrid>
    <w:tr>
      <w:tblPrEx>
        <w:tblBorders>
          <w:top w:val="none" w:sz="0" w:space="0"/>
          <w:left w:val="none" w:sz="0" w:space="0"/>
          <w:bottom w:val="none" w:sz="0" w:space="0"/>
          <w:right w:val="none" w:sz="0" w:space="0"/>
          <w:insideH w:val="none" w:sz="0" w:space="0"/>
          <w:insideV w:val="none" w:sz="0" w:space="0"/>
        </w:tblBorders>
      </w:tblPrEx>
      <w:trPr>
        <w:trHeight w:hRule="atLeast" w:val="300"/>
      </w:trPr>
      <w:tc>
        <w:tcPr>
          <w:tcW w:w="3120" w:type="dxa"/>
          <w:tcBorders/>
          <w:shd w:fill="auto" w:color="auto"/>
          <w:vAlign w:val="top"/>
        </w:tcPr>
        <w:p>
          <w:pPr>
            <w:pBdr/>
            <w:pStyle w:val="Header"/>
            <w:spacing/>
            <w:ind w:left="-115"/>
            <w:rPr/>
          </w:pPr>
        </w:p>
      </w:tc>
      <w:tc>
        <w:tcPr>
          <w:tcW w:w="3120" w:type="dxa"/>
          <w:tcBorders/>
          <w:shd w:fill="auto" w:color="auto"/>
          <w:vAlign w:val="top"/>
        </w:tcPr>
        <w:p>
          <w:pPr>
            <w:pBdr/>
            <w:pStyle w:val="Header"/>
            <w:spacing/>
            <w:ind/>
            <w:jc w:val="center"/>
            <w:rPr/>
          </w:pPr>
        </w:p>
      </w:tc>
      <w:tc>
        <w:tcPr>
          <w:tcW w:w="3120" w:type="dxa"/>
          <w:tcBorders/>
          <w:shd w:fill="auto" w:color="auto"/>
          <w:vAlign w:val="top"/>
        </w:tcPr>
        <w:p>
          <w:pPr>
            <w:pBdr/>
            <w:pStyle w:val="Header"/>
            <w:spacing/>
            <w:ind w:right="-115"/>
            <w:jc w:val="right"/>
            <w:rPr/>
          </w:pPr>
        </w:p>
      </w:tc>
    </w:tr>
  </w:tbl>
  <w:p>
    <w:pPr>
      <w:pBdr/>
      <w:pStyle w:val="Footer"/>
      <w:spacing/>
      <w:ind/>
      <w:rPr/>
    </w:pPr>
  </w:p>
</w:ftr>
</file>

<file path=word/footer4.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Bdr/>
      <w:pStyle w:val="Footer"/>
      <w:spacing/>
      <w:ind/>
      <w:rPr/>
    </w:pPr>
    <w:r>
      <w:rPr/>
      <w:fldChar w:fldCharType="begin"/>
    </w:r>
    <w:r>
      <w:rPr/>
      <w:instrText xml:space="preserve"> PAGE   \* MERGEFORMAT </w:instrText>
    </w:r>
    <w:r>
      <w:rPr/>
      <w:fldChar w:fldCharType="separate"/>
    </w:r>
    <w:r>
      <w:rPr/>
      <w:t xml:space="preserve">1</w:t>
    </w:r>
    <w:r>
      <w:rPr/>
      <w:fldChar w:fldCharType="end"/>
    </w:r>
  </w:p>
  <w:p>
    <w:pPr>
      <w:pBdr/>
      <w:pStyle w:val="Footer"/>
      <w:spacing/>
      <w:ind/>
      <w:rPr/>
    </w:pPr>
  </w:p>
</w:ftr>
</file>

<file path=word/footnotes.xml><?xml version="1.0" encoding="utf-8"?>
<w:footnotes xmlns:wpc="http://schemas.microsoft.com/office/word/2010/wordprocessingCanvas" xmlns:cx="http://schemas.microsoft.com/office/drawing/2014/chartex" xmlns:aink="http://schemas.microsoft.com/office/drawing/2016/ink" xmlns:am3d="http://schemas.microsoft.com/office/drawing/2017/,odel3d"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footnote w:type="separator" w:id="-1">
    <w:p>
      <w:pPr>
        <w:pBdr/>
        <w:pStyle w:val="Normal"/>
        <w:spacing w:after="0" w:line="240" w:lineRule="auto"/>
        <w:ind/>
        <w:rPr/>
      </w:pPr>
      <w:r>
        <w:rPr/>
        <w:separator/>
      </w:r>
    </w:p>
  </w:footnote>
  <w:footnote w:type="continuationSeparator" w:id="0">
    <w:p>
      <w:pPr>
        <w:pBdr/>
        <w:pStyle w:val="Normal"/>
        <w:spacing w:after="0" w:line="240" w:lineRule="auto"/>
        <w:ind/>
        <w:rPr/>
      </w:pPr>
      <w:r>
        <w:rPr/>
        <w:continuationSeparator/>
      </w:r>
    </w:p>
  </w:footnote>
  <w:footnote w:type="continuationNotice" w:id="1">
    <w:p>
      <w:pPr>
        <w:pBdr/>
        <w:pStyle w:val="Normal"/>
        <w:spacing w:after="0" w:line="240" w:lineRule="auto"/>
        <w:ind/>
        <w:rPr/>
      </w:pPr>
    </w:p>
  </w:footnote>
</w:footnotes>
</file>

<file path=word/header1.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tbl>
    <w:tblPr>
      <w:tblW w:w="0" w:type="auto"/>
      <w:jc w:val="left"/>
      <w:tblInd w:w="0" w:type="dxa"/>
      <w:tblCellMar>
        <w:top w:w="0" w:type="dxa"/>
        <w:left w:w="108" w:type="dxa"/>
        <w:bottom w:w="0" w:type="dxa"/>
        <w:right w:w="108" w:type="dxa"/>
      </w:tblCellMar>
      <w:tblBorders>
        <w:top w:val="none" w:sz="0" w:space="0"/>
        <w:left w:val="none" w:sz="0" w:space="0"/>
        <w:bottom w:val="none" w:sz="0" w:space="0"/>
        <w:right w:val="none" w:sz="0" w:space="0"/>
        <w:insideH w:val="none" w:sz="0" w:space="0"/>
        <w:insideV w:val="none" w:sz="0" w:space="0"/>
      </w:tblBorders>
      <w:shd w:fill="auto" w:color="auto"/>
      <w:tblLayout w:type="fixed"/>
    </w:tblPr>
    <w:tblGrid>
      <w:gridCol w:w="3120"/>
      <w:gridCol w:w="3120"/>
      <w:gridCol w:w="3120"/>
    </w:tblGrid>
    <w:tr>
      <w:tblPrEx>
        <w:tblBorders>
          <w:top w:val="none" w:sz="0" w:space="0"/>
          <w:left w:val="none" w:sz="0" w:space="0"/>
          <w:bottom w:val="none" w:sz="0" w:space="0"/>
          <w:right w:val="none" w:sz="0" w:space="0"/>
          <w:insideH w:val="none" w:sz="0" w:space="0"/>
          <w:insideV w:val="none" w:sz="0" w:space="0"/>
        </w:tblBorders>
      </w:tblPrEx>
      <w:trPr>
        <w:trHeight w:hRule="atLeast" w:val="300"/>
      </w:trPr>
      <w:tc>
        <w:tcPr>
          <w:tcW w:w="3120" w:type="dxa"/>
          <w:tcBorders/>
          <w:shd w:fill="auto" w:color="auto"/>
          <w:vAlign w:val="top"/>
        </w:tcPr>
        <w:p>
          <w:pPr>
            <w:pBdr/>
            <w:pStyle w:val="Header"/>
            <w:spacing/>
            <w:ind w:left="-115"/>
            <w:rPr/>
          </w:pPr>
        </w:p>
      </w:tc>
      <w:tc>
        <w:tcPr>
          <w:tcW w:w="3120" w:type="dxa"/>
          <w:tcBorders/>
          <w:shd w:fill="auto" w:color="auto"/>
          <w:vAlign w:val="top"/>
        </w:tcPr>
        <w:p>
          <w:pPr>
            <w:pBdr/>
            <w:pStyle w:val="Header"/>
            <w:spacing/>
            <w:ind/>
            <w:jc w:val="center"/>
            <w:rPr/>
          </w:pPr>
        </w:p>
      </w:tc>
      <w:tc>
        <w:tcPr>
          <w:tcW w:w="3120" w:type="dxa"/>
          <w:tcBorders/>
          <w:shd w:fill="auto" w:color="auto"/>
          <w:vAlign w:val="top"/>
        </w:tcPr>
        <w:p>
          <w:pPr>
            <w:pBdr/>
            <w:pStyle w:val="Header"/>
            <w:spacing/>
            <w:ind w:right="-115"/>
            <w:jc w:val="right"/>
            <w:rPr/>
          </w:pPr>
        </w:p>
      </w:tc>
    </w:tr>
  </w:tbl>
  <w:p>
    <w:pPr>
      <w:pBdr/>
      <w:pStyle w:val="Header"/>
      <w:spacing/>
      <w:ind/>
      <w:rPr/>
    </w:pPr>
  </w:p>
</w:hdr>
</file>

<file path=word/header3.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tbl>
    <w:tblPr>
      <w:tblW w:w="0" w:type="auto"/>
      <w:jc w:val="left"/>
      <w:tblInd w:w="0" w:type="dxa"/>
      <w:tblCellMar>
        <w:top w:w="0" w:type="dxa"/>
        <w:left w:w="108" w:type="dxa"/>
        <w:bottom w:w="0" w:type="dxa"/>
        <w:right w:w="108" w:type="dxa"/>
      </w:tblCellMar>
      <w:tblBorders>
        <w:top w:val="none" w:sz="0" w:space="0"/>
        <w:left w:val="none" w:sz="0" w:space="0"/>
        <w:bottom w:val="none" w:sz="0" w:space="0"/>
        <w:right w:val="none" w:sz="0" w:space="0"/>
        <w:insideH w:val="none" w:sz="0" w:space="0"/>
        <w:insideV w:val="none" w:sz="0" w:space="0"/>
      </w:tblBorders>
      <w:shd w:fill="auto" w:color="auto"/>
      <w:tblLayout w:type="fixed"/>
    </w:tblPr>
    <w:tblGrid>
      <w:gridCol w:w="3120"/>
      <w:gridCol w:w="3120"/>
      <w:gridCol w:w="3120"/>
    </w:tblGrid>
    <w:tr>
      <w:tblPrEx>
        <w:tblBorders>
          <w:top w:val="none" w:sz="0" w:space="0"/>
          <w:left w:val="none" w:sz="0" w:space="0"/>
          <w:bottom w:val="none" w:sz="0" w:space="0"/>
          <w:right w:val="none" w:sz="0" w:space="0"/>
          <w:insideH w:val="none" w:sz="0" w:space="0"/>
          <w:insideV w:val="none" w:sz="0" w:space="0"/>
        </w:tblBorders>
      </w:tblPrEx>
      <w:trPr>
        <w:trHeight w:hRule="atLeast" w:val="300"/>
      </w:trPr>
      <w:tc>
        <w:tcPr>
          <w:tcW w:w="3120" w:type="dxa"/>
          <w:tcBorders/>
          <w:shd w:fill="auto" w:color="auto"/>
          <w:vAlign w:val="top"/>
        </w:tcPr>
        <w:p>
          <w:pPr>
            <w:pBdr/>
            <w:pStyle w:val="Header"/>
            <w:spacing/>
            <w:ind w:left="-115"/>
            <w:rPr/>
          </w:pPr>
        </w:p>
      </w:tc>
      <w:tc>
        <w:tcPr>
          <w:tcW w:w="3120" w:type="dxa"/>
          <w:tcBorders/>
          <w:shd w:fill="auto" w:color="auto"/>
          <w:vAlign w:val="top"/>
        </w:tcPr>
        <w:p>
          <w:pPr>
            <w:pBdr/>
            <w:pStyle w:val="Header"/>
            <w:spacing/>
            <w:ind/>
            <w:jc w:val="center"/>
            <w:rPr/>
          </w:pPr>
        </w:p>
      </w:tc>
      <w:tc>
        <w:tcPr>
          <w:tcW w:w="3120" w:type="dxa"/>
          <w:tcBorders/>
          <w:shd w:fill="auto" w:color="auto"/>
          <w:vAlign w:val="top"/>
        </w:tcPr>
        <w:p>
          <w:pPr>
            <w:pBdr/>
            <w:pStyle w:val="Header"/>
            <w:spacing/>
            <w:ind w:right="-115"/>
            <w:jc w:val="right"/>
            <w:rPr/>
          </w:pPr>
        </w:p>
      </w:tc>
    </w:tr>
  </w:tbl>
  <w:p>
    <w:pPr>
      <w:pBdr/>
      <w:pStyle w:val="Header"/>
      <w:spacing/>
      <w:ind/>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14="http://schemas.microsoft.com/office/word/2010/wordml" xmlns:w15="http://schemas.microsoft.com/office/word/2012/wordml" xmlns:sl="http://schemas.openxmlformats.org/schemaLibrary/2006/main" xmlns:w="http://schemas.openxmlformats.org/wordprocessingml/2006/main" mc:Ignorable="w14 w15">
  <w:documentProtection w:cryptProviderType="rsaAES" w:cryptAlgorithmClass="hash" w:cryptAlgorithmType="typeAny" w:cryptAlgorithmSid="14" w:cryptSpinCount="100000"/>
  <w:zoom w:val="none" w:percent="100"/>
  <w:themeFontLang w:val="en-US" w:bidi="ar-SA" w:eastAsia="ja-JP"/>
  <w:displayBackgroundShape/>
  <w:defaultTabStop w:val="720"/>
  <w:compat>
    <w:compatSetting w:name="compatibilityMode" w:uri="http://schemas.microsoft.com/office/word" w:val="15"/>
  </w:compat>
  <w:footnotePr>
    <w:footnote w:id="-1"/>
    <w:footnote w:id="0"/>
  </w:footnotePr>
  <w:endnotePr>
    <w:endnote w:id="-1"/>
    <w:endnote w:id="0"/>
  </w:endnotePr>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rPr>
    </w:rPrDefault>
    <w:pPrDefault>
      <w:pPr>
        <w:pBdr/>
        <w:spacing w:after="160" w:line="259" w:lineRule="auto"/>
        <w:ind/>
      </w:pPr>
    </w:pPrDefault>
  </w:docDefaults>
  <w:style w:type="paragraph" w:styleId="Normal">
    <w:name w:val="Normal"/>
    <w:next w:val="Normal"/>
    <w:pPr>
      <w:pBdr/>
      <w:spacing/>
      <w:ind/>
    </w:pPr>
    <w:rPr/>
  </w:style>
  <w:style w:type="paragraph" w:styleId="Heading 1">
    <w:name w:val="Heading 1"/>
    <w:basedOn w:val="Normal"/>
    <w:next w:val="Normal"/>
    <w:link w:val="Heading 1 Char"/>
    <w:pPr>
      <w:pBdr/>
      <w:keepNext/>
      <w:keepLines/>
      <w:outlineLvl w:val="0"/>
      <w:spacing w:before="360" w:after="80"/>
      <w:ind/>
    </w:pPr>
    <w:rPr>
      <w:rFonts w:asciiTheme="majorHAnsi" w:eastAsiaTheme="majorEastAsia" w:hAnsiTheme="majorHAnsi" w:cstheme="majorBidi"/>
      <w:color w:val="0F4761"/>
      <w:sz w:val="40"/>
      <w:szCs w:val="40"/>
    </w:rPr>
  </w:style>
  <w:style w:type="character" w:styleId="Heading 1 Char">
    <w:name w:val="Heading 1 Char"/>
    <w:basedOn w:val="Default Paragraph Font"/>
    <w:rPr>
      <w:rFonts w:asciiTheme="majorHAnsi" w:eastAsiaTheme="majorEastAsia" w:hAnsiTheme="majorHAnsi" w:cstheme="majorBidi"/>
      <w:color w:val="0F4761"/>
      <w:sz w:val="40"/>
      <w:szCs w:val="40"/>
    </w:rPr>
  </w:style>
  <w:style w:type="character" w:styleId="Default Paragraph Font">
    <w:name w:val="Default Paragraph Font"/>
    <w:rPr/>
  </w:style>
  <w:style w:type="paragraph" w:styleId="Heading 2">
    <w:name w:val="Heading 2"/>
    <w:basedOn w:val="Normal"/>
    <w:next w:val="Normal"/>
    <w:link w:val="Heading 2 Char"/>
    <w:pPr>
      <w:pBdr/>
      <w:keepNext/>
      <w:keepLines/>
      <w:outlineLvl w:val="1"/>
      <w:spacing w:before="160" w:after="80"/>
      <w:ind/>
    </w:pPr>
    <w:rPr>
      <w:rFonts w:asciiTheme="majorHAnsi" w:eastAsiaTheme="majorEastAsia" w:hAnsiTheme="majorHAnsi" w:cstheme="majorBidi"/>
      <w:color w:val="0F4761"/>
      <w:sz w:val="32"/>
      <w:szCs w:val="32"/>
    </w:rPr>
  </w:style>
  <w:style w:type="character" w:styleId="Heading 2 Char">
    <w:name w:val="Heading 2 Char"/>
    <w:basedOn w:val="Default Paragraph Font"/>
    <w:rPr>
      <w:rFonts w:asciiTheme="majorHAnsi" w:eastAsiaTheme="majorEastAsia" w:hAnsiTheme="majorHAnsi" w:cstheme="majorBidi"/>
      <w:color w:val="0F4761"/>
      <w:sz w:val="32"/>
      <w:szCs w:val="32"/>
    </w:rPr>
  </w:style>
  <w:style w:type="paragraph" w:styleId="Heading 3">
    <w:name w:val="Heading 3"/>
    <w:basedOn w:val="Normal"/>
    <w:next w:val="Normal"/>
    <w:link w:val="Heading 3 Char"/>
    <w:pPr>
      <w:pBdr/>
      <w:keepNext/>
      <w:keepLines/>
      <w:outlineLvl w:val="2"/>
      <w:spacing w:before="160" w:after="80"/>
      <w:ind/>
    </w:pPr>
    <w:rPr>
      <w:rFonts w:eastAsiaTheme="majorEastAsia" w:cstheme="majorBidi"/>
      <w:color w:val="0F4761"/>
      <w:sz w:val="28"/>
      <w:szCs w:val="28"/>
    </w:rPr>
  </w:style>
  <w:style w:type="character" w:styleId="Heading 3 Char">
    <w:name w:val="Heading 3 Char"/>
    <w:basedOn w:val="Default Paragraph Font"/>
    <w:rPr>
      <w:rFonts w:eastAsiaTheme="majorEastAsia" w:cstheme="majorBidi"/>
      <w:color w:val="0F4761"/>
      <w:sz w:val="28"/>
      <w:szCs w:val="28"/>
    </w:rPr>
  </w:style>
  <w:style w:type="paragraph" w:styleId="Heading 4">
    <w:name w:val="Heading 4"/>
    <w:basedOn w:val="Normal"/>
    <w:next w:val="Normal"/>
    <w:link w:val="Heading 4 Char"/>
    <w:pPr>
      <w:pBdr/>
      <w:keepNext/>
      <w:keepLines/>
      <w:outlineLvl w:val="3"/>
      <w:spacing w:before="80" w:after="40"/>
      <w:ind/>
    </w:pPr>
    <w:rPr>
      <w:rFonts w:eastAsiaTheme="majorEastAsia" w:cstheme="majorBidi"/>
      <w:i/>
      <w:iCs/>
      <w:color w:val="0F4761"/>
    </w:rPr>
  </w:style>
  <w:style w:type="character" w:styleId="Heading 4 Char">
    <w:name w:val="Heading 4 Char"/>
    <w:basedOn w:val="Default Paragraph Font"/>
    <w:rPr>
      <w:rFonts w:eastAsiaTheme="majorEastAsia" w:cstheme="majorBidi"/>
      <w:i/>
      <w:iCs/>
      <w:color w:val="0F4761"/>
    </w:rPr>
  </w:style>
  <w:style w:type="paragraph" w:styleId="Heading 5">
    <w:name w:val="Heading 5"/>
    <w:basedOn w:val="Normal"/>
    <w:next w:val="Normal"/>
    <w:link w:val="Heading 5 Char"/>
    <w:pPr>
      <w:pBdr/>
      <w:keepNext/>
      <w:keepLines/>
      <w:outlineLvl w:val="4"/>
      <w:spacing w:before="80" w:after="40"/>
      <w:ind/>
    </w:pPr>
    <w:rPr>
      <w:rFonts w:eastAsiaTheme="majorEastAsia" w:cstheme="majorBidi"/>
      <w:color w:val="0F4761"/>
    </w:rPr>
  </w:style>
  <w:style w:type="character" w:styleId="Heading 5 Char">
    <w:name w:val="Heading 5 Char"/>
    <w:basedOn w:val="Default Paragraph Font"/>
    <w:rPr>
      <w:rFonts w:eastAsiaTheme="majorEastAsia" w:cstheme="majorBidi"/>
      <w:color w:val="0F4761"/>
    </w:rPr>
  </w:style>
  <w:style w:type="paragraph" w:styleId="Heading 6">
    <w:name w:val="Heading 6"/>
    <w:basedOn w:val="Normal"/>
    <w:next w:val="Normal"/>
    <w:link w:val="Heading 6 Char"/>
    <w:pPr>
      <w:pBdr/>
      <w:keepNext/>
      <w:keepLines/>
      <w:outlineLvl w:val="5"/>
      <w:spacing w:before="40" w:after="0"/>
      <w:ind/>
    </w:pPr>
    <w:rPr>
      <w:rFonts w:eastAsiaTheme="majorEastAsia" w:cstheme="majorBidi"/>
      <w:i/>
      <w:iCs/>
      <w:color w:val="595959"/>
    </w:rPr>
  </w:style>
  <w:style w:type="character" w:styleId="Heading 6 Char">
    <w:name w:val="Heading 6 Char"/>
    <w:basedOn w:val="Default Paragraph Font"/>
    <w:rPr>
      <w:rFonts w:eastAsiaTheme="majorEastAsia" w:cstheme="majorBidi"/>
      <w:i/>
      <w:iCs/>
      <w:color w:val="595959"/>
    </w:rPr>
  </w:style>
  <w:style w:type="paragraph" w:styleId="Heading 7">
    <w:name w:val="Heading 7"/>
    <w:basedOn w:val="Normal"/>
    <w:next w:val="Normal"/>
    <w:link w:val="Heading 7 Char"/>
    <w:pPr>
      <w:pBdr/>
      <w:keepNext/>
      <w:keepLines/>
      <w:outlineLvl w:val="6"/>
      <w:spacing w:before="40" w:after="0"/>
      <w:ind/>
    </w:pPr>
    <w:rPr>
      <w:rFonts w:eastAsiaTheme="majorEastAsia" w:cstheme="majorBidi"/>
      <w:color w:val="595959"/>
    </w:rPr>
  </w:style>
  <w:style w:type="character" w:styleId="Heading 7 Char">
    <w:name w:val="Heading 7 Char"/>
    <w:basedOn w:val="Default Paragraph Font"/>
    <w:rPr>
      <w:rFonts w:eastAsiaTheme="majorEastAsia" w:cstheme="majorBidi"/>
      <w:color w:val="595959"/>
    </w:rPr>
  </w:style>
  <w:style w:type="paragraph" w:styleId="Heading 8">
    <w:name w:val="Heading 8"/>
    <w:basedOn w:val="Normal"/>
    <w:next w:val="Normal"/>
    <w:link w:val="Heading 8 Char"/>
    <w:pPr>
      <w:pBdr/>
      <w:keepNext/>
      <w:keepLines/>
      <w:outlineLvl w:val="7"/>
      <w:spacing w:after="0"/>
      <w:ind/>
    </w:pPr>
    <w:rPr>
      <w:rFonts w:eastAsiaTheme="majorEastAsia" w:cstheme="majorBidi"/>
      <w:i/>
      <w:iCs/>
      <w:color w:val="272727"/>
    </w:rPr>
  </w:style>
  <w:style w:type="character" w:styleId="Heading 8 Char">
    <w:name w:val="Heading 8 Char"/>
    <w:basedOn w:val="Default Paragraph Font"/>
    <w:rPr>
      <w:rFonts w:eastAsiaTheme="majorEastAsia" w:cstheme="majorBidi"/>
      <w:i/>
      <w:iCs/>
      <w:color w:val="272727"/>
    </w:rPr>
  </w:style>
  <w:style w:type="paragraph" w:styleId="Heading 9">
    <w:name w:val="Heading 9"/>
    <w:basedOn w:val="Normal"/>
    <w:next w:val="Normal"/>
    <w:link w:val="Heading 9 Char"/>
    <w:pPr>
      <w:pBdr/>
      <w:keepNext/>
      <w:keepLines/>
      <w:outlineLvl w:val="8"/>
      <w:spacing w:after="0"/>
      <w:ind/>
    </w:pPr>
    <w:rPr>
      <w:rFonts w:eastAsiaTheme="majorEastAsia" w:cstheme="majorBidi"/>
      <w:color w:val="272727"/>
    </w:rPr>
  </w:style>
  <w:style w:type="character" w:styleId="Heading 9 Char">
    <w:name w:val="Heading 9 Char"/>
    <w:basedOn w:val="Default Paragraph Font"/>
    <w:rPr>
      <w:rFonts w:eastAsiaTheme="majorEastAsia" w:cstheme="majorBidi"/>
      <w:color w:val="272727"/>
    </w:rPr>
  </w:style>
  <w:style w:type="table" w:styleId="Normal Table">
    <w:name w:val="Normal Table"/>
    <w:next w:val="Normal Table"/>
  </w:style>
  <w:style w:type="paragraph" w:styleId="Title">
    <w:name w:val="Title"/>
    <w:basedOn w:val="Normal"/>
    <w:next w:val="Normal"/>
    <w:link w:val="Title Char"/>
    <w:pPr>
      <w:pBdr/>
      <w:spacing w:after="80" w:line="240" w:lineRule="auto"/>
      <w:contextualSpacing/>
      <w:ind/>
    </w:pPr>
    <w:rPr>
      <w:rFonts w:asciiTheme="majorHAnsi" w:eastAsiaTheme="majorEastAsia" w:hAnsiTheme="majorHAnsi" w:cstheme="majorBidi"/>
      <w:sz w:val="56"/>
      <w:spacing w:val="-10"/>
      <w:szCs w:val="56"/>
    </w:rPr>
  </w:style>
  <w:style w:type="character" w:styleId="Title Char">
    <w:name w:val="Title Char"/>
    <w:basedOn w:val="Default Paragraph Font"/>
    <w:rPr>
      <w:rFonts w:asciiTheme="majorHAnsi" w:eastAsiaTheme="majorEastAsia" w:hAnsiTheme="majorHAnsi" w:cstheme="majorBidi"/>
      <w:sz w:val="56"/>
      <w:spacing w:val="-10"/>
      <w:szCs w:val="56"/>
    </w:rPr>
  </w:style>
  <w:style w:type="paragraph" w:styleId="Subtitle">
    <w:name w:val="Subtitle"/>
    <w:basedOn w:val="Normal"/>
    <w:next w:val="Normal"/>
    <w:link w:val="Subtitle Char"/>
    <w:pPr>
      <w:pBdr/>
      <w:numPr>
        <w:ilvl w:val="1"/>
      </w:numPr>
      <w:spacing/>
      <w:ind/>
    </w:pPr>
    <w:rPr>
      <w:rFonts w:eastAsiaTheme="majorEastAsia" w:cstheme="majorBidi"/>
      <w:color w:val="595959"/>
      <w:sz w:val="28"/>
      <w:spacing w:val="15"/>
      <w:szCs w:val="28"/>
    </w:rPr>
  </w:style>
  <w:style w:type="character" w:styleId="Subtitle Char">
    <w:name w:val="Subtitle Char"/>
    <w:basedOn w:val="Default Paragraph Font"/>
    <w:rPr>
      <w:rFonts w:eastAsiaTheme="majorEastAsia" w:cstheme="majorBidi"/>
      <w:color w:val="595959"/>
      <w:sz w:val="28"/>
      <w:spacing w:val="15"/>
      <w:szCs w:val="28"/>
    </w:rPr>
  </w:style>
  <w:style w:type="paragraph" w:styleId="Quote">
    <w:name w:val="Quote"/>
    <w:basedOn w:val="Normal"/>
    <w:next w:val="Normal"/>
    <w:link w:val="Quote Char"/>
    <w:pPr>
      <w:pBdr/>
      <w:spacing w:before="160"/>
      <w:ind/>
      <w:jc w:val="center"/>
    </w:pPr>
    <w:rPr>
      <w:i/>
      <w:iCs/>
      <w:color w:val="404040"/>
    </w:rPr>
  </w:style>
  <w:style w:type="character" w:styleId="Quote Char">
    <w:name w:val="Quote Char"/>
    <w:basedOn w:val="Default Paragraph Font"/>
    <w:rPr>
      <w:i/>
      <w:iCs/>
      <w:color w:val="404040"/>
    </w:rPr>
  </w:style>
  <w:style w:type="paragraph" w:styleId="List Paragraph">
    <w:name w:val="List Paragraph"/>
    <w:basedOn w:val="Normal"/>
    <w:next w:val="List Paragraph"/>
    <w:pPr>
      <w:pBdr/>
      <w:spacing/>
      <w:contextualSpacing/>
      <w:ind w:left="720"/>
    </w:pPr>
    <w:rPr/>
  </w:style>
  <w:style w:type="character" w:styleId="Intense Emphasis">
    <w:name w:val="Intense Emphasis"/>
    <w:basedOn w:val="Default Paragraph Font"/>
    <w:rPr>
      <w:i/>
      <w:iCs/>
      <w:color w:val="0F4761"/>
    </w:rPr>
  </w:style>
  <w:style w:type="paragraph" w:styleId="Intense Quote">
    <w:name w:val="Intense Quote"/>
    <w:basedOn w:val="Normal"/>
    <w:next w:val="Normal"/>
    <w:link w:val="Intense Quote Char"/>
    <w:pPr>
      <w:pBdr>
        <w:top w:val="single" w:color="0F4761" w:sz="4" w:space="10"/>
        <w:bottom w:val="single" w:color="0F4761" w:sz="4" w:space="10"/>
      </w:pBdr>
      <w:spacing w:before="360" w:after="360"/>
      <w:ind w:left="864" w:right="864"/>
      <w:jc w:val="center"/>
    </w:pPr>
    <w:rPr>
      <w:i/>
      <w:iCs/>
      <w:color w:val="0F4761"/>
    </w:rPr>
  </w:style>
  <w:style w:type="character" w:styleId="Intense Quote Char">
    <w:name w:val="Intense Quote Char"/>
    <w:basedOn w:val="Default Paragraph Font"/>
    <w:rPr>
      <w:i/>
      <w:iCs/>
      <w:color w:val="0F4761"/>
    </w:rPr>
  </w:style>
  <w:style w:type="character" w:styleId="Intense Reference">
    <w:name w:val="Intense Reference"/>
    <w:basedOn w:val="Default Paragraph Font"/>
    <w:rPr>
      <w:b/>
      <w:bCs/>
      <w:color w:val="0F4761"/>
      <w:spacing w:val="5"/>
    </w:rPr>
  </w:style>
  <w:style w:type="character" w:styleId="annotation reference">
    <w:name w:val="annotation reference"/>
    <w:basedOn w:val="Default Paragraph Font"/>
    <w:rPr>
      <w:sz w:val="16"/>
      <w:szCs w:val="16"/>
    </w:rPr>
  </w:style>
  <w:style w:type="paragraph" w:styleId="annotation text">
    <w:name w:val="annotation text"/>
    <w:basedOn w:val="Normal"/>
    <w:next w:val="annotation text"/>
    <w:link w:val="Comment Text Char"/>
    <w:pPr>
      <w:pBdr/>
      <w:spacing w:line="240" w:lineRule="auto"/>
      <w:ind/>
    </w:pPr>
    <w:rPr>
      <w:sz w:val="20"/>
      <w:szCs w:val="20"/>
    </w:rPr>
  </w:style>
  <w:style w:type="character" w:styleId="Comment Text Char">
    <w:name w:val="Comment Text Char"/>
    <w:basedOn w:val="Default Paragraph Font"/>
    <w:rPr>
      <w:sz w:val="20"/>
      <w:szCs w:val="20"/>
    </w:rPr>
  </w:style>
  <w:style w:type="paragraph" w:styleId="annotation subject">
    <w:name w:val="annotation subject"/>
    <w:basedOn w:val="annotation text"/>
    <w:next w:val="annotation text"/>
    <w:link w:val="Comment Subject Char"/>
    <w:pPr>
      <w:pBdr/>
      <w:spacing/>
      <w:ind/>
    </w:pPr>
    <w:rPr>
      <w:b/>
      <w:bCs/>
    </w:rPr>
  </w:style>
  <w:style w:type="character" w:styleId="Comment Subject Char">
    <w:name w:val="Comment Subject Char"/>
    <w:basedOn w:val="Comment Text Char"/>
    <w:rPr>
      <w:b/>
      <w:bCs/>
      <w:sz w:val="20"/>
      <w:szCs w:val="20"/>
    </w:rPr>
  </w:style>
  <w:style w:type="character" w:styleId="Hyperlink">
    <w:name w:val="Hyperlink"/>
    <w:basedOn w:val="Default Paragraph Font"/>
    <w:rPr>
      <w:color w:val="467886"/>
      <w:u w:val="single"/>
    </w:rPr>
  </w:style>
  <w:style w:type="character" w:styleId="cf01">
    <w:name w:val="cf01"/>
    <w:basedOn w:val="Default Paragraph Font"/>
    <w:rPr>
      <w:rFonts w:ascii="Segoe UI" w:hAnsi="Segoe UI" w:cs="Segoe UI" w:hint="default"/>
      <w:sz w:val="18"/>
      <w:szCs w:val="18"/>
    </w:rPr>
  </w:style>
  <w:style w:type="table" w:styleId="Table Grid">
    <w:name w:val="Table Grid"/>
    <w:basedOn w:val="Normal Table"/>
    <w:next w:val="Table Grid"/>
  </w:style>
  <w:style w:type="paragraph" w:styleId="Footnote Text">
    <w:name w:val="Footnote Text"/>
    <w:basedOn w:val="Normal"/>
    <w:next w:val="Footnote Text"/>
    <w:link w:val="Footnote Text Char"/>
    <w:pPr>
      <w:pBdr/>
      <w:spacing w:after="0" w:line="240" w:lineRule="auto"/>
      <w:ind/>
    </w:pPr>
    <w:rPr>
      <w:sz w:val="20"/>
      <w:szCs w:val="20"/>
    </w:rPr>
  </w:style>
  <w:style w:type="character" w:styleId="Footnote Text Char">
    <w:name w:val="Footnote Text Char"/>
    <w:basedOn w:val="Default Paragraph Font"/>
    <w:rPr>
      <w:sz w:val="20"/>
      <w:szCs w:val="20"/>
    </w:rPr>
  </w:style>
  <w:style w:type="character" w:styleId="Footnote Reference">
    <w:name w:val="Footnote Reference"/>
    <w:basedOn w:val="Default Paragraph Font"/>
    <w:rPr>
      <w:vertAlign w:val="superscript"/>
    </w:rPr>
  </w:style>
  <w:style w:type="paragraph" w:styleId="Header">
    <w:name w:val="Header"/>
    <w:basedOn w:val="Normal"/>
    <w:next w:val="Header"/>
    <w:link w:val="Header Char"/>
    <w:pPr>
      <w:pBdr/>
      <w:spacing w:after="0" w:line="240" w:lineRule="auto"/>
      <w:ind/>
      <w:tabs>
        <w:tab w:val="center" w:pos="4680"/>
        <w:tab w:val="right" w:pos="9360"/>
      </w:tabs>
    </w:pPr>
    <w:rPr/>
  </w:style>
  <w:style w:type="character" w:styleId="Header Char">
    <w:name w:val="Header Char"/>
    <w:basedOn w:val="Default Paragraph Font"/>
    <w:rPr/>
  </w:style>
  <w:style w:type="paragraph" w:styleId="Footer">
    <w:name w:val="Footer"/>
    <w:basedOn w:val="Normal"/>
    <w:next w:val="Footer"/>
    <w:link w:val="Footer Char"/>
    <w:pPr>
      <w:pBdr/>
      <w:spacing w:after="0" w:line="240" w:lineRule="auto"/>
      <w:ind/>
      <w:tabs>
        <w:tab w:val="center" w:pos="4680"/>
        <w:tab w:val="right" w:pos="9360"/>
      </w:tabs>
    </w:pPr>
    <w:rPr/>
  </w:style>
  <w:style w:type="character" w:styleId="Footer Char">
    <w:name w:val="Footer Char"/>
    <w:basedOn w:val="Default Paragraph Font"/>
    <w:rPr/>
  </w:style>
  <w:style w:type="paragraph" w:styleId="Bibliography">
    <w:name w:val="Bibliography"/>
    <w:basedOn w:val="Normal"/>
    <w:next w:val="Normal"/>
    <w:pPr>
      <w:pBdr/>
      <w:spacing w:after="240" w:line="240" w:lineRule="auto"/>
      <w:ind w:left="720" w:hanging="720"/>
    </w:pPr>
    <w:rPr/>
  </w:style>
  <w:style w:type="paragraph" w:styleId="Table Caption">
    <w:name w:val="Table Caption"/>
    <w:basedOn w:val="Normal"/>
    <w:next w:val="Table Caption"/>
    <w:pPr>
      <w:pBdr/>
      <w:spacing/>
      <w:ind/>
      <w:jc w:val="center"/>
    </w:pPr>
    <w:rPr>
      <w:rFonts w:eastAsiaTheme="minorEastAsia"/>
      <w:b/>
      <w:bCs/>
      <w:i/>
      <w:iCs/>
      <w:sz w:val="24"/>
      <w:szCs w:val="24"/>
    </w:rPr>
  </w:style>
  <w:style w:type="table" w:styleId="QQuestionTable">
    <w:name w:val="QQuestionTable"/>
    <w:next w:val="QQuestionTable"/>
  </w:style>
  <w:style w:type="character" w:styleId="Endnote Reference">
    <w:name w:val="Endnote Reference"/>
    <w:basedOn w:val="Default Paragraph Font"/>
    <w:rPr>
      <w:vertAlign w:val="superscript"/>
    </w:rPr>
  </w:style>
  <w:style w:type="paragraph" w:styleId="Normal (Web)">
    <w:name w:val="Normal (Web)"/>
    <w:basedOn w:val="Normal"/>
    <w:next w:val="Normal (Web)"/>
    <w:pPr>
      <w:pBdr/>
      <w:spacing w:before="100" w:beforeAutospacing="true" w:after="100" w:afterAutospacing="true" w:line="240" w:lineRule="auto"/>
      <w:ind/>
    </w:pPr>
    <w:rPr>
      <w:rFonts w:ascii="Times New Roman" w:eastAsia="Times New Roman" w:hAnsi="Times New Roman" w:cs="Times New Roman"/>
      <w:sz w:val="24"/>
      <w:szCs w:val="24"/>
    </w:rPr>
  </w:style>
  <w:style w:type="paragraph" w:styleId="Revision">
    <w:name w:val="Revision"/>
    <w:next w:val="Revision"/>
    <w:pPr>
      <w:pBdr/>
      <w:spacing w:after="0" w:line="240" w:lineRule="auto"/>
      <w:ind/>
    </w:pPr>
    <w:rPr/>
  </w:style>
  <w:style w:type="character" w:styleId="Unresolved Mention">
    <w:name w:val="Unresolved Mention"/>
    <w:basedOn w:val="Default Paragraph Font"/>
    <w:rPr>
      <w:color w:val="605E5C"/>
    </w:rPr>
  </w:style>
  <w:style w:type="paragraph" w:styleId="Compact">
    <w:name w:val="Compact"/>
    <w:basedOn w:val="Body Text"/>
    <w:next w:val="Compact"/>
    <w:pPr>
      <w:pBdr/>
      <w:spacing w:before="36" w:after="36" w:line="240" w:lineRule="auto"/>
      <w:ind/>
    </w:pPr>
    <w:rPr>
      <w:sz w:val="24"/>
      <w:szCs w:val="24"/>
    </w:rPr>
  </w:style>
  <w:style w:type="paragraph" w:styleId="Body Text">
    <w:name w:val="Body Text"/>
    <w:basedOn w:val="Normal"/>
    <w:next w:val="Body Text"/>
    <w:link w:val="Body Text Char"/>
    <w:pPr>
      <w:pBdr/>
      <w:spacing w:after="120"/>
      <w:ind/>
    </w:pPr>
    <w:rPr/>
  </w:style>
  <w:style w:type="character" w:styleId="Body Text Char">
    <w:name w:val="Body Text Char"/>
    <w:basedOn w:val="Default Paragraph Font"/>
    <w:rPr/>
  </w:style>
  <w:style w:type="table" w:styleId="Table">
    <w:name w:val="Table"/>
    <w:next w:val="Table"/>
  </w:style>
</w:styles>
</file>

<file path=word/_rels/document.xml.rels><?xml version="1.0" encoding="utf-8"?><Relationships xmlns="http://schemas.openxmlformats.org/package/2006/relationships"><Relationship Id="rId5" Type="http://schemas.openxmlformats.org/officeDocument/2006/relationships/styles" Target="styles.xml" /><Relationship Id="rId6" Type="http://schemas.openxmlformats.org/officeDocument/2006/relationships/settings" Target="settings.xml" /><Relationship Id="rId7" Type="http://schemas.openxmlformats.org/officeDocument/2006/relationships/endnotes" Target="endnotes.xml" /><Relationship Id="rId8" Type="http://schemas.openxmlformats.org/officeDocument/2006/relationships/footnotes" Target="footnotes.xml" /><Relationship Id="rId9" Type="http://schemas.openxmlformats.org/officeDocument/2006/relationships/theme" Target="theme/theme1.xml" /><Relationship Id="rId2" Type="http://schemas.openxmlformats.org/officeDocument/2006/relationships/footer" Target="footer2.xml" /><Relationship Id="rId1" Type="http://schemas.openxmlformats.org/officeDocument/2006/relationships/header" Target="header1.xml" /><Relationship Id="rId4" Type="http://schemas.openxmlformats.org/officeDocument/2006/relationships/footer" Target="footer4.xml" /><Relationship Id="rId3" Type="http://schemas.openxmlformats.org/officeDocument/2006/relationships/header" Target="header3.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
      <a:majorFont>
        <a:latin typeface="Aptos Display" panose="02110004020202020204"/>
        <a:ea typeface="" panose="02110004020202020204"/>
        <a:cs typeface="" panose="02110004020202020204"/>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panose="02110004020202020204"/>
        <a:cs typeface="" panose="02110004020202020204"/>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theme>
</file>