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p>
      <w:pPr>
        <w:pStyle w:val="Title"/>
      </w:pPr>
      <w:r>
        <w:t xml:space="preserve">US energy source willingness to pay memo</w:t>
      </w:r>
    </w:p>
    <w:p>
      <w:pPr>
        <w:pStyle w:val="Date"/>
      </w:pPr>
      <w:r>
        <w:t xml:space="preserve">June 30, 2026</w:t>
      </w:r>
    </w:p>
    <w:bookmarkStart w:id="38" w:name="us-energy-source-willingness-to-pay-memo"/>
    <w:p>
      <w:pPr>
        <w:pStyle w:val="Heading1"/>
      </w:pPr>
      <w:r>
        <w:t xml:space="preserve">US energy source willingness to pay memo</w:t>
      </w:r>
    </w:p>
    <w:p>
      <w:pPr>
        <w:pStyle w:val="FirstParagraph"/>
      </w:pPr>
      <w:r>
        <w:t xml:space="preserve">The U.S. literature does not show a single generic willingness to pay for “clean energy.” When studies force source-specific tradeoffs, respondents usually distinguish between renewables and fossil-fuel-based electricity, and renewables usually command a positive premium over fossil options or over the incumbent fuel mix</w:t>
      </w:r>
      <w:r>
        <w:t xml:space="preserve"> </w:t>
      </w:r>
      <w:r>
        <w:t xml:space="preserve">(Borchers 2007)</w:t>
      </w:r>
      <w:r>
        <w:t xml:space="preserve">,</w:t>
      </w:r>
      <w:r>
        <w:t xml:space="preserve"> </w:t>
      </w:r>
      <w:r>
        <w:t xml:space="preserve">(Nkansah and Collins 2018)</w:t>
      </w:r>
      <w:r>
        <w:t xml:space="preserve">,</w:t>
      </w:r>
      <w:r>
        <w:t xml:space="preserve"> </w:t>
      </w:r>
      <w:r>
        <w:t xml:space="preserve">(Aldy et al. 2012)</w:t>
      </w:r>
      <w:r>
        <w:t xml:space="preserve">.</w:t>
      </w:r>
    </w:p>
    <w:p>
      <w:pPr>
        <w:pStyle w:val="BodyText"/>
      </w:pPr>
      <w:r>
        <w:t xml:space="preserve">A second broad result is that preferences are shaped less by source labels alone than by what those labels stand in for: expected pollution, climate and health benefits, familiarity, trust, price stability, and siting burdens</w:t>
      </w:r>
      <w:r>
        <w:t xml:space="preserve"> </w:t>
      </w:r>
      <w:r>
        <w:t xml:space="preserve">(Sergi et al. 2018)</w:t>
      </w:r>
      <w:r>
        <w:t xml:space="preserve">,</w:t>
      </w:r>
      <w:r>
        <w:t xml:space="preserve"> </w:t>
      </w:r>
      <w:r>
        <w:t xml:space="preserve">(Nkansah and Collins 2018)</w:t>
      </w:r>
      <w:r>
        <w:t xml:space="preserve">,</w:t>
      </w:r>
      <w:r>
        <w:t xml:space="preserve"> </w:t>
      </w:r>
      <w:r>
        <w:t xml:space="preserve">(Thomson and Kempton 2017)</w:t>
      </w:r>
      <w:r>
        <w:t xml:space="preserve">,</w:t>
      </w:r>
      <w:r>
        <w:t xml:space="preserve"> </w:t>
      </w:r>
      <w:r>
        <w:t xml:space="preserve">(Cardella et al. 2017)</w:t>
      </w:r>
      <w:r>
        <w:t xml:space="preserve">. Political beliefs matter too, especially when willingness to pay is measured through policy support or through support for renewable premiums</w:t>
      </w:r>
      <w:r>
        <w:t xml:space="preserve"> </w:t>
      </w:r>
      <w:r>
        <w:t xml:space="preserve">(Aldy et al. 2012)</w:t>
      </w:r>
      <w:r>
        <w:t xml:space="preserve">,</w:t>
      </w:r>
      <w:r>
        <w:t xml:space="preserve"> </w:t>
      </w:r>
      <w:r>
        <w:t xml:space="preserve">(Wang et al. 2019)</w:t>
      </w:r>
      <w:r>
        <w:t xml:space="preserve">.</w:t>
      </w:r>
    </w:p>
    <w:bookmarkStart w:id="9" w:name="core-studies-in-this-search"/>
    <w:p>
      <w:pPr>
        <w:pStyle w:val="Heading2"/>
        <w:keepNext w:val="0"/>
      </w:pPr>
      <w:r>
        <w:t xml:space="preserve">Core studies in this search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cantSplit/>
        </w:trPr>
        <w:tc>
          <w:tcPr/>
          <w:p>
            <w:pPr>
              <w:pStyle w:val="Compact"/>
              <w:jc w:val="left"/>
            </w:pPr>
            <w:r>
              <w:t xml:space="preserve">Study</w:t>
            </w:r>
          </w:p>
        </w:tc>
        <w:tc>
          <w:tcPr/>
          <w:p>
            <w:pPr>
              <w:pStyle w:val="Compact"/>
              <w:jc w:val="left"/>
            </w:pPr>
            <w:r>
              <w:t xml:space="preserve">Design and sample</w:t>
            </w:r>
          </w:p>
        </w:tc>
        <w:tc>
          <w:tcPr/>
          <w:p>
            <w:pPr>
              <w:pStyle w:val="Compact"/>
              <w:jc w:val="left"/>
            </w:pPr>
            <w:r>
              <w:t xml:space="preserve">Source comparison</w:t>
            </w:r>
          </w:p>
        </w:tc>
        <w:tc>
          <w:tcPr/>
          <w:p>
            <w:pPr>
              <w:pStyle w:val="Compact"/>
              <w:jc w:val="left"/>
            </w:pPr>
            <w:r>
              <w:t xml:space="preserve">Main preference result</w:t>
            </w:r>
          </w:p>
        </w:tc>
        <w:tc>
          <w:tcPr/>
          <w:p>
            <w:pPr>
              <w:pStyle w:val="Compact"/>
              <w:jc w:val="left"/>
            </w:pPr>
            <w:r>
              <w:t xml:space="preserve">Main contribution</w:t>
            </w:r>
          </w:p>
        </w:tc>
      </w:tr>
      <w:tr>
        <w:trPr>
          <w:cantSplit/>
        </w:trPr>
        <w:tc>
          <w:tcPr/>
          <w:p>
            <w:pPr>
              <w:pStyle w:val="Compact"/>
              <w:jc w:val="left"/>
            </w:pPr>
            <w:r>
              <w:t xml:space="preserve">(Borchers 2007)</w:t>
            </w:r>
          </w:p>
        </w:tc>
        <w:tc>
          <w:tcPr/>
          <w:p>
            <w:pPr>
              <w:pStyle w:val="Compact"/>
              <w:jc w:val="left"/>
            </w:pPr>
            <w:r>
              <w:t xml:space="preserve">Choice experiment, 128 Delaware respondents</w:t>
            </w:r>
          </w:p>
        </w:tc>
        <w:tc>
          <w:tcPr/>
          <w:p>
            <w:pPr>
              <w:pStyle w:val="Compact"/>
              <w:jc w:val="left"/>
            </w:pPr>
            <w:r>
              <w:t xml:space="preserve">Solar, wind, biomass, farm methane, generic green vs status quo mix</w:t>
            </w:r>
          </w:p>
        </w:tc>
        <w:tc>
          <w:tcPr/>
          <w:p>
            <w:pPr>
              <w:pStyle w:val="Compact"/>
              <w:jc w:val="left"/>
            </w:pPr>
            <w:r>
              <w:t xml:space="preserve">Mean monthly WTP for a 10% green program was highest for solar ($19.03), then generic green ($14.77), wind ($13.36), farm methane ($10.54), and biomass ($8.92)</w:t>
            </w:r>
          </w:p>
        </w:tc>
        <w:tc>
          <w:tcPr/>
          <w:p>
            <w:pPr>
              <w:pStyle w:val="Compact"/>
              <w:jc w:val="left"/>
            </w:pPr>
            <w:r>
              <w:t xml:space="preserve">Shows that “green power” is not one category; source familiarity and perceived cleanliness matter</w:t>
            </w:r>
          </w:p>
        </w:tc>
      </w:tr>
      <w:tr>
        <w:trPr>
          <w:cantSplit/>
        </w:trPr>
        <w:tc>
          <w:tcPr/>
          <w:p>
            <w:pPr>
              <w:pStyle w:val="Compact"/>
              <w:jc w:val="left"/>
            </w:pPr>
            <w:r>
              <w:t xml:space="preserve">(Aldy et al. 2012)</w:t>
            </w:r>
          </w:p>
        </w:tc>
        <w:tc>
          <w:tcPr/>
          <w:p>
            <w:pPr>
              <w:pStyle w:val="Compact"/>
              <w:jc w:val="left"/>
            </w:pPr>
            <w:r>
              <w:t xml:space="preserve">National contingent valuation survey, 1,010 U.S. adults</w:t>
            </w:r>
          </w:p>
        </w:tc>
        <w:tc>
          <w:tcPr/>
          <w:p>
            <w:pPr>
              <w:pStyle w:val="Compact"/>
              <w:jc w:val="left"/>
            </w:pPr>
            <w:r>
              <w:t xml:space="preserve">Clean-energy standard framed as renewables alone or renewables plus natural gas</w:t>
            </w:r>
          </w:p>
        </w:tc>
        <w:tc>
          <w:tcPr/>
          <w:p>
            <w:pPr>
              <w:pStyle w:val="Compact"/>
              <w:jc w:val="left"/>
            </w:pPr>
            <w:r>
              <w:t xml:space="preserve">Average WTP for an 80% clean-energy standard by 2035 was $162 per year; including natural gas lowered support relative to renewables alone</w:t>
            </w:r>
          </w:p>
        </w:tc>
        <w:tc>
          <w:tcPr/>
          <w:p>
            <w:pPr>
              <w:pStyle w:val="Compact"/>
              <w:jc w:val="left"/>
            </w:pPr>
            <w:r>
              <w:t xml:space="preserve">Shows that source labels inside a policy package change support even when the decarbonization goal stays fixed</w:t>
            </w:r>
          </w:p>
        </w:tc>
      </w:tr>
      <w:tr>
        <w:trPr>
          <w:cantSplit/>
        </w:trPr>
        <w:tc>
          <w:tcPr/>
          <w:p>
            <w:pPr>
              <w:pStyle w:val="Compact"/>
              <w:jc w:val="left"/>
            </w:pPr>
            <w:r>
              <w:t xml:space="preserve">(Nkansah and Collins 2018)</w:t>
            </w:r>
          </w:p>
        </w:tc>
        <w:tc>
          <w:tcPr/>
          <w:p>
            <w:pPr>
              <w:pStyle w:val="Compact"/>
              <w:jc w:val="left"/>
            </w:pPr>
            <w:r>
              <w:t xml:space="preserve">Choice experiment, homeowners and renters in two West Virginia counties</w:t>
            </w:r>
          </w:p>
        </w:tc>
        <w:tc>
          <w:tcPr/>
          <w:p>
            <w:pPr>
              <w:pStyle w:val="Compact"/>
              <w:jc w:val="left"/>
            </w:pPr>
            <w:r>
              <w:t xml:space="preserve">Wind vs natural gas, with siting distance and monthly fee</w:t>
            </w:r>
          </w:p>
        </w:tc>
        <w:tc>
          <w:tcPr/>
          <w:p>
            <w:pPr>
              <w:pStyle w:val="Compact"/>
              <w:jc w:val="left"/>
            </w:pPr>
            <w:r>
              <w:t xml:space="preserve">Households preferred wind over natural gas; mean monthly WTP for wind relative to gas was $21.79 in Monongalia County and $12.19 in Grant County</w:t>
            </w:r>
          </w:p>
        </w:tc>
        <w:tc>
          <w:tcPr/>
          <w:p>
            <w:pPr>
              <w:pStyle w:val="Compact"/>
              <w:jc w:val="left"/>
            </w:pPr>
            <w:r>
              <w:t xml:space="preserve">Clean direct comparison between a renewable and a fossil option in a fossil-heavy state</w:t>
            </w:r>
          </w:p>
        </w:tc>
      </w:tr>
      <w:tr>
        <w:trPr>
          <w:cantSplit/>
        </w:trPr>
        <w:tc>
          <w:tcPr/>
          <w:p>
            <w:pPr>
              <w:pStyle w:val="Compact"/>
              <w:jc w:val="left"/>
            </w:pPr>
            <w:r>
              <w:t xml:space="preserve">(Sergi et al. 2018)</w:t>
            </w:r>
          </w:p>
        </w:tc>
        <w:tc>
          <w:tcPr/>
          <w:p>
            <w:pPr>
              <w:pStyle w:val="Compact"/>
              <w:jc w:val="left"/>
            </w:pPr>
            <w:r>
              <w:t xml:space="preserve">Discrete choice experiment, 822 U.S. respondents</w:t>
            </w:r>
          </w:p>
        </w:tc>
        <w:tc>
          <w:tcPr/>
          <w:p>
            <w:pPr>
              <w:pStyle w:val="Compact"/>
              <w:jc w:val="left"/>
            </w:pPr>
            <w:r>
              <w:t xml:space="preserve">Electricity portfolios with different bills and emissions information</w:t>
            </w:r>
          </w:p>
        </w:tc>
        <w:tc>
          <w:tcPr/>
          <w:p>
            <w:pPr>
              <w:pStyle w:val="Compact"/>
              <w:jc w:val="left"/>
            </w:pPr>
            <w:r>
              <w:t xml:space="preserve">Respondents would accept 19%–27% higher bills for a 30% reduction in either CO2 or SO2, and 30%–40% higher bills for joint 30% reductions</w:t>
            </w:r>
          </w:p>
        </w:tc>
        <w:tc>
          <w:tcPr/>
          <w:p>
            <w:pPr>
              <w:pStyle w:val="Compact"/>
              <w:jc w:val="left"/>
            </w:pPr>
            <w:r>
              <w:t xml:space="preserve">Shows that climate and health information can raise support for cleaner portfolios</w:t>
            </w:r>
          </w:p>
        </w:tc>
      </w:tr>
      <w:tr>
        <w:trPr>
          <w:cantSplit/>
        </w:trPr>
        <w:tc>
          <w:tcPr/>
          <w:p>
            <w:pPr>
              <w:pStyle w:val="Compact"/>
              <w:jc w:val="left"/>
            </w:pPr>
            <w:r>
              <w:t xml:space="preserve">(Knapp et al. 2020)</w:t>
            </w:r>
          </w:p>
        </w:tc>
        <w:tc>
          <w:tcPr/>
          <w:p>
            <w:pPr>
              <w:pStyle w:val="Compact"/>
              <w:jc w:val="left"/>
            </w:pPr>
            <w:r>
              <w:t xml:space="preserve">Analysis linking national surveys to utility green-pricing participation</w:t>
            </w:r>
          </w:p>
        </w:tc>
        <w:tc>
          <w:tcPr/>
          <w:p>
            <w:pPr>
              <w:pStyle w:val="Compact"/>
              <w:jc w:val="left"/>
            </w:pPr>
            <w:r>
              <w:t xml:space="preserve">Stated support for renewables vs real green-pricing enrollment</w:t>
            </w:r>
          </w:p>
        </w:tc>
        <w:tc>
          <w:tcPr/>
          <w:p>
            <w:pPr>
              <w:pStyle w:val="Compact"/>
              <w:jc w:val="left"/>
            </w:pPr>
            <w:r>
              <w:t xml:space="preserve">Participation is higher where stated WTP is stronger, but actual uptake remains price-sensitive and lower than survey enthusiasm suggests</w:t>
            </w:r>
          </w:p>
        </w:tc>
        <w:tc>
          <w:tcPr/>
          <w:p>
            <w:pPr>
              <w:pStyle w:val="Compact"/>
              <w:jc w:val="left"/>
            </w:pPr>
            <w:r>
              <w:t xml:space="preserve">Connects stated preference to revealed behavior</w:t>
            </w:r>
          </w:p>
        </w:tc>
      </w:tr>
      <w:tr>
        <w:trPr>
          <w:cantSplit/>
        </w:trPr>
        <w:tc>
          <w:tcPr/>
          <w:p>
            <w:pPr>
              <w:pStyle w:val="Compact"/>
              <w:jc w:val="left"/>
            </w:pPr>
            <w:r>
              <w:t xml:space="preserve">(Wang et al. 2019)</w:t>
            </w:r>
          </w:p>
        </w:tc>
        <w:tc>
          <w:tcPr/>
          <w:p>
            <w:pPr>
              <w:pStyle w:val="Compact"/>
              <w:jc w:val="left"/>
            </w:pPr>
            <w:r>
              <w:t xml:space="preserve">Vermont household survey</w:t>
            </w:r>
          </w:p>
        </w:tc>
        <w:tc>
          <w:tcPr/>
          <w:p>
            <w:pPr>
              <w:pStyle w:val="Compact"/>
              <w:jc w:val="left"/>
            </w:pPr>
            <w:r>
              <w:t xml:space="preserve">Solar, wind, and anaerobic-digester electricity</w:t>
            </w:r>
          </w:p>
        </w:tc>
        <w:tc>
          <w:tcPr/>
          <w:p>
            <w:pPr>
              <w:pStyle w:val="Compact"/>
              <w:jc w:val="left"/>
            </w:pPr>
            <w:r>
              <w:t xml:space="preserve">Solar drew the strongest support; cow-manure electricity drew the weakest</w:t>
            </w:r>
          </w:p>
        </w:tc>
        <w:tc>
          <w:tcPr/>
          <w:p>
            <w:pPr>
              <w:pStyle w:val="Compact"/>
              <w:jc w:val="left"/>
            </w:pPr>
            <w:r>
              <w:t xml:space="preserve">Reinforces within-renewables heterogeneity and the role of familiarity and political affiliation</w:t>
            </w:r>
          </w:p>
        </w:tc>
      </w:tr>
      <w:tr>
        <w:trPr>
          <w:cantSplit/>
        </w:trPr>
        <w:tc>
          <w:tcPr/>
          <w:p>
            <w:pPr>
              <w:pStyle w:val="Compact"/>
              <w:jc w:val="left"/>
            </w:pPr>
            <w:r>
              <w:t xml:space="preserve">(Thomson and Kempton 2017)</w:t>
            </w:r>
          </w:p>
        </w:tc>
        <w:tc>
          <w:tcPr/>
          <w:p>
            <w:pPr>
              <w:pStyle w:val="Compact"/>
              <w:jc w:val="left"/>
            </w:pPr>
            <w:r>
              <w:t xml:space="preserve">Paired community study near wind and coal facilities</w:t>
            </w:r>
          </w:p>
        </w:tc>
        <w:tc>
          <w:tcPr/>
          <w:p>
            <w:pPr>
              <w:pStyle w:val="Compact"/>
              <w:jc w:val="left"/>
            </w:pPr>
            <w:r>
              <w:t xml:space="preserve">Wind-facility residents vs coal-plant residents</w:t>
            </w:r>
          </w:p>
        </w:tc>
        <w:tc>
          <w:tcPr/>
          <w:p>
            <w:pPr>
              <w:pStyle w:val="Compact"/>
              <w:jc w:val="left"/>
            </w:pPr>
            <w:r>
              <w:t xml:space="preserve">Residents near wind reported more positive attitudes; residents near coal were willing to pay to remove the coal plant</w:t>
            </w:r>
          </w:p>
        </w:tc>
        <w:tc>
          <w:tcPr/>
          <w:p>
            <w:pPr>
              <w:pStyle w:val="Compact"/>
              <w:jc w:val="left"/>
            </w:pPr>
            <w:r>
              <w:t xml:space="preserve">Shows how local experience shapes source-specific attitudes</w:t>
            </w:r>
          </w:p>
        </w:tc>
      </w:tr>
    </w:tbl>
    <w:bookmarkEnd w:id="9"/>
    <w:bookmarkStart w:id="10" w:name="how-this-literature-is-organized"/>
    <w:p>
      <w:pPr>
        <w:pStyle w:val="Heading2"/>
      </w:pPr>
      <w:r>
        <w:t xml:space="preserve">How this literature is organized</w:t>
      </w:r>
    </w:p>
    <w:p>
      <w:pPr>
        <w:pStyle w:val="FirstParagraph"/>
      </w:pPr>
      <w:r>
        <w:t xml:space="preserve">Three designs dominate.</w:t>
      </w:r>
    </w:p>
    <w:p>
      <w:pPr>
        <w:pStyle w:val="Compact"/>
        <w:numPr>
          <w:ilvl w:val="0"/>
          <w:numId w:val="1001"/>
        </w:numPr>
      </w:pPr>
      <w:r>
        <w:t xml:space="preserve">Choice experiments ask respondents to trade source, siting, and bill premiums directly. These are the strongest papers for source-specific ranking because they make people choose among named technologies rather than endorse a vague clean-energy goal</w:t>
      </w:r>
      <w:r>
        <w:t xml:space="preserve"> </w:t>
      </w:r>
      <w:r>
        <w:t xml:space="preserve">(Borchers 2007)</w:t>
      </w:r>
      <w:r>
        <w:t xml:space="preserve">,</w:t>
      </w:r>
      <w:r>
        <w:t xml:space="preserve"> </w:t>
      </w:r>
      <w:r>
        <w:t xml:space="preserve">(Nkansah and Collins 2018)</w:t>
      </w:r>
      <w:r>
        <w:t xml:space="preserve">,</w:t>
      </w:r>
      <w:r>
        <w:t xml:space="preserve"> </w:t>
      </w:r>
      <w:r>
        <w:t xml:space="preserve">(Wang et al. 2019)</w:t>
      </w:r>
      <w:r>
        <w:t xml:space="preserve">.</w:t>
      </w:r>
    </w:p>
    <w:p>
      <w:pPr>
        <w:pStyle w:val="Compact"/>
        <w:numPr>
          <w:ilvl w:val="0"/>
          <w:numId w:val="1001"/>
        </w:numPr>
      </w:pPr>
      <w:r>
        <w:t xml:space="preserve">Portfolio experiments ask respondents to choose electricity mixes, often with explicit emissions information. These papers are useful for understanding whether people are paying for a source label or for the climate and health outcomes associated with it</w:t>
      </w:r>
      <w:r>
        <w:t xml:space="preserve"> </w:t>
      </w:r>
      <w:r>
        <w:t xml:space="preserve">(Sergi et al. 2018)</w:t>
      </w:r>
      <w:r>
        <w:t xml:space="preserve">.</w:t>
      </w:r>
    </w:p>
    <w:p>
      <w:pPr>
        <w:pStyle w:val="Compact"/>
        <w:numPr>
          <w:ilvl w:val="0"/>
          <w:numId w:val="1001"/>
        </w:numPr>
      </w:pPr>
      <w:r>
        <w:t xml:space="preserve">Policy valuation studies estimate willingness to pay for mandates or public spending. These are less source-specific, but they show how support changes when renewables are paired with fossil options such as natural gas</w:t>
      </w:r>
      <w:r>
        <w:t xml:space="preserve"> </w:t>
      </w:r>
      <w:r>
        <w:t xml:space="preserve">(Aldy et al. 2012)</w:t>
      </w:r>
      <w:r>
        <w:t xml:space="preserve">,</w:t>
      </w:r>
      <w:r>
        <w:t xml:space="preserve"> </w:t>
      </w:r>
      <w:r>
        <w:t xml:space="preserve">(Li et al. 2009)</w:t>
      </w:r>
      <w:r>
        <w:t xml:space="preserve">.</w:t>
      </w:r>
    </w:p>
    <w:bookmarkEnd w:id="10"/>
    <w:bookmarkStart w:id="11" w:name="main-patterns-in-the-literature"/>
    <w:p>
      <w:pPr>
        <w:pStyle w:val="Heading2"/>
      </w:pPr>
      <w:r>
        <w:t xml:space="preserve">Main patterns in the literature</w:t>
      </w:r>
    </w:p>
    <w:p>
      <w:pPr>
        <w:pStyle w:val="FirstParagraph"/>
      </w:pPr>
      <w:r>
        <w:t xml:space="preserve">Renewables usually beat fossil options when the comparison is explicit. In West Virginia, a setting with deep fossil-fuel exposure, respondents still preferred wind to natural gas and were willing to pay a positive premium for that shift</w:t>
      </w:r>
      <w:r>
        <w:t xml:space="preserve"> </w:t>
      </w:r>
      <w:r>
        <w:t xml:space="preserve">(Nkansah and Collins 2018)</w:t>
      </w:r>
      <w:r>
        <w:t xml:space="preserve">. The same broad pattern appears in policy framing: support is higher when a clean-energy standard is framed around renewables alone than when natural gas is included in the eligible mix</w:t>
      </w:r>
      <w:r>
        <w:t xml:space="preserve"> </w:t>
      </w:r>
      <w:r>
        <w:t xml:space="preserve">(Aldy et al. 2012)</w:t>
      </w:r>
      <w:r>
        <w:t xml:space="preserve">.</w:t>
      </w:r>
    </w:p>
    <w:p>
      <w:pPr>
        <w:pStyle w:val="BodyText"/>
      </w:pPr>
      <w:r>
        <w:t xml:space="preserve">Renewables are not treated as interchangeable. Solar and wind usually perform better than biomass-like options. In Delaware, solar drew the highest premium and biomass the lowest</w:t>
      </w:r>
      <w:r>
        <w:t xml:space="preserve"> </w:t>
      </w:r>
      <w:r>
        <w:t xml:space="preserve">(Borchers 2007)</w:t>
      </w:r>
      <w:r>
        <w:t xml:space="preserve">. In Vermont, solar was the top choice for public investment and anaerobic-digester electricity the least favored</w:t>
      </w:r>
      <w:r>
        <w:t xml:space="preserve"> </w:t>
      </w:r>
      <w:r>
        <w:t xml:space="preserve">(Wang et al. 2019)</w:t>
      </w:r>
      <w:r>
        <w:t xml:space="preserve">. This part of the literature points to a familiar pattern: technologies that look cleaner, simpler, and more familiar receive more support than those tied to combustion, waste streams, or unfamiliar processes</w:t>
      </w:r>
      <w:r>
        <w:t xml:space="preserve"> </w:t>
      </w:r>
      <w:r>
        <w:t xml:space="preserve">(Borchers 2007)</w:t>
      </w:r>
      <w:r>
        <w:t xml:space="preserve">,</w:t>
      </w:r>
      <w:r>
        <w:t xml:space="preserve"> </w:t>
      </w:r>
      <w:r>
        <w:t xml:space="preserve">(Wang et al. 2019)</w:t>
      </w:r>
      <w:r>
        <w:t xml:space="preserve">.</w:t>
      </w:r>
    </w:p>
    <w:p>
      <w:pPr>
        <w:pStyle w:val="BodyText"/>
      </w:pPr>
      <w:r>
        <w:t xml:space="preserve">Cost remains a hard constraint throughout the literature. In the clean-energy-standard study, each additional $10 of annual household cost reduced support probability by about 1 percentage point</w:t>
      </w:r>
      <w:r>
        <w:t xml:space="preserve"> </w:t>
      </w:r>
      <w:r>
        <w:t xml:space="preserve">(Aldy et al. 2012)</w:t>
      </w:r>
      <w:r>
        <w:t xml:space="preserve">. In experimental retail-choice settings, higher green premiums and higher volatility in green-plan prices reduce adoption</w:t>
      </w:r>
      <w:r>
        <w:t xml:space="preserve"> </w:t>
      </w:r>
      <w:r>
        <w:t xml:space="preserve">(Cardella et al. 2017)</w:t>
      </w:r>
      <w:r>
        <w:t xml:space="preserve">. The revealed-preference literature reaches the same basic conclusion: people who say they value renewables are more likely to enroll in green-pricing programs, but real take-up remains modest and sensitive to the premium charged</w:t>
      </w:r>
      <w:r>
        <w:t xml:space="preserve"> </w:t>
      </w:r>
      <w:r>
        <w:t xml:space="preserve">(Knapp et al. 2020)</w:t>
      </w:r>
      <w:r>
        <w:t xml:space="preserve">.</w:t>
      </w:r>
    </w:p>
    <w:p>
      <w:pPr>
        <w:pStyle w:val="BodyText"/>
      </w:pPr>
      <w:r>
        <w:t xml:space="preserve">Climate and health co-benefits strongly raise support for cleaner portfolios. When respondents are shown explicit CO2 and SO2 consequences, willingness to accept higher electricity bills rises sharply</w:t>
      </w:r>
      <w:r>
        <w:t xml:space="preserve"> </w:t>
      </w:r>
      <w:r>
        <w:t xml:space="preserve">(Sergi et al. 2018)</w:t>
      </w:r>
      <w:r>
        <w:t xml:space="preserve">. This helps explain why source preferences often look stronger when framed around emissions, health, or pollution burdens rather than around technology labels alone. In the wind-versus-gas study, pro-wind choices were also stronger among respondents who prioritized lower-pollution power investment</w:t>
      </w:r>
      <w:r>
        <w:t xml:space="preserve"> </w:t>
      </w:r>
      <w:r>
        <w:t xml:space="preserve">(Nkansah and Collins 2018)</w:t>
      </w:r>
      <w:r>
        <w:t xml:space="preserve">.</w:t>
      </w:r>
    </w:p>
    <w:p>
      <w:pPr>
        <w:pStyle w:val="BodyText"/>
      </w:pPr>
      <w:r>
        <w:t xml:space="preserve">Place matters. Preferences are partly about the energy source and partly about where infrastructure sits. In West Virginia, households preferred facilities located farther away, and local experience with an operating wind farm appears to have tempered support relative to the county without one</w:t>
      </w:r>
      <w:r>
        <w:t xml:space="preserve"> </w:t>
      </w:r>
      <w:r>
        <w:t xml:space="preserve">(Nkansah and Collins 2018)</w:t>
      </w:r>
      <w:r>
        <w:t xml:space="preserve">. Nearby experience also changes perceived burdens asymmetrically: residents near wind turbines reported more positive attitudes than residents near coal plants, and they were willing to pay to keep the wind facility while coal-adjacent residents were willing to pay to remove the coal plant</w:t>
      </w:r>
      <w:r>
        <w:t xml:space="preserve"> </w:t>
      </w:r>
      <w:r>
        <w:t xml:space="preserve">(Thomson and Kempton 2017)</w:t>
      </w:r>
      <w:r>
        <w:t xml:space="preserve">.</w:t>
      </w:r>
    </w:p>
    <w:bookmarkEnd w:id="11"/>
    <w:bookmarkStart w:id="12" w:name="politics-and-ideology"/>
    <w:p>
      <w:pPr>
        <w:pStyle w:val="Heading2"/>
      </w:pPr>
      <w:r>
        <w:t xml:space="preserve">Politics and ideology</w:t>
      </w:r>
    </w:p>
    <w:p>
      <w:pPr>
        <w:pStyle w:val="FirstParagraph"/>
      </w:pPr>
      <w:r>
        <w:t xml:space="preserve">Political beliefs are a real factor in willingness to pay, but they are not the only one and they are not measured the same way across studies. In this literature, the cleanest evidence often comes from party affiliation, political affiliation, or broader environmental concern rather than from a single ideology scale.</w:t>
      </w:r>
    </w:p>
    <w:p>
      <w:pPr>
        <w:pStyle w:val="BodyText"/>
      </w:pPr>
      <w:r>
        <w:t xml:space="preserve">The clearest result comes from the national clean-energy-standard study. That paper found large partisan differences in support even after accounting for cost and other respondent characteristics: Republicans were 25 percentage points less likely than Democrats to support the policy, and Independents were 13 points less likely</w:t>
      </w:r>
      <w:r>
        <w:t xml:space="preserve"> </w:t>
      </w:r>
      <w:r>
        <w:t xml:space="preserve">(Aldy et al. 2012)</w:t>
      </w:r>
      <w:r>
        <w:t xml:space="preserve">. Because the same paper also finds that higher costs reduce support, it shows that politics shifts the baseline willingness to pay rather than eliminating price sensitivity.</w:t>
      </w:r>
    </w:p>
    <w:p>
      <w:pPr>
        <w:pStyle w:val="BodyText"/>
      </w:pPr>
      <w:r>
        <w:t xml:space="preserve">The Vermont renewable-electricity study points in the same direction at the source-specific level. Political affiliation was associated with willingness to pay for premiums across solar, wind, and anaerobic-digester electricity</w:t>
      </w:r>
      <w:r>
        <w:t xml:space="preserve"> </w:t>
      </w:r>
      <w:r>
        <w:t xml:space="preserve">(Wang et al. 2019)</w:t>
      </w:r>
      <w:r>
        <w:t xml:space="preserve">. The paper’s broader pattern suggests that politics partly works through how respondents interpret the environmental value and social acceptability of a given renewable source.</w:t>
      </w:r>
    </w:p>
    <w:p>
      <w:pPr>
        <w:pStyle w:val="BodyText"/>
      </w:pPr>
      <w:r>
        <w:t xml:space="preserve">The green-pricing participation study adds a behavioral layer. It links stronger willingness to pay and higher program participation to stronger environmental concern, while also showing that higher premiums reduce actual enrollment</w:t>
      </w:r>
      <w:r>
        <w:t xml:space="preserve"> </w:t>
      </w:r>
      <w:r>
        <w:t xml:space="preserve">(Knapp et al. 2020)</w:t>
      </w:r>
      <w:r>
        <w:t xml:space="preserve">. That result suggests a practical reading of ideology: political beliefs and environmental worldview help explain who wants renewable power, but the final purchase decision still depends heavily on price.</w:t>
      </w:r>
    </w:p>
    <w:p>
      <w:pPr>
        <w:pStyle w:val="BodyText"/>
      </w:pPr>
      <w:r>
        <w:t xml:space="preserve">Taken together, these studies support a narrow but solid claim: political beliefs help sort respondents into higher- and lower-support groups for renewable energy premiums and clean-energy policy, but ideology operates alongside cost, familiarity, and local context rather than replacing them</w:t>
      </w:r>
      <w:r>
        <w:t xml:space="preserve"> </w:t>
      </w:r>
      <w:r>
        <w:t xml:space="preserve">(Aldy et al. 2012)</w:t>
      </w:r>
      <w:r>
        <w:t xml:space="preserve">,</w:t>
      </w:r>
      <w:r>
        <w:t xml:space="preserve"> </w:t>
      </w:r>
      <w:r>
        <w:t xml:space="preserve">(Wang et al. 2019)</w:t>
      </w:r>
      <w:r>
        <w:t xml:space="preserve">,</w:t>
      </w:r>
      <w:r>
        <w:t xml:space="preserve"> </w:t>
      </w:r>
      <w:r>
        <w:t xml:space="preserve">(Knapp et al. 2020)</w:t>
      </w:r>
      <w:r>
        <w:t xml:space="preserve">.</w:t>
      </w:r>
    </w:p>
    <w:bookmarkEnd w:id="12"/>
    <w:bookmarkStart w:id="13" w:name="consistent-factors-across-studies"/>
    <w:p>
      <w:pPr>
        <w:pStyle w:val="Heading2"/>
        <w:keepNext w:val="0"/>
      </w:pPr>
      <w:r>
        <w:t xml:space="preserve">Consistent factors across studies</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Factor</w:t>
            </w:r>
          </w:p>
        </w:tc>
        <w:tc>
          <w:tcPr/>
          <w:p>
            <w:pPr>
              <w:pStyle w:val="Compact"/>
              <w:jc w:val="left"/>
            </w:pPr>
            <w:r>
              <w:t xml:space="preserve">Direction of effect</w:t>
            </w:r>
          </w:p>
        </w:tc>
        <w:tc>
          <w:tcPr/>
          <w:p>
            <w:pPr>
              <w:pStyle w:val="Compact"/>
              <w:jc w:val="left"/>
            </w:pPr>
            <w:r>
              <w:t xml:space="preserve">Evidence</w:t>
            </w:r>
          </w:p>
        </w:tc>
      </w:tr>
      <w:tr>
        <w:trPr>
          <w:cantSplit/>
        </w:trPr>
        <w:tc>
          <w:tcPr/>
          <w:p>
            <w:pPr>
              <w:pStyle w:val="Compact"/>
              <w:jc w:val="left"/>
            </w:pPr>
            <w:r>
              <w:t xml:space="preserve">Higher price or premium</w:t>
            </w:r>
          </w:p>
        </w:tc>
        <w:tc>
          <w:tcPr/>
          <w:p>
            <w:pPr>
              <w:pStyle w:val="Compact"/>
              <w:jc w:val="left"/>
            </w:pPr>
            <w:r>
              <w:t xml:space="preserve">Lowers willingness to pay or support</w:t>
            </w:r>
          </w:p>
        </w:tc>
        <w:tc>
          <w:tcPr/>
          <w:p>
            <w:pPr>
              <w:pStyle w:val="Compact"/>
              <w:jc w:val="left"/>
            </w:pPr>
            <w:r>
              <w:t xml:space="preserve">(Aldy et al. 2012)</w:t>
            </w:r>
            <w:r>
              <w:t xml:space="preserve">,</w:t>
            </w:r>
            <w:r>
              <w:t xml:space="preserve"> </w:t>
            </w:r>
            <w:r>
              <w:t xml:space="preserve">(Cardella et al. 2017)</w:t>
            </w:r>
            <w:r>
              <w:t xml:space="preserve">,</w:t>
            </w:r>
            <w:r>
              <w:t xml:space="preserve"> </w:t>
            </w:r>
            <w:r>
              <w:t xml:space="preserve">(Knapp et al. 2020)</w:t>
            </w:r>
          </w:p>
        </w:tc>
      </w:tr>
      <w:tr>
        <w:trPr>
          <w:cantSplit/>
        </w:trPr>
        <w:tc>
          <w:tcPr/>
          <w:p>
            <w:pPr>
              <w:pStyle w:val="Compact"/>
              <w:jc w:val="left"/>
            </w:pPr>
            <w:r>
              <w:t xml:space="preserve">Stronger environmental concern</w:t>
            </w:r>
          </w:p>
        </w:tc>
        <w:tc>
          <w:tcPr/>
          <w:p>
            <w:pPr>
              <w:pStyle w:val="Compact"/>
              <w:jc w:val="left"/>
            </w:pPr>
            <w:r>
              <w:t xml:space="preserve">Raises support for renewables and green pricing</w:t>
            </w:r>
          </w:p>
        </w:tc>
        <w:tc>
          <w:tcPr/>
          <w:p>
            <w:pPr>
              <w:pStyle w:val="Compact"/>
              <w:jc w:val="left"/>
            </w:pPr>
            <w:r>
              <w:t xml:space="preserve">(Knapp et al. 2020)</w:t>
            </w:r>
            <w:r>
              <w:t xml:space="preserve">,</w:t>
            </w:r>
            <w:r>
              <w:t xml:space="preserve"> </w:t>
            </w:r>
            <w:r>
              <w:t xml:space="preserve">(Nkansah and Collins 2018)</w:t>
            </w:r>
            <w:r>
              <w:t xml:space="preserve">,</w:t>
            </w:r>
            <w:r>
              <w:t xml:space="preserve"> </w:t>
            </w:r>
            <w:r>
              <w:t xml:space="preserve">(Sergi et al. 2018)</w:t>
            </w:r>
          </w:p>
        </w:tc>
      </w:tr>
      <w:tr>
        <w:trPr>
          <w:cantSplit/>
        </w:trPr>
        <w:tc>
          <w:tcPr/>
          <w:p>
            <w:pPr>
              <w:pStyle w:val="Compact"/>
              <w:jc w:val="left"/>
            </w:pPr>
            <w:r>
              <w:t xml:space="preserve">Cleaner source image and familiarity</w:t>
            </w:r>
          </w:p>
        </w:tc>
        <w:tc>
          <w:tcPr/>
          <w:p>
            <w:pPr>
              <w:pStyle w:val="Compact"/>
              <w:jc w:val="left"/>
            </w:pPr>
            <w:r>
              <w:t xml:space="preserve">Raises support for solar and wind relative to less familiar renewable options</w:t>
            </w:r>
          </w:p>
        </w:tc>
        <w:tc>
          <w:tcPr/>
          <w:p>
            <w:pPr>
              <w:pStyle w:val="Compact"/>
              <w:jc w:val="left"/>
            </w:pPr>
            <w:r>
              <w:t xml:space="preserve">(Borchers 2007)</w:t>
            </w:r>
            <w:r>
              <w:t xml:space="preserve">,</w:t>
            </w:r>
            <w:r>
              <w:t xml:space="preserve"> </w:t>
            </w:r>
            <w:r>
              <w:t xml:space="preserve">(Wang et al. 2019)</w:t>
            </w:r>
          </w:p>
        </w:tc>
      </w:tr>
      <w:tr>
        <w:trPr>
          <w:cantSplit/>
        </w:trPr>
        <w:tc>
          <w:tcPr/>
          <w:p>
            <w:pPr>
              <w:pStyle w:val="Compact"/>
              <w:jc w:val="left"/>
            </w:pPr>
            <w:r>
              <w:t xml:space="preserve">Political affiliation and ideology</w:t>
            </w:r>
          </w:p>
        </w:tc>
        <w:tc>
          <w:tcPr/>
          <w:p>
            <w:pPr>
              <w:pStyle w:val="Compact"/>
              <w:jc w:val="left"/>
            </w:pPr>
            <w:r>
              <w:t xml:space="preserve">More pro-environment or left-leaning respondents tend to show higher support</w:t>
            </w:r>
          </w:p>
        </w:tc>
        <w:tc>
          <w:tcPr/>
          <w:p>
            <w:pPr>
              <w:pStyle w:val="Compact"/>
              <w:jc w:val="left"/>
            </w:pPr>
            <w:r>
              <w:t xml:space="preserve">(Aldy et al. 2012)</w:t>
            </w:r>
            <w:r>
              <w:t xml:space="preserve">,</w:t>
            </w:r>
            <w:r>
              <w:t xml:space="preserve"> </w:t>
            </w:r>
            <w:r>
              <w:t xml:space="preserve">(Wang et al. 2019)</w:t>
            </w:r>
            <w:r>
              <w:t xml:space="preserve">,</w:t>
            </w:r>
            <w:r>
              <w:t xml:space="preserve"> </w:t>
            </w:r>
            <w:r>
              <w:t xml:space="preserve">(Knapp et al. 2020)</w:t>
            </w:r>
          </w:p>
        </w:tc>
      </w:tr>
      <w:tr>
        <w:trPr>
          <w:cantSplit/>
        </w:trPr>
        <w:tc>
          <w:tcPr/>
          <w:p>
            <w:pPr>
              <w:pStyle w:val="Compact"/>
              <w:jc w:val="left"/>
            </w:pPr>
            <w:r>
              <w:t xml:space="preserve">Explicit climate and health benefits</w:t>
            </w:r>
          </w:p>
        </w:tc>
        <w:tc>
          <w:tcPr/>
          <w:p>
            <w:pPr>
              <w:pStyle w:val="Compact"/>
              <w:jc w:val="left"/>
            </w:pPr>
            <w:r>
              <w:t xml:space="preserve">Raises acceptance of higher electricity bills for cleaner portfolios</w:t>
            </w:r>
          </w:p>
        </w:tc>
        <w:tc>
          <w:tcPr/>
          <w:p>
            <w:pPr>
              <w:pStyle w:val="Compact"/>
              <w:jc w:val="left"/>
            </w:pPr>
            <w:r>
              <w:t xml:space="preserve">(Sergi et al. 2018)</w:t>
            </w:r>
            <w:r>
              <w:t xml:space="preserve">,</w:t>
            </w:r>
            <w:r>
              <w:t xml:space="preserve"> </w:t>
            </w:r>
            <w:r>
              <w:t xml:space="preserve">(Aldy et al. 2012)</w:t>
            </w:r>
          </w:p>
        </w:tc>
      </w:tr>
      <w:tr>
        <w:trPr>
          <w:cantSplit/>
        </w:trPr>
        <w:tc>
          <w:tcPr/>
          <w:p>
            <w:pPr>
              <w:pStyle w:val="Compact"/>
              <w:jc w:val="left"/>
            </w:pPr>
            <w:r>
              <w:t xml:space="preserve">Local siting burden</w:t>
            </w:r>
          </w:p>
        </w:tc>
        <w:tc>
          <w:tcPr/>
          <w:p>
            <w:pPr>
              <w:pStyle w:val="Compact"/>
              <w:jc w:val="left"/>
            </w:pPr>
            <w:r>
              <w:t xml:space="preserve">Nearby or more visible facilities can reduce support, even when the source is favored in general</w:t>
            </w:r>
          </w:p>
        </w:tc>
        <w:tc>
          <w:tcPr/>
          <w:p>
            <w:pPr>
              <w:pStyle w:val="Compact"/>
              <w:jc w:val="left"/>
            </w:pPr>
            <w:r>
              <w:t xml:space="preserve">(Nkansah and Collins 2018)</w:t>
            </w:r>
            <w:r>
              <w:t xml:space="preserve">,</w:t>
            </w:r>
            <w:r>
              <w:t xml:space="preserve"> </w:t>
            </w:r>
            <w:r>
              <w:t xml:space="preserve">(Thomson and Kempton 2017)</w:t>
            </w:r>
          </w:p>
        </w:tc>
      </w:tr>
      <w:tr>
        <w:trPr>
          <w:cantSplit/>
        </w:trPr>
        <w:tc>
          <w:tcPr/>
          <w:p>
            <w:pPr>
              <w:pStyle w:val="Compact"/>
              <w:jc w:val="left"/>
            </w:pPr>
            <w:r>
              <w:t xml:space="preserve">Income and homeownership</w:t>
            </w:r>
          </w:p>
        </w:tc>
        <w:tc>
          <w:tcPr/>
          <w:p>
            <w:pPr>
              <w:pStyle w:val="Compact"/>
              <w:jc w:val="left"/>
            </w:pPr>
            <w:r>
              <w:t xml:space="preserve">Often associated with greater ability or willingness to pay</w:t>
            </w:r>
          </w:p>
        </w:tc>
        <w:tc>
          <w:tcPr/>
          <w:p>
            <w:pPr>
              <w:pStyle w:val="Compact"/>
              <w:jc w:val="left"/>
            </w:pPr>
            <w:r>
              <w:t xml:space="preserve">(Knapp et al. 2020)</w:t>
            </w:r>
            <w:r>
              <w:t xml:space="preserve">,</w:t>
            </w:r>
            <w:r>
              <w:t xml:space="preserve"> </w:t>
            </w:r>
            <w:r>
              <w:t xml:space="preserve">(Wang et al. 2019)</w:t>
            </w:r>
          </w:p>
        </w:tc>
      </w:tr>
    </w:tbl>
    <w:bookmarkEnd w:id="13"/>
    <w:bookmarkStart w:id="14" w:name="why-preferences-differ"/>
    <w:p>
      <w:pPr>
        <w:pStyle w:val="Heading2"/>
        <w:keepNext w:val="0"/>
      </w:pPr>
      <w:r>
        <w:t xml:space="preserve">Why preferences differ</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Mechanism</w:t>
            </w:r>
          </w:p>
        </w:tc>
        <w:tc>
          <w:tcPr/>
          <w:p>
            <w:pPr>
              <w:pStyle w:val="Compact"/>
              <w:jc w:val="left"/>
            </w:pPr>
            <w:r>
              <w:t xml:space="preserve">What the literature shows</w:t>
            </w:r>
          </w:p>
        </w:tc>
        <w:tc>
          <w:tcPr/>
          <w:p>
            <w:pPr>
              <w:pStyle w:val="Compact"/>
              <w:jc w:val="left"/>
            </w:pPr>
            <w:r>
              <w:t xml:space="preserve">Illustrative papers</w:t>
            </w:r>
          </w:p>
        </w:tc>
      </w:tr>
      <w:tr>
        <w:trPr>
          <w:cantSplit/>
        </w:trPr>
        <w:tc>
          <w:tcPr/>
          <w:p>
            <w:pPr>
              <w:pStyle w:val="Compact"/>
              <w:jc w:val="left"/>
            </w:pPr>
            <w:r>
              <w:t xml:space="preserve">Cost and price risk</w:t>
            </w:r>
          </w:p>
        </w:tc>
        <w:tc>
          <w:tcPr/>
          <w:p>
            <w:pPr>
              <w:pStyle w:val="Compact"/>
              <w:jc w:val="left"/>
            </w:pPr>
            <w:r>
              <w:t xml:space="preserve">Positive WTP exists, but it is bounded. Higher premiums and volatility reduce support even among respondents who favor cleaner power in principle.</w:t>
            </w:r>
          </w:p>
        </w:tc>
        <w:tc>
          <w:tcPr/>
          <w:p>
            <w:pPr>
              <w:pStyle w:val="Compact"/>
              <w:jc w:val="left"/>
            </w:pPr>
            <w:r>
              <w:t xml:space="preserve">(Aldy et al. 2012)</w:t>
            </w:r>
            <w:r>
              <w:t xml:space="preserve">,</w:t>
            </w:r>
            <w:r>
              <w:t xml:space="preserve"> </w:t>
            </w:r>
            <w:r>
              <w:t xml:space="preserve">(Cardella et al. 2017)</w:t>
            </w:r>
            <w:r>
              <w:t xml:space="preserve">,</w:t>
            </w:r>
            <w:r>
              <w:t xml:space="preserve"> </w:t>
            </w:r>
            <w:r>
              <w:t xml:space="preserve">(Knapp et al. 2020)</w:t>
            </w:r>
          </w:p>
        </w:tc>
      </w:tr>
      <w:tr>
        <w:trPr>
          <w:cantSplit/>
        </w:trPr>
        <w:tc>
          <w:tcPr/>
          <w:p>
            <w:pPr>
              <w:pStyle w:val="Compact"/>
              <w:jc w:val="left"/>
            </w:pPr>
            <w:r>
              <w:t xml:space="preserve">Familiarity and source image</w:t>
            </w:r>
          </w:p>
        </w:tc>
        <w:tc>
          <w:tcPr/>
          <w:p>
            <w:pPr>
              <w:pStyle w:val="Compact"/>
              <w:jc w:val="left"/>
            </w:pPr>
            <w:r>
              <w:t xml:space="preserve">Solar and wind tend to outperform biomass-like options because they are more familiar and are seen as cleaner and less noxious.</w:t>
            </w:r>
          </w:p>
        </w:tc>
        <w:tc>
          <w:tcPr/>
          <w:p>
            <w:pPr>
              <w:pStyle w:val="Compact"/>
              <w:jc w:val="left"/>
            </w:pPr>
            <w:r>
              <w:t xml:space="preserve">(Borchers 2007)</w:t>
            </w:r>
            <w:r>
              <w:t xml:space="preserve">,</w:t>
            </w:r>
            <w:r>
              <w:t xml:space="preserve"> </w:t>
            </w:r>
            <w:r>
              <w:t xml:space="preserve">(Wang et al. 2019)</w:t>
            </w:r>
          </w:p>
        </w:tc>
      </w:tr>
      <w:tr>
        <w:trPr>
          <w:cantSplit/>
        </w:trPr>
        <w:tc>
          <w:tcPr/>
          <w:p>
            <w:pPr>
              <w:pStyle w:val="Compact"/>
              <w:jc w:val="left"/>
            </w:pPr>
            <w:r>
              <w:t xml:space="preserve">Climate and health co-benefits</w:t>
            </w:r>
          </w:p>
        </w:tc>
        <w:tc>
          <w:tcPr/>
          <w:p>
            <w:pPr>
              <w:pStyle w:val="Compact"/>
              <w:jc w:val="left"/>
            </w:pPr>
            <w:r>
              <w:t xml:space="preserve">Support rises when cleaner portfolios are linked to lower CO2 and SO2, suggesting that people value outcomes as much as source labels.</w:t>
            </w:r>
          </w:p>
        </w:tc>
        <w:tc>
          <w:tcPr/>
          <w:p>
            <w:pPr>
              <w:pStyle w:val="Compact"/>
              <w:jc w:val="left"/>
            </w:pPr>
            <w:r>
              <w:t xml:space="preserve">(Sergi et al. 2018)</w:t>
            </w:r>
            <w:r>
              <w:t xml:space="preserve">,</w:t>
            </w:r>
            <w:r>
              <w:t xml:space="preserve"> </w:t>
            </w:r>
            <w:r>
              <w:t xml:space="preserve">(Nkansah and Collins 2018)</w:t>
            </w:r>
            <w:r>
              <w:t xml:space="preserve">,</w:t>
            </w:r>
            <w:r>
              <w:t xml:space="preserve"> </w:t>
            </w:r>
            <w:r>
              <w:t xml:space="preserve">(Aldy et al. 2012)</w:t>
            </w:r>
          </w:p>
        </w:tc>
      </w:tr>
      <w:tr>
        <w:trPr>
          <w:cantSplit/>
        </w:trPr>
        <w:tc>
          <w:tcPr/>
          <w:p>
            <w:pPr>
              <w:pStyle w:val="Compact"/>
              <w:jc w:val="left"/>
            </w:pPr>
            <w:r>
              <w:t xml:space="preserve">Political beliefs and environmental worldview</w:t>
            </w:r>
          </w:p>
        </w:tc>
        <w:tc>
          <w:tcPr/>
          <w:p>
            <w:pPr>
              <w:pStyle w:val="Compact"/>
              <w:jc w:val="left"/>
            </w:pPr>
            <w:r>
              <w:t xml:space="preserve">Party affiliation and broader environmental beliefs shape support for renewable premiums and clean-energy policy.</w:t>
            </w:r>
          </w:p>
        </w:tc>
        <w:tc>
          <w:tcPr/>
          <w:p>
            <w:pPr>
              <w:pStyle w:val="Compact"/>
              <w:jc w:val="left"/>
            </w:pPr>
            <w:r>
              <w:t xml:space="preserve">(Aldy et al. 2012)</w:t>
            </w:r>
            <w:r>
              <w:t xml:space="preserve">,</w:t>
            </w:r>
            <w:r>
              <w:t xml:space="preserve"> </w:t>
            </w:r>
            <w:r>
              <w:t xml:space="preserve">(Wang et al. 2019)</w:t>
            </w:r>
            <w:r>
              <w:t xml:space="preserve">,</w:t>
            </w:r>
            <w:r>
              <w:t xml:space="preserve"> </w:t>
            </w:r>
            <w:r>
              <w:t xml:space="preserve">(Knapp et al. 2020)</w:t>
            </w:r>
          </w:p>
        </w:tc>
      </w:tr>
      <w:tr>
        <w:trPr>
          <w:cantSplit/>
        </w:trPr>
        <w:tc>
          <w:tcPr/>
          <w:p>
            <w:pPr>
              <w:pStyle w:val="Compact"/>
              <w:jc w:val="left"/>
            </w:pPr>
            <w:r>
              <w:t xml:space="preserve">Siting and local burden</w:t>
            </w:r>
          </w:p>
        </w:tc>
        <w:tc>
          <w:tcPr/>
          <w:p>
            <w:pPr>
              <w:pStyle w:val="Compact"/>
              <w:jc w:val="left"/>
            </w:pPr>
            <w:r>
              <w:t xml:space="preserve">Preferences shift with distance, visibility, and local exposure; support for a technology does not imply support for nearby infrastructure.</w:t>
            </w:r>
          </w:p>
        </w:tc>
        <w:tc>
          <w:tcPr/>
          <w:p>
            <w:pPr>
              <w:pStyle w:val="Compact"/>
              <w:jc w:val="left"/>
            </w:pPr>
            <w:r>
              <w:t xml:space="preserve">(Nkansah and Collins 2018)</w:t>
            </w:r>
            <w:r>
              <w:t xml:space="preserve">,</w:t>
            </w:r>
            <w:r>
              <w:t xml:space="preserve"> </w:t>
            </w:r>
            <w:r>
              <w:t xml:space="preserve">(Nkansah and Collins 2014)</w:t>
            </w:r>
            <w:r>
              <w:t xml:space="preserve">,</w:t>
            </w:r>
            <w:r>
              <w:t xml:space="preserve"> </w:t>
            </w:r>
            <w:r>
              <w:t xml:space="preserve">(Thomson and Kempton 2017)</w:t>
            </w:r>
          </w:p>
        </w:tc>
      </w:tr>
    </w:tbl>
    <w:bookmarkEnd w:id="14"/>
    <w:bookmarkStart w:id="15" w:name="occasional-non-u.s.-comparisons"/>
    <w:p>
      <w:pPr>
        <w:pStyle w:val="Heading2"/>
      </w:pPr>
      <w:r>
        <w:t xml:space="preserve">Occasional non-U.S. comparisons</w:t>
      </w:r>
    </w:p>
    <w:p>
      <w:pPr>
        <w:pStyle w:val="FirstParagraph"/>
      </w:pPr>
      <w:r>
        <w:t xml:space="preserve">The U.S. pattern should not be treated as universal. Cross-national comparisons in the broader literature suggest that support for renewables over fossil-heavy portfolios is widespread, but the strength of the premium and the salience of source labels vary across political and institutional settings. For this memo, the main point is narrower: the U.S. literature already shows a durable preference for many renewable options over fossil alternatives, but one that remains highly sensitive to price, framing, and local context</w:t>
      </w:r>
      <w:r>
        <w:t xml:space="preserve"> </w:t>
      </w:r>
      <w:r>
        <w:t xml:space="preserve">(Borchers 2007)</w:t>
      </w:r>
      <w:r>
        <w:t xml:space="preserve">,</w:t>
      </w:r>
      <w:r>
        <w:t xml:space="preserve"> </w:t>
      </w:r>
      <w:r>
        <w:t xml:space="preserve">(Nkansah and Collins 2018)</w:t>
      </w:r>
      <w:r>
        <w:t xml:space="preserve">,</w:t>
      </w:r>
      <w:r>
        <w:t xml:space="preserve"> </w:t>
      </w:r>
      <w:r>
        <w:t xml:space="preserve">(Sergi et al. 2018)</w:t>
      </w:r>
      <w:r>
        <w:t xml:space="preserve">.</w:t>
      </w:r>
    </w:p>
    <w:bookmarkEnd w:id="15"/>
    <w:bookmarkStart w:id="16" w:name="limits-of-the-evidence-base"/>
    <w:p>
      <w:pPr>
        <w:pStyle w:val="Heading2"/>
      </w:pPr>
      <w:r>
        <w:t xml:space="preserve">Limits of the evidence base</w:t>
      </w:r>
    </w:p>
    <w:p>
      <w:pPr>
        <w:pStyle w:val="Compact"/>
        <w:numPr>
          <w:ilvl w:val="0"/>
          <w:numId w:val="1002"/>
        </w:numPr>
      </w:pPr>
      <w:r>
        <w:t xml:space="preserve">Most studies are stated-preference exercises rather than observations of actual electricity purchasing behavior, so hypothetical support likely exceeds what many households would really pay</w:t>
      </w:r>
      <w:r>
        <w:t xml:space="preserve"> </w:t>
      </w:r>
      <w:r>
        <w:t xml:space="preserve">(Borchers 2007)</w:t>
      </w:r>
      <w:r>
        <w:t xml:space="preserve">,</w:t>
      </w:r>
      <w:r>
        <w:t xml:space="preserve"> </w:t>
      </w:r>
      <w:r>
        <w:t xml:space="preserve">(Sergi et al. 2018)</w:t>
      </w:r>
      <w:r>
        <w:t xml:space="preserve">,</w:t>
      </w:r>
      <w:r>
        <w:t xml:space="preserve"> </w:t>
      </w:r>
      <w:r>
        <w:t xml:space="preserve">(Knapp et al. 2020)</w:t>
      </w:r>
      <w:r>
        <w:t xml:space="preserve">.</w:t>
      </w:r>
    </w:p>
    <w:p>
      <w:pPr>
        <w:pStyle w:val="Compact"/>
        <w:numPr>
          <w:ilvl w:val="0"/>
          <w:numId w:val="1002"/>
        </w:numPr>
      </w:pPr>
      <w:r>
        <w:t xml:space="preserve">Local and regional studies remain important in this literature. Delaware, Vermont, and West Virginia contribute useful contrast, but many results are place-bound</w:t>
      </w:r>
      <w:r>
        <w:t xml:space="preserve"> </w:t>
      </w:r>
      <w:r>
        <w:t xml:space="preserve">(Borchers 2007)</w:t>
      </w:r>
      <w:r>
        <w:t xml:space="preserve">,</w:t>
      </w:r>
      <w:r>
        <w:t xml:space="preserve"> </w:t>
      </w:r>
      <w:r>
        <w:t xml:space="preserve">(Wang et al. 2019)</w:t>
      </w:r>
      <w:r>
        <w:t xml:space="preserve">,</w:t>
      </w:r>
      <w:r>
        <w:t xml:space="preserve"> </w:t>
      </w:r>
      <w:r>
        <w:t xml:space="preserve">(Nkansah and Collins 2018)</w:t>
      </w:r>
      <w:r>
        <w:t xml:space="preserve">.</w:t>
      </w:r>
    </w:p>
    <w:p>
      <w:pPr>
        <w:pStyle w:val="Compact"/>
        <w:numPr>
          <w:ilvl w:val="0"/>
          <w:numId w:val="1002"/>
        </w:numPr>
      </w:pPr>
      <w:r>
        <w:t xml:space="preserve">Fossil fuels are often under-specified. Many papers compare renewables to a generic incumbent mix or to natural gas alone, rather than giving coal, gas, and oil symmetric treatment in the same design</w:t>
      </w:r>
      <w:r>
        <w:t xml:space="preserve"> </w:t>
      </w:r>
      <w:r>
        <w:t xml:space="preserve">(Borchers 2007)</w:t>
      </w:r>
      <w:r>
        <w:t xml:space="preserve">,</w:t>
      </w:r>
      <w:r>
        <w:t xml:space="preserve"> </w:t>
      </w:r>
      <w:r>
        <w:t xml:space="preserve">(Nkansah and Collins 2018)</w:t>
      </w:r>
      <w:r>
        <w:t xml:space="preserve">,</w:t>
      </w:r>
      <w:r>
        <w:t xml:space="preserve"> </w:t>
      </w:r>
      <w:r>
        <w:t xml:space="preserve">(Li et al. 2009)</w:t>
      </w:r>
      <w:r>
        <w:t xml:space="preserve">.</w:t>
      </w:r>
    </w:p>
    <w:p>
      <w:pPr>
        <w:pStyle w:val="Compact"/>
        <w:numPr>
          <w:ilvl w:val="0"/>
          <w:numId w:val="1002"/>
        </w:numPr>
      </w:pPr>
      <w:r>
        <w:t xml:space="preserve">Preferences are highly frame-sensitive. Source labels, emissions information, payment vehicle, and whether respondents are choosing a single technology or a portfolio all materially change the result</w:t>
      </w:r>
      <w:r>
        <w:t xml:space="preserve"> </w:t>
      </w:r>
      <w:r>
        <w:t xml:space="preserve">(Aldy et al. 2012)</w:t>
      </w:r>
      <w:r>
        <w:t xml:space="preserve">,</w:t>
      </w:r>
      <w:r>
        <w:t xml:space="preserve"> </w:t>
      </w:r>
      <w:r>
        <w:t xml:space="preserve">(Sergi et al. 2018)</w:t>
      </w:r>
      <w:r>
        <w:t xml:space="preserve">.</w:t>
      </w:r>
    </w:p>
    <w:bookmarkEnd w:id="16"/>
    <w:bookmarkStart w:id="17" w:name="bottom-line"/>
    <w:p>
      <w:pPr>
        <w:pStyle w:val="Heading2"/>
      </w:pPr>
      <w:r>
        <w:t xml:space="preserve">Bottom line</w:t>
      </w:r>
    </w:p>
    <w:p>
      <w:pPr>
        <w:pStyle w:val="FirstParagraph"/>
      </w:pPr>
      <w:r>
        <w:t xml:space="preserve">The strongest reading of this literature is that U.S. households do have source-specific energy preferences, and those preferences are not subtle. Renewables usually draw a premium over fossil alternatives, but the premium varies by renewable type and by local context</w:t>
      </w:r>
      <w:r>
        <w:t xml:space="preserve"> </w:t>
      </w:r>
      <w:r>
        <w:t xml:space="preserve">(Borchers 2007)</w:t>
      </w:r>
      <w:r>
        <w:t xml:space="preserve">,</w:t>
      </w:r>
      <w:r>
        <w:t xml:space="preserve"> </w:t>
      </w:r>
      <w:r>
        <w:t xml:space="preserve">(Nkansah and Collins 2018)</w:t>
      </w:r>
      <w:r>
        <w:t xml:space="preserve">,</w:t>
      </w:r>
      <w:r>
        <w:t xml:space="preserve"> </w:t>
      </w:r>
      <w:r>
        <w:t xml:space="preserve">(Wang et al. 2019)</w:t>
      </w:r>
      <w:r>
        <w:t xml:space="preserve">. Political beliefs are part of that story: party affiliation and environmental worldview help explain who is willing to pay, but they do not override price sensitivity or local concerns</w:t>
      </w:r>
      <w:r>
        <w:t xml:space="preserve"> </w:t>
      </w:r>
      <w:r>
        <w:t xml:space="preserve">(Aldy et al. 2012)</w:t>
      </w:r>
      <w:r>
        <w:t xml:space="preserve">,</w:t>
      </w:r>
      <w:r>
        <w:t xml:space="preserve"> </w:t>
      </w:r>
      <w:r>
        <w:t xml:space="preserve">(Knapp et al. 2020)</w:t>
      </w:r>
      <w:r>
        <w:t xml:space="preserve">,</w:t>
      </w:r>
      <w:r>
        <w:t xml:space="preserve"> </w:t>
      </w:r>
      <w:r>
        <w:t xml:space="preserve">(Wang et al. 2019)</w:t>
      </w:r>
      <w:r>
        <w:t xml:space="preserve">. Across renewable-versus-fossil comparisons, willingness to pay is real but conditional on cost, perceived co-benefits, and the concrete burdens a technology seems to impose</w:t>
      </w:r>
      <w:r>
        <w:t xml:space="preserve"> </w:t>
      </w:r>
      <w:r>
        <w:t xml:space="preserve">(Sergi et al. 2018)</w:t>
      </w:r>
      <w:r>
        <w:t xml:space="preserve">,</w:t>
      </w:r>
      <w:r>
        <w:t xml:space="preserve"> </w:t>
      </w:r>
      <w:r>
        <w:t xml:space="preserve">(Cardella et al. 2017)</w:t>
      </w:r>
      <w:r>
        <w:t xml:space="preserve">,</w:t>
      </w:r>
      <w:r>
        <w:t xml:space="preserve"> </w:t>
      </w:r>
      <w:r>
        <w:t xml:space="preserve">(Thomson and Kempton 2017)</w:t>
      </w:r>
      <w:r>
        <w:t xml:space="preserve">.</w:t>
      </w:r>
    </w:p>
    <w:p>
      <w:r>
        <w:br w:type="page"/>
      </w:r>
    </w:p>
    <w:bookmarkEnd w:id="17"/>
    <w:p>
      <w:pPr>
        <w:pStyle w:val="Heading2"/>
      </w:pPr>
      <w:r>
        <w:t xml:space="preserve">References</w:t>
      </w:r>
    </w:p>
    <w:bookmarkStart w:id="37" w:name="refs"/>
    <w:bookmarkStart w:id="19" w:name="ref-Ald12"/>
    <w:p>
      <w:pPr>
        <w:pStyle w:val="Bibliography"/>
      </w:pPr>
      <w:r>
        <w:t xml:space="preserve">Aldy, Joseph E., Matthew J. Kotchen, and A. Leiserowitz. 2012.</w:t>
      </w:r>
      <w:r>
        <w:t xml:space="preserve"> </w:t>
      </w:r>
      <w:r>
        <w:t xml:space="preserve">“Willingness to Pay and Political Support for a US National Clean Energy Standard.”</w:t>
      </w:r>
      <w:r>
        <w:t xml:space="preserve"> </w:t>
      </w:r>
      <w:r>
        <w:rPr>
          <w:i/>
          <w:iCs/>
        </w:rPr>
        <w:t xml:space="preserve">Nature Climate Change</w:t>
      </w:r>
      <w:r>
        <w:t xml:space="preserve"> </w:t>
      </w:r>
      <w:r>
        <w:t xml:space="preserve">2 (August): 596–99.</w:t>
      </w:r>
      <w:r>
        <w:t xml:space="preserve"> </w:t>
      </w:r>
      <w:hyperlink r:id="rId18">
        <w:r>
          <w:rPr>
            <w:rStyle w:val="Hyperlink"/>
          </w:rPr>
          <w:t xml:space="preserve">https://doi.org/10.1038/NCLIMATE1527</w:t>
        </w:r>
      </w:hyperlink>
      <w:r>
        <w:t xml:space="preserve">.</w:t>
      </w:r>
    </w:p>
    <w:bookmarkEnd w:id="19"/>
    <w:bookmarkStart w:id="21" w:name="ref-Bor07"/>
    <w:p>
      <w:pPr>
        <w:pStyle w:val="Bibliography"/>
      </w:pPr>
      <w:r>
        <w:t xml:space="preserve">Borchers, A. 2007.</w:t>
      </w:r>
      <w:r>
        <w:t xml:space="preserve"> </w:t>
      </w:r>
      <w:r>
        <w:t xml:space="preserve">“Does Willingness to Pay for Green Energy Differ by Source? A Contingent Choice Experiment.”</w:t>
      </w:r>
      <w:r>
        <w:t xml:space="preserve"> </w:t>
      </w:r>
      <w:r>
        <w:t xml:space="preserve">Preprint, June 1.</w:t>
      </w:r>
      <w:r>
        <w:t xml:space="preserve"> </w:t>
      </w:r>
      <w:hyperlink r:id="rId20">
        <w:r>
          <w:rPr>
            <w:rStyle w:val="Hyperlink"/>
          </w:rPr>
          <w:t xml:space="preserve">https://doi.org/10.1016/J.ENPOL.2006.12.009</w:t>
        </w:r>
      </w:hyperlink>
      <w:r>
        <w:t xml:space="preserve">.</w:t>
      </w:r>
    </w:p>
    <w:bookmarkEnd w:id="21"/>
    <w:bookmarkStart w:id="23" w:name="ref-Car17"/>
    <w:p>
      <w:pPr>
        <w:pStyle w:val="Bibliography"/>
      </w:pPr>
      <w:r>
        <w:t xml:space="preserve">Cardella, E., B. Ewing, and R. Williams. 2017.</w:t>
      </w:r>
      <w:r>
        <w:t xml:space="preserve"> </w:t>
      </w:r>
      <w:r>
        <w:t xml:space="preserve">“Price Volatility and Residential Electricity Decisions: Experimental Evidence on the Convergence of Energy Generating Source.”</w:t>
      </w:r>
      <w:r>
        <w:t xml:space="preserve"> </w:t>
      </w:r>
      <w:r>
        <w:t xml:space="preserve">In</w:t>
      </w:r>
      <w:r>
        <w:t xml:space="preserve"> </w:t>
      </w:r>
      <w:r>
        <w:rPr>
          <w:i/>
          <w:iCs/>
        </w:rPr>
        <w:t xml:space="preserve">Energy Economics</w:t>
      </w:r>
      <w:r>
        <w:t xml:space="preserve">, vol. 62. Preprint, February 1.</w:t>
      </w:r>
      <w:r>
        <w:t xml:space="preserve"> </w:t>
      </w:r>
      <w:hyperlink r:id="rId22">
        <w:r>
          <w:rPr>
            <w:rStyle w:val="Hyperlink"/>
          </w:rPr>
          <w:t xml:space="preserve">https://doi.org/10.1016/J.ENECO.2016.07.012</w:t>
        </w:r>
      </w:hyperlink>
      <w:r>
        <w:t xml:space="preserve">.</w:t>
      </w:r>
    </w:p>
    <w:bookmarkEnd w:id="23"/>
    <w:bookmarkStart w:id="25" w:name="ref-Kna20"/>
    <w:p>
      <w:pPr>
        <w:pStyle w:val="Bibliography"/>
      </w:pPr>
      <w:r>
        <w:t xml:space="preserve">Knapp, Lauren A., E. O’Shaughnessy, J. Heeter, Sarah B. Mills, and J. DeCicco. 2020.</w:t>
      </w:r>
      <w:r>
        <w:t xml:space="preserve"> </w:t>
      </w:r>
      <w:r>
        <w:t xml:space="preserve">“Will Consumers Really Pay for Green Electricity? Comparing Stated and Revealed Preferences for Residential Programs in the United States.”</w:t>
      </w:r>
      <w:r>
        <w:t xml:space="preserve"> </w:t>
      </w:r>
      <w:r>
        <w:rPr>
          <w:i/>
          <w:iCs/>
        </w:rPr>
        <w:t xml:space="preserve">Energy Research and Social Science</w:t>
      </w:r>
      <w:r>
        <w:t xml:space="preserve"> </w:t>
      </w:r>
      <w:r>
        <w:t xml:space="preserve">65 (July): 101457.</w:t>
      </w:r>
      <w:r>
        <w:t xml:space="preserve"> </w:t>
      </w:r>
      <w:hyperlink r:id="rId24">
        <w:r>
          <w:rPr>
            <w:rStyle w:val="Hyperlink"/>
          </w:rPr>
          <w:t xml:space="preserve">https://doi.org/10.1016/j.erss.2020.101457</w:t>
        </w:r>
      </w:hyperlink>
      <w:r>
        <w:t xml:space="preserve">.</w:t>
      </w:r>
    </w:p>
    <w:bookmarkEnd w:id="25"/>
    <w:bookmarkStart w:id="27" w:name="ref-Li09"/>
    <w:p>
      <w:pPr>
        <w:pStyle w:val="Bibliography"/>
      </w:pPr>
      <w:r>
        <w:t xml:space="preserve">Li, Hui, H. Jenkins‐Smith, Carol L. Silva, R. Berrens, and K. G. Herron. 2009.</w:t>
      </w:r>
      <w:r>
        <w:t xml:space="preserve"> </w:t>
      </w:r>
      <w:r>
        <w:t xml:space="preserve">“Public Support for Reducing US Reliance on Fossil Fuels: Investigating Household Willingness-to-Pay for Energy Research and Development.”</w:t>
      </w:r>
      <w:r>
        <w:t xml:space="preserve"> </w:t>
      </w:r>
      <w:r>
        <w:rPr>
          <w:i/>
          <w:iCs/>
        </w:rPr>
        <w:t xml:space="preserve">Ecological Economics</w:t>
      </w:r>
      <w:r>
        <w:t xml:space="preserve"> </w:t>
      </w:r>
      <w:r>
        <w:t xml:space="preserve">68 (January): 731–42.</w:t>
      </w:r>
      <w:r>
        <w:t xml:space="preserve"> </w:t>
      </w:r>
      <w:hyperlink r:id="rId26">
        <w:r>
          <w:rPr>
            <w:rStyle w:val="Hyperlink"/>
          </w:rPr>
          <w:t xml:space="preserve">https://doi.org/10.1016/J.ECOLECON.2008.06.005</w:t>
        </w:r>
      </w:hyperlink>
      <w:r>
        <w:t xml:space="preserve">.</w:t>
      </w:r>
    </w:p>
    <w:bookmarkEnd w:id="27"/>
    <w:bookmarkStart w:id="28" w:name="ref-Nka14"/>
    <w:p>
      <w:pPr>
        <w:pStyle w:val="Bibliography"/>
      </w:pPr>
      <w:r>
        <w:t xml:space="preserve">Nkansah, K., and A. Collins. 2014.</w:t>
      </w:r>
      <w:r>
        <w:t xml:space="preserve"> </w:t>
      </w:r>
      <w:r>
        <w:t xml:space="preserve">“The Impact of Location and Proximity on Consumers’ Willingness to Pay for Renewable and Alternative Electricity: The Case of West Virginia.”</w:t>
      </w:r>
      <w:r>
        <w:t xml:space="preserve"> </w:t>
      </w:r>
      <w:r>
        <w:t xml:space="preserve">In</w:t>
      </w:r>
      <w:r>
        <w:t xml:space="preserve"> </w:t>
      </w:r>
      <w:r>
        <w:rPr>
          <w:i/>
          <w:iCs/>
        </w:rPr>
        <w:t xml:space="preserve">Research Papers in Economics</w:t>
      </w:r>
      <w:r>
        <w:t xml:space="preserve">. Preprint.</w:t>
      </w:r>
    </w:p>
    <w:bookmarkEnd w:id="28"/>
    <w:bookmarkStart w:id="30" w:name="ref-Nka18"/>
    <w:p>
      <w:pPr>
        <w:pStyle w:val="Bibliography"/>
      </w:pPr>
      <w:r>
        <w:t xml:space="preserve">Nkansah, K., and A. Collins. 2018.</w:t>
      </w:r>
      <w:r>
        <w:t xml:space="preserve"> </w:t>
      </w:r>
      <w:r>
        <w:t xml:space="preserve">“Willingness to Pay for Wind Versus Natural Gas Generation of Electricity.”</w:t>
      </w:r>
      <w:r>
        <w:t xml:space="preserve"> </w:t>
      </w:r>
      <w:r>
        <w:rPr>
          <w:i/>
          <w:iCs/>
        </w:rPr>
        <w:t xml:space="preserve">Agricultural and Resource Economics Review</w:t>
      </w:r>
      <w:r>
        <w:t xml:space="preserve"> </w:t>
      </w:r>
      <w:r>
        <w:t xml:space="preserve">48 (March): 44–70.</w:t>
      </w:r>
      <w:r>
        <w:t xml:space="preserve"> </w:t>
      </w:r>
      <w:hyperlink r:id="rId29">
        <w:r>
          <w:rPr>
            <w:rStyle w:val="Hyperlink"/>
          </w:rPr>
          <w:t xml:space="preserve">https://doi.org/10.1017/age.2017.40</w:t>
        </w:r>
      </w:hyperlink>
      <w:r>
        <w:t xml:space="preserve">.</w:t>
      </w:r>
    </w:p>
    <w:bookmarkEnd w:id="30"/>
    <w:bookmarkStart w:id="32" w:name="ref-Ser18"/>
    <w:p>
      <w:pPr>
        <w:pStyle w:val="Bibliography"/>
      </w:pPr>
      <w:r>
        <w:t xml:space="preserve">Sergi, Brian, Alex Davis, and I. Azevedo. 2018.</w:t>
      </w:r>
      <w:r>
        <w:t xml:space="preserve"> </w:t>
      </w:r>
      <w:r>
        <w:t xml:space="preserve">“The Effect of Providing Climate and Health Information on Support for Alternative Electricity Portfolios.”</w:t>
      </w:r>
      <w:r>
        <w:t xml:space="preserve"> </w:t>
      </w:r>
      <w:r>
        <w:rPr>
          <w:i/>
          <w:iCs/>
        </w:rPr>
        <w:t xml:space="preserve">Environmental Research Letters</w:t>
      </w:r>
      <w:r>
        <w:t xml:space="preserve"> </w:t>
      </w:r>
      <w:r>
        <w:t xml:space="preserve">13 (February).</w:t>
      </w:r>
      <w:r>
        <w:t xml:space="preserve"> </w:t>
      </w:r>
      <w:hyperlink r:id="rId31">
        <w:r>
          <w:rPr>
            <w:rStyle w:val="Hyperlink"/>
          </w:rPr>
          <w:t xml:space="preserve">https://doi.org/10.1088/1748-9326/aa9fab</w:t>
        </w:r>
      </w:hyperlink>
      <w:r>
        <w:t xml:space="preserve">.</w:t>
      </w:r>
    </w:p>
    <w:bookmarkEnd w:id="32"/>
    <w:bookmarkStart w:id="34" w:name="ref-Tho17"/>
    <w:p>
      <w:pPr>
        <w:pStyle w:val="Bibliography"/>
      </w:pPr>
      <w:r>
        <w:t xml:space="preserve">Thomson, H., and W. Kempton. 2017.</w:t>
      </w:r>
      <w:r>
        <w:t xml:space="preserve"> </w:t>
      </w:r>
      <w:r>
        <w:t xml:space="preserve">“Perceptions and Attitudes of Residents Living Near a Wind Turbine Compared with Those Living Near a Coal Power Plant.”</w:t>
      </w:r>
      <w:r>
        <w:t xml:space="preserve"> </w:t>
      </w:r>
      <w:r>
        <w:t xml:space="preserve">In</w:t>
      </w:r>
      <w:r>
        <w:t xml:space="preserve"> </w:t>
      </w:r>
      <w:r>
        <w:rPr>
          <w:i/>
          <w:iCs/>
        </w:rPr>
        <w:t xml:space="preserve">Renewable Energy</w:t>
      </w:r>
      <w:r>
        <w:t xml:space="preserve">. Preprint, October 1.</w:t>
      </w:r>
      <w:r>
        <w:t xml:space="preserve"> </w:t>
      </w:r>
      <w:hyperlink r:id="rId33">
        <w:r>
          <w:rPr>
            <w:rStyle w:val="Hyperlink"/>
          </w:rPr>
          <w:t xml:space="preserve">https://doi.org/10.1016/J.RENENE.2017.10.036</w:t>
        </w:r>
      </w:hyperlink>
      <w:r>
        <w:t xml:space="preserve">.</w:t>
      </w:r>
    </w:p>
    <w:bookmarkEnd w:id="34"/>
    <w:bookmarkStart w:id="36" w:name="ref-Wan19"/>
    <w:p>
      <w:pPr>
        <w:pStyle w:val="Bibliography"/>
      </w:pPr>
      <w:r>
        <w:t xml:space="preserve">Wang, Qingbin, Laurel Valchuis, E. Thompson, D. Conner, and R. Parsons. 2019.</w:t>
      </w:r>
      <w:r>
        <w:t xml:space="preserve"> </w:t>
      </w:r>
      <w:r>
        <w:t xml:space="preserve">“Consumer Support and Willingness to Pay for Electricity from Solar, Wind, and Cow Manure in the United States: Evidence from a Survey in Vermont.”</w:t>
      </w:r>
      <w:r>
        <w:t xml:space="preserve"> </w:t>
      </w:r>
      <w:r>
        <w:rPr>
          <w:i/>
          <w:iCs/>
        </w:rPr>
        <w:t xml:space="preserve">Energies</w:t>
      </w:r>
      <w:r>
        <w:t xml:space="preserve">, ahead of print, November 23.</w:t>
      </w:r>
      <w:r>
        <w:t xml:space="preserve"> </w:t>
      </w:r>
      <w:hyperlink r:id="rId35">
        <w:r>
          <w:rPr>
            <w:rStyle w:val="Hyperlink"/>
          </w:rPr>
          <w:t xml:space="preserve">https://doi.org/10.3390/en12234467</w:t>
        </w:r>
      </w:hyperlink>
      <w:r>
        <w:t xml:space="preserve">.</w:t>
      </w:r>
    </w:p>
    <w:bookmarkEnd w:id="36"/>
    <w:bookmarkEnd w:id="37"/>
    <w:bookmarkEnd w:id="38"/>
    <w:sectPr>
      <w:headerReference r:id="rIdHeader1" w:type="default"/>
      <w:headerReference r:id="rIdHeader2" w:type="first"/>
      <w:footerReference r:id="rIdFooter1" w:type="default"/>
      <w:footnotePr>
        <w:numRestart w:val="eachSect"/>
      </w:footnotePr>
      <w:pgSz w:h="15840" w:w="12240"/>
      <w:pgMar w:bottom="1440" w:footer="720"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CCCCCC"/>
      </w:pBdr>
      <w:jc w:val="center"/>
    </w:pPr>
    <w:r>
      <w:rPr>
        <w:sz w:val="16"/>
        <w:szCs w:val="16"/>
        <w:color w:val="808080"/>
      </w:rPr>
      <w:fldChar w:fldCharType="begin"/>
    </w:r>
    <w:r>
      <w:rPr>
        <w:sz w:val="16"/>
        <w:szCs w:val="16"/>
        <w:color w:val="808080"/>
      </w:rPr>
      <w:instrText xml:space="preserve"> PAGE </w:instrText>
    </w:r>
    <w:r>
      <w:rPr>
        <w:sz w:val="16"/>
        <w:szCs w:val="16"/>
        <w:color w:val="808080"/>
      </w:rPr>
      <w:fldChar w:fldCharType="end"/>
    </w:r>
    <w:r>
      <w:rPr>
        <w:sz w:val="16"/>
        <w:szCs w:val="16"/>
        <w:color w:val="808080"/>
      </w:rPr>
      <w:t xml:space="preserve"> / </w:t>
    </w:r>
    <w:r>
      <w:rPr>
        <w:sz w:val="16"/>
        <w:szCs w:val="16"/>
        <w:color w:val="808080"/>
      </w:rPr>
      <w:fldChar w:fldCharType="begin"/>
    </w:r>
    <w:r>
      <w:rPr>
        <w:sz w:val="16"/>
        <w:szCs w:val="16"/>
        <w:color w:val="808080"/>
      </w:rPr>
      <w:instrText xml:space="preserve"> NUMPAGES </w:instrText>
    </w:r>
    <w:r>
      <w:rPr>
        <w:sz w:val="16"/>
        <w:szCs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http://schemas.openxmlformats.org/wordprocessingml/2006/main">
  <w:p>
    <w:pPr>
      <w:pBdr>
        <w:bottom w:val="single" w:sz="4" w:space="4" w:color="CCCCCC"/>
      </w:pBdr>
      <w:tabs>
        <w:tab w:val="center" w:pos="4680"/>
        <w:tab w:val="right" w:pos="9360"/>
      </w:tabs>
    </w:pPr>
    <w:hyperlink r:id="rIdLink1">
      <w:r>
        <w:rPr>
          <w:b/>
          <w:rStyle w:val="Hyperlink"/>
          <w:sz w:val="16"/>
          <w:szCs w:val="16"/>
        </w:rPr>
        <w:t>Undermind</w:t>
      </w:r>
    </w:hyperlink>
    <w:r>
      <w:rPr>
        <w:sz w:val="16"/>
        <w:szCs w:val="16"/>
        <w:color w:val="808080"/>
      </w:rPr>
      <w:tab/>
    </w:r>
    <w:r>
      <w:rPr>
        <w:sz w:val="16"/>
        <w:szCs w:val="16"/>
        <w:color w:val="808080"/>
      </w:rPr>
      <w:t xml:space="preserve">US energy source willingness to pay memo</w:t>
    </w:r>
    <w:r>
      <w:rPr>
        <w:sz w:val="16"/>
        <w:szCs w:val="16"/>
        <w:color w:val="808080"/>
      </w:rPr>
      <w:tab/>
    </w:r>
    <w:r>
      <w:rPr>
        <w:sz w:val="16"/>
        <w:szCs w:val="16"/>
        <w:color w:val="808080"/>
      </w:rPr>
      <w:t xml:space="preserve">June 30, 2026</w:t>
    </w:r>
  </w:p>
</w:hdr>
</file>

<file path=word/header2.xml><?xml version="1.0" encoding="utf-8"?>
<w:hdr xmlns:w="http://schemas.openxmlformats.org/wordprocessingml/2006/main" xmlns:r="http://schemas.openxmlformats.org/officeDocument/2006/relationships">
  <w:p>
    <w:pPr>
      <w:pBdr>
        <w:bottom w:val="single" w:sz="4" w:space="4" w:color="CCCCCC"/>
      </w:pBdr>
      <w:jc w:val="center"/>
    </w:pPr>
    <w:hyperlink r:id="rIdLink1">
      <w:r>
        <w:rPr>
          <w:b/>
          <w:rStyle w:val="Hyperlink"/>
          <w:sz w:val="16"/>
          <w:szCs w:val="16"/>
        </w:rPr>
        <w:t>Undermind</w:t>
      </w:r>
    </w:hyperlink>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2"/>
      <w:szCs w:val="22"/>
    </w:rPr>
  </w:style>
  <w:style w:styleId="Date" w:type="paragraph">
    <w:name w:val="Date"/>
    <w:basedOn w:val="Title"/>
    <w:next w:val="BodyText"/>
    <w:qFormat/>
    <w:pPr>
      <w:keepNext/>
      <w:keepLines/>
    </w:pPr>
    <w:rPr>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Bdr>
        <w:bottom w:color="0F1B61" w:space="4" w:sz="12" w:val="single"/>
      </w:pBdr>
      <w:spacing w:after="160" w:before="360"/>
      <w:outlineLvl w:val="0"/>
    </w:pPr>
    <w:rPr>
      <w:b/>
      <w:bCs/>
      <w:color w:val="0F1B61"/>
      <w:sz w:val="44"/>
      <w:szCs w:val="44"/>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b/>
      <w:bCs/>
      <w:color w:val="1A3A7A"/>
      <w:sz w:val="30"/>
      <w:szCs w:val="30"/>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b/>
      <w:bCs/>
      <w:color w:val="2D5AA0"/>
      <w:sz w:val="25"/>
      <w:szCs w:val="25"/>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b/>
      <w:bCs/>
      <w:color w:val="0F1B61"/>
      <w:sz w:val="44"/>
      <w:szCs w:val="44"/>
    </w:rPr>
  </w:style>
  <w:style w:customStyle="1" w:styleId="Heading2Char" w:type="character">
    <w:name w:val="Heading 2 Char"/>
    <w:basedOn w:val="DefaultParagraphFont"/>
    <w:link w:val="Heading2"/>
    <w:uiPriority w:val="9"/>
    <w:semiHidden/>
    <w:rsid w:val="00A10FD9"/>
    <w:rPr>
      <w:b/>
      <w:bCs/>
      <w:color w:val="1A3A7A"/>
      <w:sz w:val="30"/>
      <w:szCs w:val="30"/>
    </w:rPr>
  </w:style>
  <w:style w:customStyle="1" w:styleId="Heading3Char" w:type="character">
    <w:name w:val="Heading 3 Char"/>
    <w:basedOn w:val="DefaultParagraphFont"/>
    <w:link w:val="Heading3"/>
    <w:uiPriority w:val="9"/>
    <w:semiHidden/>
    <w:rsid w:val="00A10FD9"/>
    <w:rPr>
      <w:b/>
      <w:bCs/>
      <w:color w:val="2D5AA0"/>
      <w:sz w:val="25"/>
      <w:szCs w:val="25"/>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val="nil"/>
        <w:left w:val="nil"/>
        <w:bottom w:color="E0E0E0" w:sz="4" w:val="single"/>
        <w:right w:val="nil"/>
        <w:insideH w:color="E0E0E0" w:sz="4" w:val="single"/>
        <w:insideV w:val="nil"/>
      </w:tblBorders>
      <w:tblCellMar>
        <w:top w:type="dxa" w:w="80"/>
        <w:left w:type="dxa" w:w="108"/>
        <w:bottom w:type="dxa" w:w="80"/>
        <w:right w:type="dxa" w:w="108"/>
      </w:tblCellMar>
    </w:tblPr>
    <w:tblStylePr w:type="firstRow">
      <w:rPr>
        <w:b/>
        <w:bCs/>
      </w:rPr>
      <w:tcPr>
        <w:tcBorders>
          <w:bottom w:color="0F1B61" w:sz="12" w:val="single"/>
        </w:tcBorders>
        <w:shd w:color="auto" w:fill="F0F3FA" w:val="clear"/>
        <w:vAlign w:val="bottom"/>
      </w:tcPr>
    </w:tblStylePr>
    <w:tblStylePr w:type="band1Horz">
      <w:tcPr>
        <w:shd w:color="auto" w:fill="FAFA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1" Target="header1.xml" Type="http://schemas.openxmlformats.org/officeDocument/2006/relationships/header" /><Relationship Id="rIdHeader2" Target="header2.xml" Type="http://schemas.openxmlformats.org/officeDocument/2006/relationships/header" /><Relationship Id="rIdFooter1" Target="footer1.xml" Type="http://schemas.openxmlformats.org/officeDocument/2006/relationships/footer" /><Relationship Type="http://schemas.openxmlformats.org/officeDocument/2006/relationships/hyperlink" Id="rId26" Target="https://doi.org/10.1016/J.ECOLECON.2008.06.005" TargetMode="External" /><Relationship Type="http://schemas.openxmlformats.org/officeDocument/2006/relationships/hyperlink" Id="rId22" Target="https://doi.org/10.1016/J.ENECO.2016.07.012" TargetMode="External" /><Relationship Type="http://schemas.openxmlformats.org/officeDocument/2006/relationships/hyperlink" Id="rId20" Target="https://doi.org/10.1016/J.ENPOL.2006.12.009" TargetMode="External" /><Relationship Type="http://schemas.openxmlformats.org/officeDocument/2006/relationships/hyperlink" Id="rId33" Target="https://doi.org/10.1016/J.RENENE.2017.10.036" TargetMode="External" /><Relationship Type="http://schemas.openxmlformats.org/officeDocument/2006/relationships/hyperlink" Id="rId24" Target="https://doi.org/10.1016/j.erss.2020.101457" TargetMode="External" /><Relationship Type="http://schemas.openxmlformats.org/officeDocument/2006/relationships/hyperlink" Id="rId29" Target="https://doi.org/10.1017/age.2017.40" TargetMode="External" /><Relationship Type="http://schemas.openxmlformats.org/officeDocument/2006/relationships/hyperlink" Id="rId18" Target="https://doi.org/10.1038/NCLIMATE1527" TargetMode="External" /><Relationship Type="http://schemas.openxmlformats.org/officeDocument/2006/relationships/hyperlink" Id="rId31" Target="https://doi.org/10.1088/1748-9326/aa9fab" TargetMode="External" /><Relationship Type="http://schemas.openxmlformats.org/officeDocument/2006/relationships/hyperlink" Id="rId35" Target="https://doi.org/10.3390/en12234467"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016/J.ECOLECON.2008.06.005" TargetMode="External" /><Relationship Type="http://schemas.openxmlformats.org/officeDocument/2006/relationships/hyperlink" Id="rId22" Target="https://doi.org/10.1016/J.ENECO.2016.07.012" TargetMode="External" /><Relationship Type="http://schemas.openxmlformats.org/officeDocument/2006/relationships/hyperlink" Id="rId20" Target="https://doi.org/10.1016/J.ENPOL.2006.12.009" TargetMode="External" /><Relationship Type="http://schemas.openxmlformats.org/officeDocument/2006/relationships/hyperlink" Id="rId33" Target="https://doi.org/10.1016/J.RENENE.2017.10.036" TargetMode="External" /><Relationship Type="http://schemas.openxmlformats.org/officeDocument/2006/relationships/hyperlink" Id="rId24" Target="https://doi.org/10.1016/j.erss.2020.101457" TargetMode="External" /><Relationship Type="http://schemas.openxmlformats.org/officeDocument/2006/relationships/hyperlink" Id="rId29" Target="https://doi.org/10.1017/age.2017.40" TargetMode="External" /><Relationship Type="http://schemas.openxmlformats.org/officeDocument/2006/relationships/hyperlink" Id="rId18" Target="https://doi.org/10.1038/NCLIMATE1527" TargetMode="External" /><Relationship Type="http://schemas.openxmlformats.org/officeDocument/2006/relationships/hyperlink" Id="rId31" Target="https://doi.org/10.1088/1748-9326/aa9fab" TargetMode="External" /><Relationship Type="http://schemas.openxmlformats.org/officeDocument/2006/relationships/hyperlink" Id="rId35" Target="https://doi.org/10.3390/en12234467" TargetMode="External" /></Relationships>
</file>

<file path=word/_rels/header1.xml.rels><?xml version="1.0" encoding="UTF-8" standalone="yes"?>
<Relationships xmlns="http://schemas.openxmlformats.org/package/2006/relationships">
  <Relationship Id="rIdLink1"
    Type="http://schemas.openxmlformats.org/officeDocument/2006/relationships/hyperlink"
    Target="https://undermind.ai" TargetMode="External"/>
</Relationships>
</file>

<file path=word/_rels/header2.xml.rels><?xml version="1.0" encoding="UTF-8" standalone="yes"?>
<Relationships xmlns="http://schemas.openxmlformats.org/package/2006/relationships">
  <Relationship Id="rIdLink1"
    Type="http://schemas.openxmlformats.org/officeDocument/2006/relationships/hyperlink"
    Target="https://undermin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energy source willingness to pay memo</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/tmp/tmp3kfbvcfs/references.json</vt:lpwstr>
  </property>
  <property fmtid="{D5CDD505-2E9C-101B-9397-08002B2CF9AE}" pid="3" name="csl">
    <vt:lpwstr>/home/ec2-user/django_website_abstract/config/export/citation_styles/chicago-author-date.csl</vt:lpwstr>
  </property>
  <property fmtid="{D5CDD505-2E9C-101B-9397-08002B2CF9AE}" pid="4" name="date">
    <vt:lpwstr>June 30, 2026</vt:lpwstr>
  </property>
</Properties>
</file>