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p>
      <w:pPr>
        <w:pStyle w:val="AbstractTitle"/>
      </w:pPr>
      <w:r>
        <w:t xml:space="preserve">Abstract</w:t>
      </w:r>
    </w:p>
    <w:p>
      <w:pPr>
        <w:pStyle w:val="Abstract"/>
      </w:pPr>
      <w:r>
        <w:t xml:space="preserve">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WTP less for renewables, whereas Democrats prioritized renewables and were WTP more for them. Neither cue had an average effect on priority or WTP. The Trump cue moved Republicans toward fossil fuels on the priority scale, though this effect does not hold after adjusting for multiple comparisons,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w:t>
      </w:r>
    </w:p>
    <w:bookmarkStart w:id="10" w:name="introduction"/>
    <w:p>
      <w:pPr>
        <w:pStyle w:val="Heading1"/>
      </w:pPr>
      <w:r>
        <w:t xml:space="preserve">Introduction</w:t>
      </w:r>
    </w:p>
    <w:p>
      <w:pPr>
        <w:pStyle w:val="FirstParagraph"/>
      </w:pPr>
      <w:r>
        <w:t xml:space="preserve">Shifting from fossil fuel sources of energy to renewables is needed to mitigate climate change. Yet,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 Finally, the rhetoric and actions of President Trump since beginning his second term have focused on expanding fossil fuels and reducing renewables. Such actions by such a divisive political actor can serve as a partisan cue for the public.</w:t>
      </w:r>
    </w:p>
    <w:p>
      <w:pPr>
        <w:pStyle w:val="BodyText"/>
      </w:pPr>
      <w:r>
        <w:t xml:space="preserve">Cues have been shown to inform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Given the emphases of the second Trump administration regarding fossil fuels and renewables, it is possible that polarization among the public on energy sources may increase in response. In this paper, I explore how exposure to a Trump or climate cue, compared to an unattributed argument for fossil fuels, influences how the US public prioritizes fossil fuels versus renewables as well as their willingness-to-pay (WTP) for those energy sources.</w:t>
      </w:r>
    </w:p>
    <w:p>
      <w:pPr>
        <w:pStyle w:val="BodyText"/>
      </w:pPr>
      <w:r>
        <w:t xml:space="preserve">As noted, the public is responsive to cues when forming their views on energy issues; however, less is known about how cues may impact the WTP of the public. The closest work, by</w:t>
      </w:r>
      <w:r>
        <w:t xml:space="preserve"> </w:t>
      </w:r>
      <w:r>
        <w:t xml:space="preserve">Benegal and Green (2024)</w:t>
      </w:r>
      <w:r>
        <w:t xml:space="preserve">, found that partisan cue-taking outweighed sensitivity to cost in support for the Green New Deal, yet the outcome in that study was support for a policy with a stated cost rather than the amount respondents would add to their own electricity bill for a specific energy source. Additionally, few studies compare the effect of a cue on a costless expression of preference, such as how energy sources should be prioritized, with its effect on a costly one, such as WTP, among the same respondents. 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p>
      <w:pPr>
        <w:pStyle w:val="BodyText"/>
      </w:pPr>
      <w:r>
        <w:t xml:space="preserve">In this study, I expand on current research by testing the impacts of a Trump cue versus a climate change cue on the prioritization of and WTP for fossil fuels and renewable sources of energy. Overall, I find that partisanship shapes energy source prioritization as Republicans tend to prioritize and have a higher WTP for fossil fuels and Democrats prioritize and have a higher WTP for renewables. Neither cue had an average effect on either outcome. There is some evidence that Republicans in the Trump cue prioritize fossil fuels more, though this effect does not hold after adjusting for multiple comparisons, and there is no evidence that the climate cue moved Democrats toward renewables. Finally, the cues did not reliably shift WTP for either energy source among partisans, which suggests that cues are more likely to move costless expressions of preference than costly ones.</w:t>
      </w:r>
    </w:p>
    <w:bookmarkEnd w:id="10"/>
    <w:bookmarkStart w:id="13" w:name="X414242f9dcb5de71fe60fdaf88dd8e9b91b80ad"/>
    <w:p>
      <w:pPr>
        <w:pStyle w:val="Heading1"/>
      </w:pPr>
      <w:r>
        <w:t xml:space="preserve">Cues, Public Opinion, and the Public’s Willingness-to-Pay for Energy</w:t>
      </w:r>
    </w:p>
    <w:p>
      <w:pPr>
        <w:pStyle w:val="FirstParagraph"/>
      </w:pPr>
      <w:r>
        <w:t xml:space="preserve">Partisan and elite cues shape public opinion on climate and energy issues, as the public tends to adopt the positions associated with their political party</w:t>
      </w:r>
      <w:r>
        <w:t xml:space="preserve"> </w:t>
      </w:r>
      <w:r>
        <w:t xml:space="preserve">(Ehret, Van Boven, and Sherman 2018; Merkley and Stecula 2021; Tesler 2018)</w:t>
      </w:r>
      <w:r>
        <w:t xml:space="preserve">. Cues provide an information heuristic, or shortcut, that allows the public to form opinions regarding a host of issues. Additionally, cues provide guides for motivated reasoning, as individuals apply reasoning in service to matching their views with those of their preferred party. Such motivated reasoning has been found in energy policy specifically.</w:t>
      </w:r>
      <w:r>
        <w:t xml:space="preserve"> </w:t>
      </w:r>
      <w:r>
        <w:t xml:space="preserve">Bolsen, Druckman, and Cook (2014)</w:t>
      </w:r>
      <w:r>
        <w:t xml:space="preserve"> </w:t>
      </w:r>
      <w:r>
        <w:t xml:space="preserve">found that party endorsements of an energy law led partisans to support the law when their party endorsed it and to oppose it when the other party did, and</w:t>
      </w:r>
      <w:r>
        <w:t xml:space="preserve"> </w:t>
      </w:r>
      <w:r>
        <w:t xml:space="preserve">Druckman, Peterson, and Slothuus (2013)</w:t>
      </w:r>
      <w:r>
        <w:t xml:space="preserve"> </w:t>
      </w:r>
      <w:r>
        <w:t xml:space="preserve">found, in experiments on drilling and immigration, that elite polarization intensifies the influence of party endorsements on opinion. Given the polarized elite environment surrounding energy, a cue tied to President Trump is likely to be a strong signal to partisans of both parties. Apart from partisan cues, connecting energy policies to the polarized issue of climate change can also shape and polarize public opinion. For example,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w:t>
      </w:r>
    </w:p>
    <w:p>
      <w:pPr>
        <w:pStyle w:val="BodyText"/>
      </w:pPr>
      <w:r>
        <w:t xml:space="preserve">In addition to beliefs and attitudes, partisanship is also likely to influence an individual’s WTP. For example, conservatives were less likely to purchase an energy-efficient light bulb when it was labeled with an environmental message, as opposed to no label</w:t>
      </w:r>
      <w:r>
        <w:t xml:space="preserve"> </w:t>
      </w:r>
      <w:r>
        <w:t xml:space="preserve">(Gromet, Kunreuther, and Larrick 2013)</w:t>
      </w:r>
      <w:r>
        <w:t xml:space="preserve">. A larger number of studies have examined stated WTP and political beliefs.</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beliefs about whether climate change is occurring.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Benegal and Green (2024)</w:t>
      </w:r>
      <w:r>
        <w:t xml:space="preserve"> </w:t>
      </w:r>
      <w:r>
        <w:t xml:space="preserve">found that partisan cue-taking, where respondents supported policies proposed by their party, outweighed sensitivity to the policy’s stated cost.</w:t>
      </w:r>
      <w:r>
        <w:t xml:space="preserve"> </w:t>
      </w:r>
      <w:r>
        <w:t xml:space="preserve">Scheuch (2026)</w:t>
      </w:r>
      <w:r>
        <w:t xml:space="preserve"> </w:t>
      </w:r>
      <w:r>
        <w:t xml:space="preserve">also found partisanship to be a significant predictor of WTP for local climate policy, alongside age and income. Overall, political beliefs seem to influence not just abstract support for climate and energy policy, but the dollar amounts people state that they are willing to pay.</w:t>
      </w:r>
    </w:p>
    <w:p>
      <w:pPr>
        <w:pStyle w:val="BodyText"/>
      </w:pPr>
      <w:r>
        <w:t xml:space="preserve">Yet, the influence of cues may differ between costless and costly expressions of preference. Stating how energy sources should be prioritized costs a respondent nothing, so agreeing with a trusted source or disagreeing with a disliked one is easy. Indeed, research on expressive responding has found that partisan differences in survey responses shrink when respondents are given an incentive to answer accurately, which suggests that some partisan responses are an expression of support for one’s party rather than a sincere belief</w:t>
      </w:r>
      <w:r>
        <w:t xml:space="preserve"> </w:t>
      </w:r>
      <w:r>
        <w:t xml:space="preserve">(Bullock et al. 2015; Prior, Sood, and Khanna 2015)</w:t>
      </w:r>
      <w:r>
        <w:t xml:space="preserve">. Stating a WTP, in contrast, asks respondents to consider a cost to their own household. A cue may therefore move how respondents prioritize energy sources without moving the amount they are willing to pay, as the cost of following the cue becomes concrete. However,</w:t>
      </w:r>
      <w:r>
        <w:t xml:space="preserve"> </w:t>
      </w:r>
      <w:r>
        <w:t xml:space="preserve">Benegal and Green (2024)</w:t>
      </w:r>
      <w:r>
        <w:t xml:space="preserve"> </w:t>
      </w:r>
      <w:r>
        <w:t xml:space="preserve">found that partisan cue-taking can outweigh cost sensitivity, so whether cue effects carry over from priority to WTP is an open question.</w:t>
      </w:r>
    </w:p>
    <w:p>
      <w:pPr>
        <w:pStyle w:val="BodyText"/>
      </w:pPr>
      <w:r>
        <w:t xml:space="preserve">Looking to work that specifically examines public WTP for renewables and fossil fuels, several studies have found that the public is WTP more for renewables than other sources of energy. For example,</w:t>
      </w:r>
      <w:r>
        <w:t xml:space="preserve"> </w:t>
      </w:r>
      <w:r>
        <w:t xml:space="preserve">Nkansah and Collins (2019)</w:t>
      </w:r>
      <w:r>
        <w:t xml:space="preserve"> </w:t>
      </w:r>
      <w:r>
        <w:t xml:space="preserve">compared WTP for wind against natural gas generation specifically and found consumers willing to pay more for wind. Along similar lines,</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However,</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Finally,</w:t>
      </w:r>
      <w:r>
        <w:t xml:space="preserve"> </w:t>
      </w:r>
      <w:r>
        <w:t xml:space="preserve">Li et al. (2009)</w:t>
      </w:r>
      <w:r>
        <w:t xml:space="preserve"> </w:t>
      </w:r>
      <w:r>
        <w:t xml:space="preserve">estimated household WTP for a federal energy research and development fund aimed at reducing reliance on fossil fuels, and found broad support for that funding, suggesting that WTP responds to reducing fossil fuel use on its own without reference to another energy source.</w:t>
      </w:r>
      <w:r>
        <w:t xml:space="preserve"> </w:t>
      </w:r>
      <w:r>
        <w:rPr>
          <w:rStyle w:val="FootnoteReference"/>
        </w:rPr>
        <w:footnoteReference w:id="11"/>
      </w:r>
    </w:p>
    <w:bookmarkStart w:id="12" w:name="theoretical-expectations"/>
    <w:p>
      <w:pPr>
        <w:pStyle w:val="Heading2"/>
      </w:pPr>
      <w:r>
        <w:t xml:space="preserve">Theoretical Expectations</w:t>
      </w:r>
    </w:p>
    <w:p>
      <w:pPr>
        <w:pStyle w:val="FirstParagraph"/>
      </w:pPr>
      <w:r>
        <w:t xml:space="preserve">Previous research suggests that partisan cues are an important driver of energy preferences and that partisanship and environmental beliefs shape the WTP for energy sources. In this study, I use a survey experiment to examine the influence of a Trump cue and a climate change cue on preferences and the stated WTP for fossil fuels versus renewables.</w:t>
      </w:r>
    </w:p>
    <w:p>
      <w:pPr>
        <w:pStyle w:val="BodyText"/>
      </w:pPr>
      <w:r>
        <w:t xml:space="preserve">The experiment includes three conditions, and each is designed to manipulate something different. All respondents see an argument that renewables are not reliable and that fossil fuels are needed for energy security. In the baseline condition the argument is attributed to</w:t>
      </w:r>
      <w:r>
        <w:t xml:space="preserve"> </w:t>
      </w:r>
      <w:r>
        <w:t xml:space="preserve">“some,”</w:t>
      </w:r>
      <w:r>
        <w:t xml:space="preserve"> </w:t>
      </w:r>
      <w:r>
        <w:t xml:space="preserve">so the baseline is an unattributed argument for fossil fuels rather than the absence of a message. In the Trump condition the same argument is attributed to President Trump, so the comparison with the baseline isolates the effect of a partisan source cue. In the climate condition the unattributed argument is followed by a statement that scientists have warned that fossil fuels will make climate change worse and that renewables should be increased. The climate condition therefore combines a scientific source, a climate change frame, and a counterargument, and its comparison with the baseline captures the effect of that combined message. Because the two cue conditions differ from the baseline in different ways, I compare each cue with the baseline rather than comparing the size of the two cue effects with each other.</w:t>
      </w:r>
    </w:p>
    <w:p>
      <w:pPr>
        <w:pStyle w:val="BodyText"/>
      </w:pPr>
      <w:r>
        <w:t xml:space="preserve">Based on the research discussed above, I posit the following hypotheses.</w:t>
      </w:r>
    </w:p>
    <w:p>
      <w:pPr>
        <w:pStyle w:val="BlockText"/>
      </w:pPr>
      <w:r>
        <w:t xml:space="preserve">H1a: Republicans will prioritize fossil fuels and be WTP more for fossil fuels than those who identify with neither party.</w:t>
      </w:r>
    </w:p>
    <w:p>
      <w:pPr>
        <w:pStyle w:val="BlockText"/>
      </w:pPr>
      <w:r>
        <w:t xml:space="preserve">H1b: Democrats will prioritize renewables and be WTP more for renewables than those who identify with neither party.</w:t>
      </w:r>
    </w:p>
    <w:p>
      <w:pPr>
        <w:pStyle w:val="BlockText"/>
      </w:pPr>
      <w:r>
        <w:t xml:space="preserve">H2a: Those who receive the Trump cue will prioritize fossil fuels and be WTP more for fossil fuels than those in the baseline condition.</w:t>
      </w:r>
    </w:p>
    <w:p>
      <w:pPr>
        <w:pStyle w:val="BlockText"/>
      </w:pPr>
      <w:r>
        <w:t xml:space="preserve">H2b: Those who receive the climate cue will prioritize renewables and be WTP more for renewables than those in the baseline condition.</w:t>
      </w:r>
    </w:p>
    <w:p>
      <w:pPr>
        <w:pStyle w:val="BlockText"/>
      </w:pPr>
      <w:r>
        <w:t xml:space="preserve">H3a: The effect of the Trump cue on prioritizing and WTP for fossil fuels will be larger among Republicans than among those who identify with neither party.</w:t>
      </w:r>
    </w:p>
    <w:p>
      <w:pPr>
        <w:pStyle w:val="BlockText"/>
      </w:pPr>
      <w:r>
        <w:t xml:space="preserve">H3b: The effect of the climate cue on prioritizing and WTP for renewables will be larger among Democrats than among those who identify with neither party.</w:t>
      </w:r>
    </w:p>
    <w:p>
      <w:pPr>
        <w:pStyle w:val="FirstParagraph"/>
      </w:pPr>
      <w:r>
        <w:t xml:space="preserve">In addition, I examine two research questions. First, cues from a disliked source may lead partisans to move away from the position of that source</w:t>
      </w:r>
      <w:r>
        <w:t xml:space="preserve"> </w:t>
      </w:r>
      <w:r>
        <w:t xml:space="preserve">(Feldman and Hart 2018)</w:t>
      </w:r>
      <w:r>
        <w:t xml:space="preserve">, so I ask whether Democrats move toward renewables in response to the Trump cue and whether Republicans move toward fossil fuels in response to the climate cue (RQ1). Second, given the difference between costless and costly expressions of preference, I ask whether the effects of the cues on prioritization carry over to WTP (RQ2).</w:t>
      </w:r>
    </w:p>
    <w:bookmarkEnd w:id="12"/>
    <w:bookmarkEnd w:id="13"/>
    <w:bookmarkStart w:id="16" w:name="data-and-measures"/>
    <w:p>
      <w:pPr>
        <w:pStyle w:val="Heading1"/>
      </w:pPr>
      <w:r>
        <w:t xml:space="preserve">Data and Measures</w:t>
      </w:r>
    </w:p>
    <w:p>
      <w:pPr>
        <w:pStyle w:val="FirstParagraph"/>
      </w:pPr>
      <w:r>
        <w:t xml:space="preserve">To examine the importance of cues and partisanship in energy preferences I use a survey experiment to examine respondents’ prioritization of fossil fuels versus renewables as well as their WTP for those sources to generate electricity in response to a Trump cue or a climate change cue. Respondents were recruited using Cloud Research, which provides a quota-based sample of US residents, with quotas for age, race, and gender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weight the sample based on political party affiliation. With leaners assigned to a party, the NPORS targets were 45 percent Democratic, 46 percent Republican, and 9 percent identifying with neither party.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baseline condition in which the argument for fossil fuels was attributed to</w:t>
      </w:r>
      <w:r>
        <w:t xml:space="preserve"> </w:t>
      </w:r>
      <w:r>
        <w:t xml:space="preserve">“some”</w:t>
      </w:r>
      <w:r>
        <w:t xml:space="preserve"> </w:t>
      </w:r>
      <w:r>
        <w:t xml:space="preserve">(n = 1051).</w:t>
      </w:r>
      <w:r>
        <w:rPr>
          <w:rStyle w:val="FootnoteReference"/>
        </w:rPr>
        <w:footnoteReference w:id="14"/>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baseline were shown</w:t>
      </w:r>
      <w:r>
        <w:t xml:space="preserve"> </w:t>
      </w:r>
      <w:r>
        <w:rPr>
          <w:i/>
          <w:iCs/>
        </w:rPr>
        <w:t xml:space="preserve">some have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(Gabor and Granger 1966)</w:t>
      </w:r>
      <w:r>
        <w:t xml:space="preserve">. With the Gabor-Granger method, respondents are shown a random dollar amount and if they are willing to pay that amount, they are next shown a higher amount, and if they are not, they are shown a smaller amount. This approach is a well-established survey-based technique for estimating WTP. It dates to early applications of iterative-bidding price experiments</w:t>
      </w:r>
      <w:r>
        <w:t xml:space="preserve"> </w:t>
      </w:r>
      <w:r>
        <w:t xml:space="preserve">(Jones 1975)</w:t>
      </w:r>
      <w:r>
        <w:t xml:space="preserve"> </w:t>
      </w:r>
      <w:r>
        <w:t xml:space="preserve">and was later formalized in marketing research</w:t>
      </w:r>
      <w:r>
        <w:t xml:space="preserve"> </w:t>
      </w:r>
      <w:r>
        <w:t xml:space="preserve">(Wedel and Leeflang 1998)</w:t>
      </w:r>
      <w:r>
        <w:t xml:space="preserve">. It remains one of the standard indirect approaches used to measure WTP</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and the sources were presented in random order. The prompts were written to give respondents a plausible reason that increasing the use of each source would raise their electricity bill. In the WTP for fossil fuels question, I noted that costs associated with renewable energy have decreased and, therefore they may need to pay more to use fossil fuels. For renewable sources respondents were told about the need to increase distribution. Specifically, respondents were shown the following prompts for fossil fuels and renewables, respectively.</w:t>
      </w:r>
    </w:p>
    <w:p>
      <w:pPr>
        <w:pStyle w:val="BlockText"/>
      </w:pPr>
      <w:r>
        <w:t xml:space="preserve">The cost of generating electricity from renewable sources has decreased in recent years. In many places, renewable energy sources are often more cost-effective than fossil fuels. Would you support the increased use of fossil fuels if your electricity bill were to increase by the following each month?</w:t>
      </w:r>
    </w:p>
    <w:p>
      <w:pPr>
        <w:pStyle w:val="BlockText"/>
      </w:pPr>
      <w:r>
        <w:t xml:space="preserve">Renewable sources have become cheaper in recent years; however, investments are needed to distribute the electricity they produce to homes and businesses. Would you support the increased use of renewable sources if your electricity bill were to increase by the following each month?</w:t>
      </w:r>
    </w:p>
    <w:p>
      <w:pPr>
        <w:pStyle w:val="FirstParagraph"/>
      </w:pPr>
      <w:r>
        <w:t xml:space="preserve">The two prompts are not symmetric. The fossil fuel prompt notes that renewables are often more cost-effective than fossil fuels, which likely gives respondents a reason not to pay more for fossil fuels, whereas the renewables prompt does not include a comparable reason not to pay for renewables. As a result, the difference between WTP for fossil fuels and WTP for renewables likely reflects the wording of the prompts as well as respondents’ preferences, and should be interpreted with caution. However, the wording of each prompt was the same in every condition, so the comparison of each cue with the baseline within each energy source is not affected by the asymmetry.</w:t>
      </w:r>
    </w:p>
    <w:p>
      <w:pPr>
        <w:pStyle w:val="BodyText"/>
      </w:pPr>
      <w:r>
        <w:t xml:space="preserve">To estimate the maximum/minimum WTP, respondents were first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Each respondent’s WTP is the highest amount they accepted, and respondents who indicated no at $1 were coded with a WTP of 0. The starting and follow-up amounts were drawn at random, independently of the cue condition, but were not recorded. As such, I cannot control for the starting amount, which may anchor responses, though random assignment of the starting amount means anchoring is unlikely to differ across conditions.</w:t>
      </w:r>
    </w:p>
    <w:p>
      <w:pPr>
        <w:pStyle w:val="BodyText"/>
      </w:pPr>
      <w:r>
        <w:t xml:space="preserve">In the following analysis, I examine the prioritization of fossil fuels vs. renewables and the WTP for those energy sources as a function of the cues and party identification. Party identification includes Democrats and Republicans, with those who identify with neither party as the excluded referent. Respondents who identified as independent or with another party were asked whether they lean toward the Democratic or Republican Party, and those who lean toward a party are coded as identifying with that party. Before leaners are assigned, 34 percent of respondents identified as independent or with another party, and after leaners are assigned, only 15 percent (n = 466) identified with neither party. Because this reference group is small, the cue effects among those who identify with neither party are estimated with less precision than the effects among partisans. Party identification was measured after the outcome questions, so the cues could, in principle, have shifted how respondents identified. However, the distribution of party identification did not differ across conditions (</w:t>
      </w:r>
      <m:oMath>
        <m:sSup>
          <m:e>
            <m:r>
              <m:t>χ</m:t>
            </m:r>
          </m:e>
          <m:sup>
            <m:r>
              <m:t>2</m:t>
            </m:r>
          </m:sup>
        </m:sSup>
      </m:oMath>
      <w:r>
        <w:t xml:space="preserve"> </w:t>
      </w:r>
      <w:r>
        <w:t xml:space="preserve">= 3.29,</w:t>
      </w:r>
      <w:r>
        <w:t xml:space="preserve"> </w:t>
      </w:r>
      <w:r>
        <w:rPr>
          <w:i/>
          <w:iCs/>
        </w:rPr>
        <w:t xml:space="preserve">df</w:t>
      </w:r>
      <w:r>
        <w:t xml:space="preserve"> </w:t>
      </w:r>
      <w:r>
        <w:t xml:space="preserve">= 4,</w:t>
      </w:r>
      <w:r>
        <w:t xml:space="preserve"> </w:t>
      </w:r>
      <w:r>
        <w:rPr>
          <w:i/>
          <w:iCs/>
        </w:rPr>
        <w:t xml:space="preserve">p</w:t>
      </w:r>
      <w:r>
        <w:t xml:space="preserve"> </w:t>
      </w:r>
      <w:r>
        <w:t xml:space="preserve">= 0.511).</w:t>
      </w:r>
    </w:p>
    <w:tbl>
      <w:tblPr>
        <w:tblStyle w:val="Table"/>
        <w:tblW w:type="pct" w:w="5000"/>
        <w:tblLayout w:type="fixed"/>
        <w:tblLook w:firstRow="0" w:lastRow="0" w:firstColumn="0" w:lastColumn="0" w:noHBand="0" w:noVBand="0" w:val="0000"/>
      </w:tblPr>
      <w:tblGrid>
        <w:gridCol w:w="7920"/>
      </w:tblGrid>
      <w:tr>
        <w:tc>
          <w:tcPr/>
          <w:bookmarkStart w:id="15" w:name="tbl-descriptives"/>
          <w:p>
            <w:pPr>
              <w:jc w:val="left"/>
            </w:pPr>
            <w:pPr>
              <w:jc w:val="left"/>
              <w:spacing w:before="200"/>
              <w:pStyle w:val="ImageCaption"/>
            </w:pPr>
            <w:r>
              <w:t xml:space="preserve">Table 1: Descriptive statistics for the energy-priority scale, willingness-to-pay, and party identification (survey-weighted means and standard deviations, overall and survey-weighted means by condition)</w:t>
            </w:r>
          </w:p>
          <w:tbl>
            <w:tblPr>
              <w:tblStyle w:val="Table"/>
              <w:tblW w:type="pct" w:w="5000"/>
              <w:tblLayout w:type="fixed"/>
              <w:tblLook w:firstRow="1" w:lastRow="0" w:firstColumn="0" w:lastColumn="0" w:noHBand="0" w:noVBand="0" w:val="0020"/>
            </w:tblPr>
            <w:tblGrid>
              <w:gridCol w:w="2807"/>
              <w:gridCol w:w="601"/>
              <w:gridCol w:w="601"/>
              <w:gridCol w:w="401"/>
              <w:gridCol w:w="401"/>
              <w:gridCol w:w="902"/>
              <w:gridCol w:w="1002"/>
              <w:gridCol w:w="1203"/>
            </w:tblGrid>
            <w:tr>
              <w:trPr>
                <w:tblHeader w:val="on"/>
              </w:trPr>
              <w:tc>
                <w:tcPr/>
                <w:p>
                  <w:pPr>
                    <w:pStyle w:val="Compact"/>
                    <w:jc w:val="left"/>
                    <w:jc w:val="left"/>
                  </w:pPr>
                  <w:r>
                    <w:t xml:space="preserve">Variable</w:t>
                  </w:r>
                </w:p>
              </w:tc>
              <w:tc>
                <w:tcPr/>
                <w:p>
                  <w:pPr>
                    <w:pStyle w:val="Compact"/>
                    <w:jc w:val="left"/>
                    <w:jc w:val="left"/>
                  </w:pPr>
                  <w:r>
                    <w:t xml:space="preserve">Mean</w:t>
                  </w:r>
                </w:p>
              </w:tc>
              <w:tc>
                <w:tcPr/>
                <w:p>
                  <w:pPr>
                    <w:pStyle w:val="Compact"/>
                    <w:jc w:val="left"/>
                    <w:jc w:val="left"/>
                  </w:pPr>
                  <w:r>
                    <w:t xml:space="preserve">SD</w:t>
                  </w:r>
                </w:p>
              </w:tc>
              <w:tc>
                <w:tcPr/>
                <w:p>
                  <w:pPr>
                    <w:pStyle w:val="Compact"/>
                    <w:jc w:val="left"/>
                    <w:jc w:val="left"/>
                  </w:pPr>
                  <w:r>
                    <w:t xml:space="preserve">Min</w:t>
                  </w:r>
                </w:p>
              </w:tc>
              <w:tc>
                <w:tcPr/>
                <w:p>
                  <w:pPr>
                    <w:pStyle w:val="Compact"/>
                    <w:jc w:val="left"/>
                    <w:jc w:val="left"/>
                  </w:pPr>
                  <w:r>
                    <w:t xml:space="preserve">Max</w:t>
                  </w:r>
                </w:p>
              </w:tc>
              <w:tc>
                <w:tcPr/>
                <w:p>
                  <w:pPr>
                    <w:pStyle w:val="Compact"/>
                    <w:jc w:val="left"/>
                    <w:jc w:val="left"/>
                  </w:pPr>
                  <w:r>
                    <w:t xml:space="preserve">Baseline</w:t>
                  </w:r>
                </w:p>
              </w:tc>
              <w:tc>
                <w:tcPr/>
                <w:p>
                  <w:pPr>
                    <w:pStyle w:val="Compact"/>
                    <w:jc w:val="left"/>
                    <w:jc w:val="left"/>
                  </w:pPr>
                  <w:r>
                    <w:t xml:space="preserve">Trump cue</w:t>
                  </w:r>
                </w:p>
              </w:tc>
              <w:tc>
                <w:tcPr/>
                <w:p>
                  <w:pPr>
                    <w:pStyle w:val="Compact"/>
                    <w:jc w:val="left"/>
                    <w:jc w:val="left"/>
                  </w:pPr>
                  <w:r>
                    <w:t xml:space="preserve">Climate cue</w:t>
                  </w:r>
                </w:p>
              </w:tc>
            </w:tr>
            <w:tr>
              <w:tc>
                <w:tcPr/>
                <w:p>
                  <w:pPr>
                    <w:pStyle w:val="Compact"/>
                    <w:jc w:val="left"/>
                    <w:jc w:val="left"/>
                  </w:pPr>
                  <w:r>
                    <w:t xml:space="preserve">Energy-priority scale (1-7)</w:t>
                  </w:r>
                </w:p>
              </w:tc>
              <w:tc>
                <w:tcPr/>
                <w:p>
                  <w:pPr>
                    <w:pStyle w:val="Compact"/>
                    <w:jc w:val="left"/>
                    <w:jc w:val="left"/>
                  </w:pPr>
                  <w:r>
                    <w:t xml:space="preserve">5.17</w:t>
                  </w:r>
                </w:p>
              </w:tc>
              <w:tc>
                <w:tcPr/>
                <w:p>
                  <w:pPr>
                    <w:pStyle w:val="Compact"/>
                    <w:jc w:val="left"/>
                    <w:jc w:val="left"/>
                  </w:pPr>
                  <w:r>
                    <w:t xml:space="preserve">1.74</w:t>
                  </w:r>
                </w:p>
              </w:tc>
              <w:tc>
                <w:tcPr/>
                <w:p>
                  <w:pPr>
                    <w:pStyle w:val="Compact"/>
                    <w:jc w:val="left"/>
                    <w:jc w:val="left"/>
                  </w:pPr>
                  <w:r>
                    <w:t xml:space="preserve">1</w:t>
                  </w:r>
                </w:p>
              </w:tc>
              <w:tc>
                <w:tcPr/>
                <w:p>
                  <w:pPr>
                    <w:pStyle w:val="Compact"/>
                    <w:jc w:val="left"/>
                    <w:jc w:val="left"/>
                  </w:pPr>
                  <w:r>
                    <w:t xml:space="preserve">7</w:t>
                  </w:r>
                </w:p>
              </w:tc>
              <w:tc>
                <w:tcPr/>
                <w:p>
                  <w:pPr>
                    <w:pStyle w:val="Compact"/>
                    <w:jc w:val="left"/>
                    <w:jc w:val="left"/>
                  </w:pPr>
                  <w:r>
                    <w:t xml:space="preserve">5.17</w:t>
                  </w:r>
                </w:p>
              </w:tc>
              <w:tc>
                <w:tcPr/>
                <w:p>
                  <w:pPr>
                    <w:pStyle w:val="Compact"/>
                    <w:jc w:val="left"/>
                    <w:jc w:val="left"/>
                  </w:pPr>
                  <w:r>
                    <w:t xml:space="preserve">5.15</w:t>
                  </w:r>
                </w:p>
              </w:tc>
              <w:tc>
                <w:tcPr/>
                <w:p>
                  <w:pPr>
                    <w:pStyle w:val="Compact"/>
                    <w:jc w:val="left"/>
                    <w:jc w:val="left"/>
                  </w:pPr>
                  <w:r>
                    <w:t xml:space="preserve">5.20</w:t>
                  </w:r>
                </w:p>
              </w:tc>
            </w:tr>
            <w:tr>
              <w:tc>
                <w:tcPr/>
                <w:p>
                  <w:pPr>
                    <w:pStyle w:val="Compact"/>
                    <w:jc w:val="left"/>
                    <w:jc w:val="left"/>
                  </w:pPr>
                  <w:r>
                    <w:t xml:space="preserve">WTP, fossil fuels (</w:t>
                  </w:r>
                  <m:oMath>
                    <m:r>
                      <m:rPr>
                        <m:sty m:val="p"/>
                      </m:rPr>
                      <m:t>)</m:t>
                    </m:r>
                    <m:r>
                      <m:rPr>
                        <m:sty m:val="p"/>
                      </m:rPr>
                      <m:t>|</m:t>
                    </m:r>
                    <m:r>
                      <m:t>8.33</m:t>
                    </m:r>
                    <m:r>
                      <m:rPr>
                        <m:sty m:val="p"/>
                      </m:rPr>
                      <m:t>|</m:t>
                    </m:r>
                    <m:r>
                      <m:t>13.79</m:t>
                    </m:r>
                    <m:r>
                      <m:rPr>
                        <m:sty m:val="p"/>
                      </m:rPr>
                      <m:t>|</m:t>
                    </m:r>
                    <m:r>
                      <m:t>0</m:t>
                    </m:r>
                    <m:r>
                      <m:rPr>
                        <m:sty m:val="p"/>
                      </m:rPr>
                      <m:t>|</m:t>
                    </m:r>
                    <m:r>
                      <m:t>46</m:t>
                    </m:r>
                    <m:r>
                      <m:rPr>
                        <m:sty m:val="p"/>
                      </m:rPr>
                      <m:t>|</m:t>
                    </m:r>
                    <m:r>
                      <m:t>8.55</m:t>
                    </m:r>
                    <m:r>
                      <m:rPr>
                        <m:sty m:val="p"/>
                      </m:rPr>
                      <m:t>|</m:t>
                    </m:r>
                    <m:r>
                      <m:t>7.54</m:t>
                    </m:r>
                    <m:r>
                      <m:rPr>
                        <m:sty m:val="p"/>
                      </m:rPr>
                      <m:t>|</m:t>
                    </m:r>
                    <m:r>
                      <m:t>8.86</m:t>
                    </m:r>
                    <m:r>
                      <m:rPr>
                        <m:sty m:val="p"/>
                      </m:rPr>
                      <m:t>|</m:t>
                    </m:r>
                    <m:r>
                      <m:rPr>
                        <m:sty m:val="p"/>
                      </m:rPr>
                      <m:t>|</m:t>
                    </m:r>
                    <m:r>
                      <m:t>W</m:t>
                    </m:r>
                    <m:r>
                      <m:t>T</m:t>
                    </m:r>
                    <m:r>
                      <m:t>P</m:t>
                    </m:r>
                    <m:r>
                      <m:rPr>
                        <m:sty m:val="p"/>
                      </m:rPr>
                      <m:t>,</m:t>
                    </m:r>
                    <m:r>
                      <m:t>r</m:t>
                    </m:r>
                    <m:r>
                      <m:t>e</m:t>
                    </m:r>
                    <m:r>
                      <m:t>n</m:t>
                    </m:r>
                    <m:r>
                      <m:t>e</m:t>
                    </m:r>
                    <m:r>
                      <m:t>w</m:t>
                    </m:r>
                    <m:r>
                      <m:t>a</m:t>
                    </m:r>
                    <m:r>
                      <m:t>b</m:t>
                    </m:r>
                    <m:r>
                      <m:t>l</m:t>
                    </m:r>
                    <m:r>
                      <m:t>e</m:t>
                    </m:r>
                    <m:r>
                      <m:t>s</m:t>
                    </m:r>
                    <m:r>
                      <m:rPr>
                        <m:sty m:val="p"/>
                      </m:rPr>
                      <m:t>(</m:t>
                    </m:r>
                  </m:oMath>
                  <w:r>
                    <w:t xml:space="preserve">)</w:t>
                  </w:r>
                </w:p>
              </w:tc>
              <w:tc>
                <w:tcPr/>
                <w:p>
                  <w:pPr>
                    <w:pStyle w:val="Compact"/>
                    <w:jc w:val="left"/>
                    <w:jc w:val="left"/>
                  </w:pPr>
                  <w:r>
                    <w:t xml:space="preserve">18.21</w:t>
                  </w:r>
                </w:p>
              </w:tc>
              <w:tc>
                <w:tcPr/>
                <w:p>
                  <w:pPr>
                    <w:pStyle w:val="Compact"/>
                    <w:jc w:val="left"/>
                    <w:jc w:val="left"/>
                  </w:pPr>
                  <w:r>
                    <w:t xml:space="preserve">17.43</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17.95</w:t>
                  </w:r>
                </w:p>
              </w:tc>
              <w:tc>
                <w:tcPr/>
                <w:p>
                  <w:pPr>
                    <w:pStyle w:val="Compact"/>
                    <w:jc w:val="left"/>
                    <w:jc w:val="left"/>
                  </w:pPr>
                  <w:r>
                    <w:t xml:space="preserve">17.85</w:t>
                  </w:r>
                </w:p>
              </w:tc>
              <w:tc>
                <w:tcPr/>
                <w:p>
                  <w:pPr>
                    <w:pStyle w:val="Compact"/>
                    <w:jc w:val="left"/>
                    <w:jc w:val="left"/>
                  </w:pPr>
                  <w:r>
                    <w:t xml:space="preserve">18.80</w:t>
                  </w:r>
                </w:p>
              </w:tc>
            </w:tr>
            <w:tr>
              <w:tc>
                <w:tcPr/>
                <w:p>
                  <w:pPr>
                    <w:pStyle w:val="Compact"/>
                    <w:jc w:val="left"/>
                    <w:jc w:val="left"/>
                  </w:pPr>
                  <w:r>
                    <w:t xml:space="preserve">Democrat</w:t>
                  </w:r>
                </w:p>
              </w:tc>
              <w:tc>
                <w:tcPr/>
                <w:p>
                  <w:pPr>
                    <w:pStyle w:val="Compact"/>
                    <w:jc w:val="left"/>
                    <w:jc w:val="left"/>
                  </w:pPr>
                  <w:r>
                    <w:t xml:space="preserve">0.45</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0.43</w:t>
                  </w:r>
                </w:p>
              </w:tc>
              <w:tc>
                <w:tcPr/>
                <w:p>
                  <w:pPr>
                    <w:pStyle w:val="Compact"/>
                    <w:jc w:val="left"/>
                    <w:jc w:val="left"/>
                  </w:pPr>
                  <w:r>
                    <w:t xml:space="preserve">0.48</w:t>
                  </w:r>
                </w:p>
              </w:tc>
              <w:tc>
                <w:tcPr/>
                <w:p>
                  <w:pPr>
                    <w:pStyle w:val="Compact"/>
                    <w:jc w:val="left"/>
                    <w:jc w:val="left"/>
                  </w:pPr>
                  <w:r>
                    <w:t xml:space="preserve">0.44</w:t>
                  </w:r>
                </w:p>
              </w:tc>
            </w:tr>
            <w:tr>
              <w:tc>
                <w:tcPr/>
                <w:p>
                  <w:pPr>
                    <w:pStyle w:val="Compact"/>
                    <w:jc w:val="left"/>
                    <w:jc w:val="left"/>
                  </w:pPr>
                  <w:r>
                    <w:t xml:space="preserve">Republican</w:t>
                  </w:r>
                </w:p>
              </w:tc>
              <w:tc>
                <w:tcPr/>
                <w:p>
                  <w:pPr>
                    <w:pStyle w:val="Compact"/>
                    <w:jc w:val="left"/>
                    <w:jc w:val="left"/>
                  </w:pPr>
                  <w:r>
                    <w:t xml:space="preserve">0.46</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0.48</w:t>
                  </w:r>
                </w:p>
              </w:tc>
              <w:tc>
                <w:tcPr/>
                <w:p>
                  <w:pPr>
                    <w:pStyle w:val="Compact"/>
                    <w:jc w:val="left"/>
                    <w:jc w:val="left"/>
                  </w:pPr>
                  <w:r>
                    <w:t xml:space="preserve">0.43</w:t>
                  </w:r>
                </w:p>
              </w:tc>
              <w:tc>
                <w:tcPr/>
                <w:p>
                  <w:pPr>
                    <w:pStyle w:val="Compact"/>
                    <w:jc w:val="left"/>
                    <w:jc w:val="left"/>
                  </w:pPr>
                  <w:r>
                    <w:t xml:space="preserve">0.47</w:t>
                  </w:r>
                </w:p>
              </w:tc>
            </w:tr>
          </w:tbl>
          <w:bookmarkEnd w:id="15"/>
          <w:p/>
        </w:tc>
      </w:tr>
    </w:tbl>
    <w:p>
      <w:pPr>
        <w:pStyle w:val="BodyText"/>
      </w:pPr>
      <w:r>
        <w:t xml:space="preserve">Descriptive statistics for the energy-priority scale and party identification are shown in</w:t>
      </w:r>
      <w:r>
        <w:t xml:space="preserve"> </w:t>
      </w:r>
      <w:hyperlink w:anchor="tbl-descriptives">
        <w:r>
          <w:rPr>
            <w:rStyle w:val="Hyperlink"/>
          </w:rPr>
          <w:t xml:space="preserve">Table 1</w:t>
        </w:r>
      </w:hyperlink>
      <w:r>
        <w:t xml:space="preserve">. The mean on the energy-priority scale was 5.17 (SD = 1.74), which is above the midpoint of 4 and indicates that respondents, on average, leaned toward prioritizing renewables over fossil fuels. Regarding party identification, 45 percent of the weighted sample were Democrats and 46 percent were Republicans, with the remaining 9 percent identifying with neither party. These shares reflect the survey weights, which weight the sample to the party affiliation distribution in the NPORS. Unweighted, 56 percent of respondents were Democrats and 29 percent were Republicans, so the weights increase the share of Republicans from 29 to 46 percent. To account for this, I also estimate each model without the weights, and those models are shown in the supplemental material.</w:t>
      </w:r>
    </w:p>
    <w:bookmarkEnd w:id="16"/>
    <w:bookmarkStart w:id="32" w:name="results"/>
    <w:p>
      <w:pPr>
        <w:pStyle w:val="Heading1"/>
      </w:pPr>
      <w:r>
        <w:t xml:space="preserve">Results</w:t>
      </w:r>
    </w:p>
    <w:p>
      <w:pPr>
        <w:pStyle w:val="FirstParagraph"/>
      </w:pPr>
      <w:r>
        <w:t xml:space="preserve">First, I use OLS to examine the prioritization respondents gave to fossil fuels versus renewables as a function of the cues, their party identification, and the interaction between cues and party identification. The results are shown in</w:t>
      </w:r>
      <w:r>
        <w:t xml:space="preserve"> </w:t>
      </w:r>
      <w:hyperlink w:anchor="tbl-priority-o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priority-ols"/>
          <w:p>
            <w:pPr>
              <w:jc w:val="left"/>
            </w:pPr>
            <w:pPr>
              <w:jc w:val="left"/>
              <w:spacing w:before="200"/>
              <w:pStyle w:val="ImageCaption"/>
            </w:pPr>
            <w:r>
              <w:t xml:space="preserve">Table 2: Effect of cue condition, party identification, and their interaction on the energy source-priority scale (survey-weighted OLS;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left"/>
                    <w:jc w:val="left"/>
                  </w:pPr>
                  <w:r>
                    <w:t xml:space="preserve">Priority scale</w:t>
                  </w:r>
                </w:p>
              </w:tc>
            </w:tr>
            <w:tr>
              <w:tc>
                <w:tcPr/>
                <w:p>
                  <w:pPr>
                    <w:pStyle w:val="Compact"/>
                    <w:jc w:val="left"/>
                    <w:jc w:val="left"/>
                  </w:pPr>
                  <w:r>
                    <w:t xml:space="preserve">Trump cue</w:t>
                  </w:r>
                </w:p>
              </w:tc>
              <w:tc>
                <w:tcPr/>
                <w:p>
                  <w:pPr>
                    <w:pStyle w:val="Compact"/>
                    <w:jc w:val="left"/>
                    <w:jc w:val="left"/>
                  </w:pPr>
                  <w:r>
                    <w:t xml:space="preserve">0.145</w:t>
                  </w:r>
                </w:p>
              </w:tc>
            </w:tr>
            <w:tr>
              <w:tc>
                <w:tcPr/>
                <w:p>
                  <w:pPr>
                    <w:pStyle w:val="Compact"/>
                  </w:pPr>
                </w:p>
              </w:tc>
              <w:tc>
                <w:tcPr/>
                <w:p>
                  <w:pPr>
                    <w:pStyle w:val="Compact"/>
                    <w:jc w:val="left"/>
                    <w:jc w:val="left"/>
                  </w:pPr>
                  <w:r>
                    <w:t xml:space="preserve">(0.198)</w:t>
                  </w:r>
                </w:p>
              </w:tc>
            </w:tr>
            <w:tr>
              <w:tc>
                <w:tcPr/>
                <w:p>
                  <w:pPr>
                    <w:pStyle w:val="Compact"/>
                    <w:jc w:val="left"/>
                    <w:jc w:val="left"/>
                  </w:pPr>
                  <w:r>
                    <w:t xml:space="preserve">Climate cue</w:t>
                  </w:r>
                </w:p>
              </w:tc>
              <w:tc>
                <w:tcPr/>
                <w:p>
                  <w:pPr>
                    <w:pStyle w:val="Compact"/>
                    <w:jc w:val="left"/>
                    <w:jc w:val="left"/>
                  </w:pPr>
                  <w:r>
                    <w:t xml:space="preserve">0.098</w:t>
                  </w:r>
                </w:p>
              </w:tc>
            </w:tr>
            <w:tr>
              <w:tc>
                <w:tcPr/>
                <w:p>
                  <w:pPr>
                    <w:pStyle w:val="Compact"/>
                  </w:pPr>
                </w:p>
              </w:tc>
              <w:tc>
                <w:tcPr/>
                <w:p>
                  <w:pPr>
                    <w:pStyle w:val="Compact"/>
                    <w:jc w:val="left"/>
                    <w:jc w:val="left"/>
                  </w:pPr>
                  <w:r>
                    <w:t xml:space="preserve">(0.189)</w:t>
                  </w:r>
                </w:p>
              </w:tc>
            </w:tr>
            <w:tr>
              <w:tc>
                <w:tcPr/>
                <w:p>
                  <w:pPr>
                    <w:pStyle w:val="Compact"/>
                    <w:jc w:val="left"/>
                    <w:jc w:val="left"/>
                  </w:pPr>
                  <w:r>
                    <w:t xml:space="preserve">Democrat</w:t>
                  </w:r>
                </w:p>
              </w:tc>
              <w:tc>
                <w:tcPr/>
                <w:p>
                  <w:pPr>
                    <w:pStyle w:val="Compact"/>
                    <w:jc w:val="left"/>
                    <w:jc w:val="left"/>
                  </w:pPr>
                  <w:r>
                    <w:t xml:space="preserve">0.727**</w:t>
                  </w:r>
                </w:p>
              </w:tc>
            </w:tr>
            <w:tr>
              <w:tc>
                <w:tcPr/>
                <w:p>
                  <w:pPr>
                    <w:pStyle w:val="Compact"/>
                  </w:pPr>
                </w:p>
              </w:tc>
              <w:tc>
                <w:tcPr/>
                <w:p>
                  <w:pPr>
                    <w:pStyle w:val="Compact"/>
                    <w:jc w:val="left"/>
                    <w:jc w:val="left"/>
                  </w:pPr>
                  <w:r>
                    <w:t xml:space="preserve">(0.151)</w:t>
                  </w:r>
                </w:p>
              </w:tc>
            </w:tr>
            <w:tr>
              <w:tc>
                <w:tcPr/>
                <w:p>
                  <w:pPr>
                    <w:pStyle w:val="Compact"/>
                    <w:jc w:val="left"/>
                    <w:jc w:val="left"/>
                  </w:pPr>
                  <w:r>
                    <w:t xml:space="preserve">Republican</w:t>
                  </w:r>
                </w:p>
              </w:tc>
              <w:tc>
                <w:tcPr/>
                <w:p>
                  <w:pPr>
                    <w:pStyle w:val="Compact"/>
                    <w:jc w:val="left"/>
                    <w:jc w:val="left"/>
                  </w:pPr>
                  <w:r>
                    <w:t xml:space="preserve">-0.991**</w:t>
                  </w:r>
                </w:p>
              </w:tc>
            </w:tr>
            <w:tr>
              <w:tc>
                <w:tcPr/>
                <w:p>
                  <w:pPr>
                    <w:pStyle w:val="Compact"/>
                  </w:pPr>
                </w:p>
              </w:tc>
              <w:tc>
                <w:tcPr/>
                <w:p>
                  <w:pPr>
                    <w:pStyle w:val="Compact"/>
                    <w:jc w:val="left"/>
                    <w:jc w:val="left"/>
                  </w:pPr>
                  <w:r>
                    <w:t xml:space="preserve">(0.171)</w:t>
                  </w:r>
                </w:p>
              </w:tc>
            </w:tr>
            <w:tr>
              <w:tc>
                <w:tcPr/>
                <w:p>
                  <w:pPr>
                    <w:pStyle w:val="Compact"/>
                    <w:jc w:val="left"/>
                    <w:jc w:val="left"/>
                  </w:pPr>
                  <w:r>
                    <w:t xml:space="preserve">Trump cue × Democrat</w:t>
                  </w:r>
                </w:p>
              </w:tc>
              <w:tc>
                <w:tcPr/>
                <w:p>
                  <w:pPr>
                    <w:pStyle w:val="Compact"/>
                    <w:jc w:val="left"/>
                    <w:jc w:val="left"/>
                  </w:pPr>
                  <w:r>
                    <w:t xml:space="preserve">-0.046</w:t>
                  </w:r>
                </w:p>
              </w:tc>
            </w:tr>
            <w:tr>
              <w:tc>
                <w:tcPr/>
                <w:p>
                  <w:pPr>
                    <w:pStyle w:val="Compact"/>
                  </w:pPr>
                </w:p>
              </w:tc>
              <w:tc>
                <w:tcPr/>
                <w:p>
                  <w:pPr>
                    <w:pStyle w:val="Compact"/>
                    <w:jc w:val="left"/>
                    <w:jc w:val="left"/>
                  </w:pPr>
                  <w:r>
                    <w:t xml:space="preserve">(0.216)</w:t>
                  </w:r>
                </w:p>
              </w:tc>
            </w:tr>
            <w:tr>
              <w:tc>
                <w:tcPr/>
                <w:p>
                  <w:pPr>
                    <w:pStyle w:val="Compact"/>
                    <w:jc w:val="left"/>
                    <w:jc w:val="left"/>
                  </w:pPr>
                  <w:r>
                    <w:t xml:space="preserve">Climate cue × Democrat</w:t>
                  </w:r>
                </w:p>
              </w:tc>
              <w:tc>
                <w:tcPr/>
                <w:p>
                  <w:pPr>
                    <w:pStyle w:val="Compact"/>
                    <w:jc w:val="left"/>
                    <w:jc w:val="left"/>
                  </w:pPr>
                  <w:r>
                    <w:t xml:space="preserve">0.014</w:t>
                  </w:r>
                </w:p>
              </w:tc>
            </w:tr>
            <w:tr>
              <w:tc>
                <w:tcPr/>
                <w:p>
                  <w:pPr>
                    <w:pStyle w:val="Compact"/>
                  </w:pPr>
                </w:p>
              </w:tc>
              <w:tc>
                <w:tcPr/>
                <w:p>
                  <w:pPr>
                    <w:pStyle w:val="Compact"/>
                    <w:jc w:val="left"/>
                    <w:jc w:val="left"/>
                  </w:pPr>
                  <w:r>
                    <w:t xml:space="preserve">(0.206)</w:t>
                  </w:r>
                </w:p>
              </w:tc>
            </w:tr>
            <w:tr>
              <w:tc>
                <w:tcPr/>
                <w:p>
                  <w:pPr>
                    <w:pStyle w:val="Compact"/>
                    <w:jc w:val="left"/>
                    <w:jc w:val="left"/>
                  </w:pPr>
                  <w:r>
                    <w:t xml:space="preserve">Trump cue × Republican</w:t>
                  </w:r>
                </w:p>
              </w:tc>
              <w:tc>
                <w:tcPr/>
                <w:p>
                  <w:pPr>
                    <w:pStyle w:val="Compact"/>
                    <w:jc w:val="left"/>
                    <w:jc w:val="left"/>
                  </w:pPr>
                  <w:r>
                    <w:t xml:space="preserve">-0.521*</w:t>
                  </w:r>
                </w:p>
              </w:tc>
            </w:tr>
            <w:tr>
              <w:tc>
                <w:tcPr/>
                <w:p>
                  <w:pPr>
                    <w:pStyle w:val="Compact"/>
                  </w:pPr>
                </w:p>
              </w:tc>
              <w:tc>
                <w:tcPr/>
                <w:p>
                  <w:pPr>
                    <w:pStyle w:val="Compact"/>
                    <w:jc w:val="left"/>
                    <w:jc w:val="left"/>
                  </w:pPr>
                  <w:r>
                    <w:t xml:space="preserve">(0.257)</w:t>
                  </w:r>
                </w:p>
              </w:tc>
            </w:tr>
            <w:tr>
              <w:tc>
                <w:tcPr/>
                <w:p>
                  <w:pPr>
                    <w:pStyle w:val="Compact"/>
                    <w:jc w:val="left"/>
                    <w:jc w:val="left"/>
                  </w:pPr>
                  <w:r>
                    <w:t xml:space="preserve">Climate cue × Republican</w:t>
                  </w:r>
                </w:p>
              </w:tc>
              <w:tc>
                <w:tcPr/>
                <w:p>
                  <w:pPr>
                    <w:pStyle w:val="Compact"/>
                    <w:jc w:val="left"/>
                    <w:jc w:val="left"/>
                  </w:pPr>
                  <w:r>
                    <w:t xml:space="preserve">-0.199</w:t>
                  </w:r>
                </w:p>
              </w:tc>
            </w:tr>
            <w:tr>
              <w:tc>
                <w:tcPr/>
                <w:p>
                  <w:pPr>
                    <w:pStyle w:val="Compact"/>
                  </w:pPr>
                </w:p>
              </w:tc>
              <w:tc>
                <w:tcPr/>
                <w:p>
                  <w:pPr>
                    <w:pStyle w:val="Compact"/>
                    <w:jc w:val="left"/>
                    <w:jc w:val="left"/>
                  </w:pPr>
                  <w:r>
                    <w:t xml:space="preserve">(0.242)</w:t>
                  </w:r>
                </w:p>
              </w:tc>
            </w:tr>
            <w:tr>
              <w:tc>
                <w:tcPr/>
                <w:p>
                  <w:pPr>
                    <w:pStyle w:val="Compact"/>
                    <w:jc w:val="left"/>
                    <w:jc w:val="left"/>
                  </w:pPr>
                  <w:r>
                    <w:t xml:space="preserve">(Intercept)</w:t>
                  </w:r>
                </w:p>
              </w:tc>
              <w:tc>
                <w:tcPr/>
                <w:p>
                  <w:pPr>
                    <w:pStyle w:val="Compact"/>
                    <w:jc w:val="left"/>
                    <w:jc w:val="left"/>
                  </w:pPr>
                  <w:r>
                    <w:t xml:space="preserve">5.333**</w:t>
                  </w:r>
                </w:p>
              </w:tc>
            </w:tr>
            <w:tr>
              <w:tc>
                <w:tcPr/>
                <w:p>
                  <w:pPr>
                    <w:pStyle w:val="Compact"/>
                  </w:pPr>
                </w:p>
              </w:tc>
              <w:tc>
                <w:tcPr/>
                <w:p>
                  <w:pPr>
                    <w:pStyle w:val="Compact"/>
                    <w:jc w:val="left"/>
                    <w:jc w:val="left"/>
                  </w:pPr>
                  <w:r>
                    <w:t xml:space="preserve">(0.139)</w:t>
                  </w:r>
                </w:p>
              </w:tc>
            </w:tr>
            <w:tr>
              <w:tc>
                <w:tcPr/>
                <w:p>
                  <w:pPr>
                    <w:pStyle w:val="Compact"/>
                    <w:jc w:val="left"/>
                    <w:jc w:val="left"/>
                  </w:pPr>
                  <w:r>
                    <w:t xml:space="preserve">Num.Obs.</w:t>
                  </w:r>
                </w:p>
              </w:tc>
              <w:tc>
                <w:tcPr/>
                <w:p>
                  <w:pPr>
                    <w:pStyle w:val="Compact"/>
                    <w:jc w:val="left"/>
                    <w:jc w:val="left"/>
                  </w:pPr>
                  <w:r>
                    <w:t xml:space="preserve">3113</w:t>
                  </w:r>
                </w:p>
              </w:tc>
            </w:tr>
            <w:tr>
              <w:tc>
                <w:tcPr/>
                <w:p>
                  <w:pPr>
                    <w:pStyle w:val="Compact"/>
                    <w:jc w:val="left"/>
                    <w:jc w:val="left"/>
                  </w:pPr>
                  <w:r>
                    <w:t xml:space="preserve">Adj. R2</w:t>
                  </w:r>
                </w:p>
              </w:tc>
              <w:tc>
                <w:tcPr/>
                <w:p>
                  <w:pPr>
                    <w:pStyle w:val="Compact"/>
                    <w:jc w:val="left"/>
                    <w:jc w:val="left"/>
                  </w:pPr>
                  <w:r>
                    <w:t xml:space="preserve">0.289</w:t>
                  </w:r>
                </w:p>
              </w:tc>
            </w:tr>
            <w:tr>
              <w:tc>
                <w:tcPr>
                  <w:gridSpan w:val="2"/>
                </w:tcPr>
                <w:p>
                  <w:pPr>
                    <w:pStyle w:val="Compact"/>
                    <w:jc w:val="left"/>
                    <w:jc w:val="left"/>
                  </w:pPr>
                  <w:r>
                    <w:t xml:space="preserve">† p &lt; 0.1, * p &lt; 0.05, ** p &lt; 0.01</w:t>
                  </w:r>
                </w:p>
              </w:tc>
            </w:tr>
          </w:tbl>
          <w:bookmarkEnd w:id="17"/>
          <w:p/>
        </w:tc>
      </w:tr>
    </w:tbl>
    <w:tbl>
      <w:tblPr>
        <w:tblStyle w:val="Table"/>
        <w:tblW w:type="pct" w:w="5000"/>
        <w:tblLayout w:type="fixed"/>
        <w:tblLook w:firstRow="0" w:lastRow="0" w:firstColumn="0" w:lastColumn="0" w:noHBand="0" w:noVBand="0" w:val="0000"/>
      </w:tblPr>
      <w:tblGrid>
        <w:gridCol w:w="7920"/>
      </w:tblGrid>
      <w:tr>
        <w:tc>
          <w:tcPr/>
          <w:bookmarkStart w:id="21" w:name="fig-priority-predicted"/>
          <w:p>
            <w:pPr>
              <w:jc w:val="center"/>
            </w:pPr>
            <w:pPr>
              <w:jc w:val="left"/>
              <w:spacing w:before="200"/>
              <w:pStyle w:val="ImageCaption"/>
            </w:pPr>
            <w:r>
              <w:t xml:space="preserve">Figure 1: Predicted energy source-priority scale (1-7) by cue condition and party identification (survey-weighted OLS predictions with 95% CIs)</w:t>
            </w:r>
          </w:p>
          <w:p>
            <w:pPr>
              <w:pStyle w:val="Compact"/>
              <w:jc w:val="center"/>
            </w:pPr>
            <w:r>
              <w:drawing>
                <wp:inline>
                  <wp:extent cx="5334000" cy="4267200"/>
                  <wp:effectExtent b="0" l="0" r="0" t="0"/>
                  <wp:docPr descr="" title="" id="19" name="Picture"/>
                  <a:graphic>
                    <a:graphicData uri="http://schemas.openxmlformats.org/drawingml/2006/picture">
                      <pic:pic>
                        <pic:nvPicPr>
                          <pic:cNvPr descr="cue-WTP_files/figure-docx/fig-priority-predicted-1.png" id="20" name="Picture"/>
                          <pic:cNvPicPr>
                            <a:picLocks noChangeArrowheads="1" noChangeAspect="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bookmarkEnd w:id="21"/>
        </w:tc>
      </w:tr>
    </w:tbl>
    <w:p>
      <w:pPr>
        <w:pStyle w:val="BodyText"/>
      </w:pPr>
      <w:r>
        <w:t xml:space="preserve">As expected, Republicans were more likely to prioritize fossil fuels than renewables, with an estimated coefficient of -0.99 on the 1 to 7 scale, and Democrats prioritized renewables at 0.73. In terms of the interactions, which test whether the effect of a cue differs by party identification, the Trump cue moved Republicans toward fossil fuels more than it moved those who identify with neither party (b = -0.52). However, there are 16 cue x party identification interactions across the four models presented here, and this interaction is not significant after a Holm adjustment for multiple comparisons (adjusted</w:t>
      </w:r>
      <w:r>
        <w:t xml:space="preserve"> </w:t>
      </w:r>
      <w:r>
        <w:rPr>
          <w:i/>
          <w:iCs/>
        </w:rPr>
        <w:t xml:space="preserve">p</w:t>
      </w:r>
      <w:r>
        <w:t xml:space="preserve"> </w:t>
      </w:r>
      <w:r>
        <w:t xml:space="preserve">= 0.68). Descriptively, the predicted value on the 1 to 7 scale for Republicans in the baseline condition was 4.34, indicating a split roughly evenly between fossil fuels and renewables, and it was 3.96 for those receiving the Trump cue, a significant shift toward fossil fuels (difference = -0.38). In contrast, the climate cue did not move Democrats toward renewables more than those who identify with neither party (b = 0.01). The predicted value for Democrats was 6.06 in the baseline condition, indicating a strong priority for renewables, and 6.17 in the climate condition, which is not a significant difference. Without the survey weights, neither interaction is significant (Trump cue x Republican</w:t>
      </w:r>
      <w:r>
        <w:t xml:space="preserve"> </w:t>
      </w:r>
      <w:r>
        <w:rPr>
          <w:i/>
          <w:iCs/>
        </w:rPr>
        <w:t xml:space="preserve">p</w:t>
      </w:r>
      <w:r>
        <w:t xml:space="preserve"> </w:t>
      </w:r>
      <w:r>
        <w:t xml:space="preserve">= 0.135; climate cue x Democrat</w:t>
      </w:r>
      <w:r>
        <w:t xml:space="preserve"> </w:t>
      </w:r>
      <w:r>
        <w:rPr>
          <w:i/>
          <w:iCs/>
        </w:rPr>
        <w:t xml:space="preserve">p</w:t>
      </w:r>
      <w:r>
        <w:t xml:space="preserve"> </w:t>
      </w:r>
      <w:r>
        <w:t xml:space="preserve">= 0.483). Finally, there is no evidence that Democrats moved toward renewables in response to the Trump cue or that Republicans moved toward fossil fuels in response to the climate cue.</w:t>
      </w:r>
    </w:p>
    <w:p>
      <w:pPr>
        <w:pStyle w:val="BodyText"/>
      </w:pPr>
      <w:r>
        <w:t xml:space="preserve">Because the models include interactions, the coefficients for the Trump and climate cues are the effects of the cues among those who identify with neither party only. To estimate the average effect of each cue, I also estimate models with the cues alone, shown in the supplemental material. Neither cue had a significant average effect on energy source priority compared to the baseline (Trump cue b = -0.03,</w:t>
      </w:r>
      <w:r>
        <w:t xml:space="preserve"> </w:t>
      </w:r>
      <w:r>
        <w:rPr>
          <w:i/>
          <w:iCs/>
        </w:rPr>
        <w:t xml:space="preserve">p</w:t>
      </w:r>
      <w:r>
        <w:t xml:space="preserve"> </w:t>
      </w:r>
      <w:r>
        <w:t xml:space="preserve">= 0.785; climate cue b = 0.03,</w:t>
      </w:r>
      <w:r>
        <w:t xml:space="preserve"> </w:t>
      </w:r>
      <w:r>
        <w:rPr>
          <w:i/>
          <w:iCs/>
        </w:rPr>
        <w:t xml:space="preserve">p</w:t>
      </w:r>
      <w:r>
        <w:t xml:space="preserve"> </w:t>
      </w:r>
      <w:r>
        <w:t xml:space="preserve">= 0.775).</w:t>
      </w:r>
    </w:p>
    <w:p>
      <w:pPr>
        <w:pStyle w:val="BodyText"/>
      </w:pPr>
      <w:r>
        <w:t xml:space="preserve">Next, I examine the percent of respondents at each possible dollar amount of the WTP measure for each source. Those results are in</w:t>
      </w:r>
      <w:r>
        <w:t xml:space="preserve"> </w:t>
      </w:r>
      <w:hyperlink w:anchor="tbl-wtp-dist">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wtp-dist"/>
          <w:p>
            <w:pPr>
              <w:jc w:val="left"/>
            </w:pPr>
            <w:pPr>
              <w:jc w:val="left"/>
              <w:spacing w:before="200"/>
              <w:pStyle w:val="ImageCaption"/>
            </w:pPr>
            <w:r>
              <w:t xml:space="preserve">Table 3: Distribution of willingness-to-pay for fossil fuel and renewable electricity (weighted percent of respondents choosing each dollar amount). Each value is the highest monthly amount the respondent accepted, so the respondent’s WTP is at least that amount and below the next amount they rejected; $0 indicates the respondent rejected $1, and $46 indicates the respondent accepted the highest amount offered.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WTP ($)</w:t>
                  </w:r>
                </w:p>
              </w:tc>
              <w:tc>
                <w:tcPr/>
                <w:p>
                  <w:pPr>
                    <w:pStyle w:val="Compact"/>
                    <w:jc w:val="left"/>
                    <w:jc w:val="left"/>
                  </w:pPr>
                  <w:r>
                    <w:t xml:space="preserve">Fossil fuels (%)</w:t>
                  </w:r>
                </w:p>
              </w:tc>
              <w:tc>
                <w:tcPr/>
                <w:p>
                  <w:pPr>
                    <w:pStyle w:val="Compact"/>
                    <w:jc w:val="left"/>
                    <w:jc w:val="left"/>
                  </w:pPr>
                  <w:r>
                    <w:t xml:space="preserve">Renewables (%)</w:t>
                  </w:r>
                </w:p>
              </w:tc>
            </w:tr>
            <w:tr>
              <w:tc>
                <w:tcPr/>
                <w:p>
                  <w:pPr>
                    <w:pStyle w:val="Compact"/>
                    <w:jc w:val="left"/>
                    <w:jc w:val="left"/>
                  </w:pPr>
                  <w:r>
                    <w:t xml:space="preserve">0</w:t>
                  </w:r>
                </w:p>
              </w:tc>
              <w:tc>
                <w:tcPr/>
                <w:p>
                  <w:pPr>
                    <w:pStyle w:val="Compact"/>
                    <w:jc w:val="left"/>
                    <w:jc w:val="left"/>
                  </w:pPr>
                  <w:r>
                    <w:t xml:space="preserve">47.0</w:t>
                  </w:r>
                </w:p>
              </w:tc>
              <w:tc>
                <w:tcPr/>
                <w:p>
                  <w:pPr>
                    <w:pStyle w:val="Compact"/>
                    <w:jc w:val="left"/>
                    <w:jc w:val="left"/>
                  </w:pPr>
                  <w:r>
                    <w:t xml:space="preserve">14.0</w:t>
                  </w:r>
                </w:p>
              </w:tc>
            </w:tr>
            <w:tr>
              <w:tc>
                <w:tcPr/>
                <w:p>
                  <w:pPr>
                    <w:pStyle w:val="Compact"/>
                    <w:jc w:val="left"/>
                    <w:jc w:val="left"/>
                  </w:pPr>
                  <w:r>
                    <w:t xml:space="preserve">1</w:t>
                  </w:r>
                </w:p>
              </w:tc>
              <w:tc>
                <w:tcPr/>
                <w:p>
                  <w:pPr>
                    <w:pStyle w:val="Compact"/>
                    <w:jc w:val="left"/>
                    <w:jc w:val="left"/>
                  </w:pPr>
                  <w:r>
                    <w:t xml:space="preserve">14.7</w:t>
                  </w:r>
                </w:p>
              </w:tc>
              <w:tc>
                <w:tcPr/>
                <w:p>
                  <w:pPr>
                    <w:pStyle w:val="Compact"/>
                    <w:jc w:val="left"/>
                    <w:jc w:val="left"/>
                  </w:pPr>
                  <w:r>
                    <w:t xml:space="preserve">15.6</w:t>
                  </w:r>
                </w:p>
              </w:tc>
            </w:tr>
            <w:tr>
              <w:tc>
                <w:tcPr/>
                <w:p>
                  <w:pPr>
                    <w:pStyle w:val="Compact"/>
                    <w:jc w:val="left"/>
                    <w:jc w:val="left"/>
                  </w:pPr>
                  <w:r>
                    <w:t xml:space="preserve">6</w:t>
                  </w:r>
                </w:p>
              </w:tc>
              <w:tc>
                <w:tcPr/>
                <w:p>
                  <w:pPr>
                    <w:pStyle w:val="Compact"/>
                    <w:jc w:val="left"/>
                    <w:jc w:val="left"/>
                  </w:pPr>
                  <w:r>
                    <w:t xml:space="preserve">10.6</w:t>
                  </w:r>
                </w:p>
              </w:tc>
              <w:tc>
                <w:tcPr/>
                <w:p>
                  <w:pPr>
                    <w:pStyle w:val="Compact"/>
                    <w:jc w:val="left"/>
                    <w:jc w:val="left"/>
                  </w:pPr>
                  <w:r>
                    <w:t xml:space="preserve">14.0</w:t>
                  </w:r>
                </w:p>
              </w:tc>
            </w:tr>
            <w:tr>
              <w:tc>
                <w:tcPr/>
                <w:p>
                  <w:pPr>
                    <w:pStyle w:val="Compact"/>
                    <w:jc w:val="left"/>
                    <w:jc w:val="left"/>
                  </w:pPr>
                  <w:r>
                    <w:t xml:space="preserve">11</w:t>
                  </w:r>
                </w:p>
              </w:tc>
              <w:tc>
                <w:tcPr/>
                <w:p>
                  <w:pPr>
                    <w:pStyle w:val="Compact"/>
                    <w:jc w:val="left"/>
                    <w:jc w:val="left"/>
                  </w:pPr>
                  <w:r>
                    <w:t xml:space="preserve">5.6</w:t>
                  </w:r>
                </w:p>
              </w:tc>
              <w:tc>
                <w:tcPr/>
                <w:p>
                  <w:pPr>
                    <w:pStyle w:val="Compact"/>
                    <w:jc w:val="left"/>
                    <w:jc w:val="left"/>
                  </w:pPr>
                  <w:r>
                    <w:t xml:space="preserve">9.1</w:t>
                  </w:r>
                </w:p>
              </w:tc>
            </w:tr>
            <w:tr>
              <w:tc>
                <w:tcPr/>
                <w:p>
                  <w:pPr>
                    <w:pStyle w:val="Compact"/>
                    <w:jc w:val="left"/>
                    <w:jc w:val="left"/>
                  </w:pPr>
                  <w:r>
                    <w:t xml:space="preserve">16</w:t>
                  </w:r>
                </w:p>
              </w:tc>
              <w:tc>
                <w:tcPr/>
                <w:p>
                  <w:pPr>
                    <w:pStyle w:val="Compact"/>
                    <w:jc w:val="left"/>
                    <w:jc w:val="left"/>
                  </w:pPr>
                  <w:r>
                    <w:t xml:space="preserve">4.9</w:t>
                  </w:r>
                </w:p>
              </w:tc>
              <w:tc>
                <w:tcPr/>
                <w:p>
                  <w:pPr>
                    <w:pStyle w:val="Compact"/>
                    <w:jc w:val="left"/>
                    <w:jc w:val="left"/>
                  </w:pPr>
                  <w:r>
                    <w:t xml:space="preserve">7.3</w:t>
                  </w:r>
                </w:p>
              </w:tc>
            </w:tr>
            <w:tr>
              <w:tc>
                <w:tcPr/>
                <w:p>
                  <w:pPr>
                    <w:pStyle w:val="Compact"/>
                    <w:jc w:val="left"/>
                    <w:jc w:val="left"/>
                  </w:pPr>
                  <w:r>
                    <w:t xml:space="preserve">21</w:t>
                  </w:r>
                </w:p>
              </w:tc>
              <w:tc>
                <w:tcPr/>
                <w:p>
                  <w:pPr>
                    <w:pStyle w:val="Compact"/>
                    <w:jc w:val="left"/>
                    <w:jc w:val="left"/>
                  </w:pPr>
                  <w:r>
                    <w:t xml:space="preserve">2.7</w:t>
                  </w:r>
                </w:p>
              </w:tc>
              <w:tc>
                <w:tcPr/>
                <w:p>
                  <w:pPr>
                    <w:pStyle w:val="Compact"/>
                    <w:jc w:val="left"/>
                    <w:jc w:val="left"/>
                  </w:pPr>
                  <w:r>
                    <w:t xml:space="preserve">4.3</w:t>
                  </w:r>
                </w:p>
              </w:tc>
            </w:tr>
            <w:tr>
              <w:tc>
                <w:tcPr/>
                <w:p>
                  <w:pPr>
                    <w:pStyle w:val="Compact"/>
                    <w:jc w:val="left"/>
                    <w:jc w:val="left"/>
                  </w:pPr>
                  <w:r>
                    <w:t xml:space="preserve">26</w:t>
                  </w:r>
                </w:p>
              </w:tc>
              <w:tc>
                <w:tcPr/>
                <w:p>
                  <w:pPr>
                    <w:pStyle w:val="Compact"/>
                    <w:jc w:val="left"/>
                    <w:jc w:val="left"/>
                  </w:pPr>
                  <w:r>
                    <w:t xml:space="preserve">2.9</w:t>
                  </w:r>
                </w:p>
              </w:tc>
              <w:tc>
                <w:tcPr/>
                <w:p>
                  <w:pPr>
                    <w:pStyle w:val="Compact"/>
                    <w:jc w:val="left"/>
                    <w:jc w:val="left"/>
                  </w:pPr>
                  <w:r>
                    <w:t xml:space="preserve">5.8</w:t>
                  </w:r>
                </w:p>
              </w:tc>
            </w:tr>
            <w:tr>
              <w:tc>
                <w:tcPr/>
                <w:p>
                  <w:pPr>
                    <w:pStyle w:val="Compact"/>
                    <w:jc w:val="left"/>
                    <w:jc w:val="left"/>
                  </w:pPr>
                  <w:r>
                    <w:t xml:space="preserve">31</w:t>
                  </w:r>
                </w:p>
              </w:tc>
              <w:tc>
                <w:tcPr/>
                <w:p>
                  <w:pPr>
                    <w:pStyle w:val="Compact"/>
                    <w:jc w:val="left"/>
                    <w:jc w:val="left"/>
                  </w:pPr>
                  <w:r>
                    <w:t xml:space="preserve">1.2</w:t>
                  </w:r>
                </w:p>
              </w:tc>
              <w:tc>
                <w:tcPr/>
                <w:p>
                  <w:pPr>
                    <w:pStyle w:val="Compact"/>
                    <w:jc w:val="left"/>
                    <w:jc w:val="left"/>
                  </w:pPr>
                  <w:r>
                    <w:t xml:space="preserve">3.2</w:t>
                  </w:r>
                </w:p>
              </w:tc>
            </w:tr>
            <w:tr>
              <w:tc>
                <w:tcPr/>
                <w:p>
                  <w:pPr>
                    <w:pStyle w:val="Compact"/>
                    <w:jc w:val="left"/>
                    <w:jc w:val="left"/>
                  </w:pPr>
                  <w:r>
                    <w:t xml:space="preserve">36</w:t>
                  </w:r>
                </w:p>
              </w:tc>
              <w:tc>
                <w:tcPr/>
                <w:p>
                  <w:pPr>
                    <w:pStyle w:val="Compact"/>
                    <w:jc w:val="left"/>
                    <w:jc w:val="left"/>
                  </w:pPr>
                  <w:r>
                    <w:t xml:space="preserve">2.1</w:t>
                  </w:r>
                </w:p>
              </w:tc>
              <w:tc>
                <w:tcPr/>
                <w:p>
                  <w:pPr>
                    <w:pStyle w:val="Compact"/>
                    <w:jc w:val="left"/>
                    <w:jc w:val="left"/>
                  </w:pPr>
                  <w:r>
                    <w:t xml:space="preserve">4.7</w:t>
                  </w:r>
                </w:p>
              </w:tc>
            </w:tr>
            <w:tr>
              <w:tc>
                <w:tcPr/>
                <w:p>
                  <w:pPr>
                    <w:pStyle w:val="Compact"/>
                    <w:jc w:val="left"/>
                    <w:jc w:val="left"/>
                  </w:pPr>
                  <w:r>
                    <w:t xml:space="preserve">41</w:t>
                  </w:r>
                </w:p>
              </w:tc>
              <w:tc>
                <w:tcPr/>
                <w:p>
                  <w:pPr>
                    <w:pStyle w:val="Compact"/>
                    <w:jc w:val="left"/>
                    <w:jc w:val="left"/>
                  </w:pPr>
                  <w:r>
                    <w:t xml:space="preserve">1.9</w:t>
                  </w:r>
                </w:p>
              </w:tc>
              <w:tc>
                <w:tcPr/>
                <w:p>
                  <w:pPr>
                    <w:pStyle w:val="Compact"/>
                    <w:jc w:val="left"/>
                    <w:jc w:val="left"/>
                  </w:pPr>
                  <w:r>
                    <w:t xml:space="preserve">3.8</w:t>
                  </w:r>
                </w:p>
              </w:tc>
            </w:tr>
            <w:tr>
              <w:tc>
                <w:tcPr/>
                <w:p>
                  <w:pPr>
                    <w:pStyle w:val="Compact"/>
                    <w:jc w:val="left"/>
                    <w:jc w:val="left"/>
                  </w:pPr>
                  <w:r>
                    <w:t xml:space="preserve">46</w:t>
                  </w:r>
                </w:p>
              </w:tc>
              <w:tc>
                <w:tcPr/>
                <w:p>
                  <w:pPr>
                    <w:pStyle w:val="Compact"/>
                    <w:jc w:val="left"/>
                    <w:jc w:val="left"/>
                  </w:pPr>
                  <w:r>
                    <w:t xml:space="preserve">6.3</w:t>
                  </w:r>
                </w:p>
              </w:tc>
              <w:tc>
                <w:tcPr/>
                <w:p>
                  <w:pPr>
                    <w:pStyle w:val="Compact"/>
                    <w:jc w:val="left"/>
                    <w:jc w:val="left"/>
                  </w:pPr>
                  <w:r>
                    <w:t xml:space="preserve">18.3</w:t>
                  </w:r>
                </w:p>
              </w:tc>
            </w:tr>
          </w:tbl>
          <w:bookmarkEnd w:id="22"/>
          <w:p/>
        </w:tc>
      </w:tr>
    </w:tbl>
    <w:p>
      <w:pPr>
        <w:pStyle w:val="BodyText"/>
      </w:pPr>
      <w:r>
        <w:t xml:space="preserve">As shown, nearly half of respondents, 47 percent, were not willing to pay any additional amount for fossil fuels, whereas 18.3 percent were willing to pay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 However, because the fossil fuel prompt included a reason not to pay for fossil fuels, the size of this difference is likely overstated and should be interpreted with caution.</w:t>
      </w:r>
    </w:p>
    <w:p>
      <w:pPr>
        <w:pStyle w:val="BodyText"/>
      </w:pPr>
      <w:r>
        <w:t xml:space="preserve">Given the large percentage of respondents with a WTP = $0 for fossil fuels, I model the WTP for fossil fuels in two parts. First, I use a logit model to see whether a respondent has any positive WTP. Next, using OLS, I examine the WTP for fossil fuels, among those who are WTP &gt;0, and for renewables. The results of all three models are shown in</w:t>
      </w:r>
      <w:r>
        <w:t xml:space="preserve"> </w:t>
      </w:r>
      <w:hyperlink w:anchor="tbl-wtp-models">
        <w:r>
          <w:rPr>
            <w:rStyle w:val="Hyperlink"/>
          </w:rPr>
          <w:t xml:space="preserve">Table 4</w:t>
        </w:r>
      </w:hyperlink>
      <w:r>
        <w:t xml:space="preserve">. Because WTP is bounded at $0 and $46, I also estimate a censored-normal (Tobit) model for each source, which treats $0 as censored from below and $46 as censored from above. Those models are shown in the supplemental material.</w:t>
      </w:r>
    </w:p>
    <w:tbl>
      <w:tblPr>
        <w:tblStyle w:val="Table"/>
        <w:tblW w:type="pct" w:w="5000"/>
        <w:tblLayout w:type="fixed"/>
        <w:tblLook w:firstRow="0" w:lastRow="0" w:firstColumn="0" w:lastColumn="0" w:noHBand="0" w:noVBand="0" w:val="0000"/>
      </w:tblPr>
      <w:tblGrid>
        <w:gridCol w:w="7920"/>
      </w:tblGrid>
      <w:tr>
        <w:tc>
          <w:tcPr/>
          <w:bookmarkStart w:id="23" w:name="tbl-wtp-models"/>
          <w:p>
            <w:pPr>
              <w:jc w:val="left"/>
            </w:pPr>
            <w:pPr>
              <w:jc w:val="left"/>
              <w:spacing w:before="200"/>
              <w:pStyle w:val="ImageCaption"/>
            </w:pPr>
            <w:r>
              <w:t xml:space="preserve">Table 4: Effect of cue condition, party identification, and their interaction on willingness-to-pay for fossil fuels (any positive WTP, and amount among those with any positive WTP) and for renewables (survey-weighted logit/OLS;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left"/>
                    <w:jc w:val="left"/>
                  </w:pPr>
                  <w:r>
                    <w:t xml:space="preserve">Fossil fuels: Any WTP (logit)</w:t>
                  </w:r>
                </w:p>
              </w:tc>
              <w:tc>
                <w:tcPr/>
                <w:p>
                  <w:pPr>
                    <w:pStyle w:val="Compact"/>
                    <w:jc w:val="left"/>
                    <w:jc w:val="left"/>
                  </w:pPr>
                  <w:r>
                    <w:t xml:space="preserve">Fossil fuels: Amount, if WTP &gt; $0 (OLS)</w:t>
                  </w:r>
                </w:p>
              </w:tc>
              <w:tc>
                <w:tcPr/>
                <w:p>
                  <w:pPr>
                    <w:pStyle w:val="Compact"/>
                    <w:jc w:val="left"/>
                    <w:jc w:val="left"/>
                  </w:pPr>
                  <w:r>
                    <w:t xml:space="preserve">Renewables: Amount (OLS)</w:t>
                  </w:r>
                </w:p>
              </w:tc>
            </w:tr>
            <w:tr>
              <w:tc>
                <w:tcPr/>
                <w:p>
                  <w:pPr>
                    <w:pStyle w:val="Compact"/>
                    <w:jc w:val="left"/>
                    <w:jc w:val="left"/>
                  </w:pPr>
                  <w:r>
                    <w:t xml:space="preserve">Trump cue</w:t>
                  </w:r>
                </w:p>
              </w:tc>
              <w:tc>
                <w:tcPr/>
                <w:p>
                  <w:pPr>
                    <w:pStyle w:val="Compact"/>
                    <w:jc w:val="left"/>
                    <w:jc w:val="left"/>
                  </w:pPr>
                  <w:r>
                    <w:t xml:space="preserve">-0.560*</w:t>
                  </w:r>
                </w:p>
              </w:tc>
              <w:tc>
                <w:tcPr/>
                <w:p>
                  <w:pPr>
                    <w:pStyle w:val="Compact"/>
                    <w:jc w:val="left"/>
                    <w:jc w:val="left"/>
                  </w:pPr>
                  <w:r>
                    <w:t xml:space="preserve">-3.589</w:t>
                  </w:r>
                </w:p>
              </w:tc>
              <w:tc>
                <w:tcPr/>
                <w:p>
                  <w:pPr>
                    <w:pStyle w:val="Compact"/>
                    <w:jc w:val="left"/>
                    <w:jc w:val="left"/>
                  </w:pPr>
                  <w:r>
                    <w:t xml:space="preserve">-2.003</w:t>
                  </w:r>
                </w:p>
              </w:tc>
            </w:tr>
            <w:tr>
              <w:tc>
                <w:tcPr/>
                <w:p>
                  <w:pPr>
                    <w:pStyle w:val="Compact"/>
                  </w:pPr>
                </w:p>
              </w:tc>
              <w:tc>
                <w:tcPr/>
                <w:p>
                  <w:pPr>
                    <w:pStyle w:val="Compact"/>
                    <w:jc w:val="left"/>
                    <w:jc w:val="left"/>
                  </w:pPr>
                  <w:r>
                    <w:t xml:space="preserve">(0.263)</w:t>
                  </w:r>
                </w:p>
              </w:tc>
              <w:tc>
                <w:tcPr/>
                <w:p>
                  <w:pPr>
                    <w:pStyle w:val="Compact"/>
                    <w:jc w:val="left"/>
                    <w:jc w:val="left"/>
                  </w:pPr>
                  <w:r>
                    <w:t xml:space="preserve">(2.990)</w:t>
                  </w:r>
                </w:p>
              </w:tc>
              <w:tc>
                <w:tcPr/>
                <w:p>
                  <w:pPr>
                    <w:pStyle w:val="Compact"/>
                    <w:jc w:val="left"/>
                    <w:jc w:val="left"/>
                  </w:pPr>
                  <w:r>
                    <w:t xml:space="preserve">(2.317)</w:t>
                  </w:r>
                </w:p>
              </w:tc>
            </w:tr>
            <w:tr>
              <w:tc>
                <w:tcPr/>
                <w:p>
                  <w:pPr>
                    <w:pStyle w:val="Compact"/>
                    <w:jc w:val="left"/>
                    <w:jc w:val="left"/>
                  </w:pPr>
                  <w:r>
                    <w:t xml:space="preserve">Climate cue</w:t>
                  </w:r>
                </w:p>
              </w:tc>
              <w:tc>
                <w:tcPr/>
                <w:p>
                  <w:pPr>
                    <w:pStyle w:val="Compact"/>
                    <w:jc w:val="left"/>
                    <w:jc w:val="left"/>
                  </w:pPr>
                  <w:r>
                    <w:t xml:space="preserve">-0.341</w:t>
                  </w:r>
                </w:p>
              </w:tc>
              <w:tc>
                <w:tcPr/>
                <w:p>
                  <w:pPr>
                    <w:pStyle w:val="Compact"/>
                    <w:jc w:val="left"/>
                    <w:jc w:val="left"/>
                  </w:pPr>
                  <w:r>
                    <w:t xml:space="preserve">-3.568</w:t>
                  </w:r>
                </w:p>
              </w:tc>
              <w:tc>
                <w:tcPr/>
                <w:p>
                  <w:pPr>
                    <w:pStyle w:val="Compact"/>
                    <w:jc w:val="left"/>
                    <w:jc w:val="left"/>
                  </w:pPr>
                  <w:r>
                    <w:t xml:space="preserve">-3.578</w:t>
                  </w:r>
                </w:p>
              </w:tc>
            </w:tr>
            <w:tr>
              <w:tc>
                <w:tcPr/>
                <w:p>
                  <w:pPr>
                    <w:pStyle w:val="Compact"/>
                  </w:pPr>
                </w:p>
              </w:tc>
              <w:tc>
                <w:tcPr/>
                <w:p>
                  <w:pPr>
                    <w:pStyle w:val="Compact"/>
                    <w:jc w:val="left"/>
                    <w:jc w:val="left"/>
                  </w:pPr>
                  <w:r>
                    <w:t xml:space="preserve">(0.261)</w:t>
                  </w:r>
                </w:p>
              </w:tc>
              <w:tc>
                <w:tcPr/>
                <w:p>
                  <w:pPr>
                    <w:pStyle w:val="Compact"/>
                    <w:jc w:val="left"/>
                    <w:jc w:val="left"/>
                  </w:pPr>
                  <w:r>
                    <w:t xml:space="preserve">(3.045)</w:t>
                  </w:r>
                </w:p>
              </w:tc>
              <w:tc>
                <w:tcPr/>
                <w:p>
                  <w:pPr>
                    <w:pStyle w:val="Compact"/>
                    <w:jc w:val="left"/>
                    <w:jc w:val="left"/>
                  </w:pPr>
                  <w:r>
                    <w:t xml:space="preserve">(2.245)</w:t>
                  </w:r>
                </w:p>
              </w:tc>
            </w:tr>
            <w:tr>
              <w:tc>
                <w:tcPr/>
                <w:p>
                  <w:pPr>
                    <w:pStyle w:val="Compact"/>
                    <w:jc w:val="left"/>
                    <w:jc w:val="left"/>
                  </w:pPr>
                  <w:r>
                    <w:t xml:space="preserve">Democrat</w:t>
                  </w:r>
                </w:p>
              </w:tc>
              <w:tc>
                <w:tcPr/>
                <w:p>
                  <w:pPr>
                    <w:pStyle w:val="Compact"/>
                    <w:jc w:val="left"/>
                    <w:jc w:val="left"/>
                  </w:pPr>
                  <w:r>
                    <w:t xml:space="preserve">-0.458*</w:t>
                  </w:r>
                </w:p>
              </w:tc>
              <w:tc>
                <w:tcPr/>
                <w:p>
                  <w:pPr>
                    <w:pStyle w:val="Compact"/>
                    <w:jc w:val="left"/>
                    <w:jc w:val="left"/>
                  </w:pPr>
                  <w:r>
                    <w:t xml:space="preserve">-1.038</w:t>
                  </w:r>
                </w:p>
              </w:tc>
              <w:tc>
                <w:tcPr/>
                <w:p>
                  <w:pPr>
                    <w:pStyle w:val="Compact"/>
                    <w:jc w:val="left"/>
                    <w:jc w:val="left"/>
                  </w:pPr>
                  <w:r>
                    <w:t xml:space="preserve">3.971*</w:t>
                  </w:r>
                </w:p>
              </w:tc>
            </w:tr>
            <w:tr>
              <w:tc>
                <w:tcPr/>
                <w:p>
                  <w:pPr>
                    <w:pStyle w:val="Compact"/>
                  </w:pPr>
                </w:p>
              </w:tc>
              <w:tc>
                <w:tcPr/>
                <w:p>
                  <w:pPr>
                    <w:pStyle w:val="Compact"/>
                    <w:jc w:val="left"/>
                    <w:jc w:val="left"/>
                  </w:pPr>
                  <w:r>
                    <w:t xml:space="preserve">(0.204)</w:t>
                  </w:r>
                </w:p>
              </w:tc>
              <w:tc>
                <w:tcPr/>
                <w:p>
                  <w:pPr>
                    <w:pStyle w:val="Compact"/>
                    <w:jc w:val="left"/>
                    <w:jc w:val="left"/>
                  </w:pPr>
                  <w:r>
                    <w:t xml:space="preserve">(2.454)</w:t>
                  </w:r>
                </w:p>
              </w:tc>
              <w:tc>
                <w:tcPr/>
                <w:p>
                  <w:pPr>
                    <w:pStyle w:val="Compact"/>
                    <w:jc w:val="left"/>
                    <w:jc w:val="left"/>
                  </w:pPr>
                  <w:r>
                    <w:t xml:space="preserve">(1.813)</w:t>
                  </w:r>
                </w:p>
              </w:tc>
            </w:tr>
            <w:tr>
              <w:tc>
                <w:tcPr/>
                <w:p>
                  <w:pPr>
                    <w:pStyle w:val="Compact"/>
                    <w:jc w:val="left"/>
                    <w:jc w:val="left"/>
                  </w:pPr>
                  <w:r>
                    <w:t xml:space="preserve">Republican</w:t>
                  </w:r>
                </w:p>
              </w:tc>
              <w:tc>
                <w:tcPr/>
                <w:p>
                  <w:pPr>
                    <w:pStyle w:val="Compact"/>
                    <w:jc w:val="left"/>
                    <w:jc w:val="left"/>
                  </w:pPr>
                  <w:r>
                    <w:t xml:space="preserve">0.565*</w:t>
                  </w:r>
                </w:p>
              </w:tc>
              <w:tc>
                <w:tcPr/>
                <w:p>
                  <w:pPr>
                    <w:pStyle w:val="Compact"/>
                    <w:jc w:val="left"/>
                    <w:jc w:val="left"/>
                  </w:pPr>
                  <w:r>
                    <w:t xml:space="preserve">-2.786</w:t>
                  </w:r>
                </w:p>
              </w:tc>
              <w:tc>
                <w:tcPr/>
                <w:p>
                  <w:pPr>
                    <w:pStyle w:val="Compact"/>
                    <w:jc w:val="left"/>
                    <w:jc w:val="left"/>
                  </w:pPr>
                  <w:r>
                    <w:t xml:space="preserve">-5.959**</w:t>
                  </w:r>
                </w:p>
              </w:tc>
            </w:tr>
            <w:tr>
              <w:tc>
                <w:tcPr/>
                <w:p>
                  <w:pPr>
                    <w:pStyle w:val="Compact"/>
                  </w:pPr>
                </w:p>
              </w:tc>
              <w:tc>
                <w:tcPr/>
                <w:p>
                  <w:pPr>
                    <w:pStyle w:val="Compact"/>
                    <w:jc w:val="left"/>
                    <w:jc w:val="left"/>
                  </w:pPr>
                  <w:r>
                    <w:t xml:space="preserve">(0.225)</w:t>
                  </w:r>
                </w:p>
              </w:tc>
              <w:tc>
                <w:tcPr/>
                <w:p>
                  <w:pPr>
                    <w:pStyle w:val="Compact"/>
                    <w:jc w:val="left"/>
                    <w:jc w:val="left"/>
                  </w:pPr>
                  <w:r>
                    <w:t xml:space="preserve">(2.480)</w:t>
                  </w:r>
                </w:p>
              </w:tc>
              <w:tc>
                <w:tcPr/>
                <w:p>
                  <w:pPr>
                    <w:pStyle w:val="Compact"/>
                    <w:jc w:val="left"/>
                    <w:jc w:val="left"/>
                  </w:pPr>
                  <w:r>
                    <w:t xml:space="preserve">(1.889)</w:t>
                  </w:r>
                </w:p>
              </w:tc>
            </w:tr>
            <w:tr>
              <w:tc>
                <w:tcPr/>
                <w:p>
                  <w:pPr>
                    <w:pStyle w:val="Compact"/>
                    <w:jc w:val="left"/>
                    <w:jc w:val="left"/>
                  </w:pPr>
                  <w:r>
                    <w:t xml:space="preserve">Trump cue × Democrat</w:t>
                  </w:r>
                </w:p>
              </w:tc>
              <w:tc>
                <w:tcPr/>
                <w:p>
                  <w:pPr>
                    <w:pStyle w:val="Compact"/>
                    <w:jc w:val="left"/>
                    <w:jc w:val="left"/>
                  </w:pPr>
                  <w:r>
                    <w:t xml:space="preserve">0.346</w:t>
                  </w:r>
                </w:p>
              </w:tc>
              <w:tc>
                <w:tcPr/>
                <w:p>
                  <w:pPr>
                    <w:pStyle w:val="Compact"/>
                    <w:jc w:val="left"/>
                    <w:jc w:val="left"/>
                  </w:pPr>
                  <w:r>
                    <w:t xml:space="preserve">3.677</w:t>
                  </w:r>
                </w:p>
              </w:tc>
              <w:tc>
                <w:tcPr/>
                <w:p>
                  <w:pPr>
                    <w:pStyle w:val="Compact"/>
                    <w:jc w:val="left"/>
                    <w:jc w:val="left"/>
                  </w:pPr>
                  <w:r>
                    <w:t xml:space="preserve">2.842</w:t>
                  </w:r>
                </w:p>
              </w:tc>
            </w:tr>
            <w:tr>
              <w:tc>
                <w:tcPr/>
                <w:p>
                  <w:pPr>
                    <w:pStyle w:val="Compact"/>
                  </w:pPr>
                </w:p>
              </w:tc>
              <w:tc>
                <w:tcPr/>
                <w:p>
                  <w:pPr>
                    <w:pStyle w:val="Compact"/>
                    <w:jc w:val="left"/>
                    <w:jc w:val="left"/>
                  </w:pPr>
                  <w:r>
                    <w:t xml:space="preserve">(0.298)</w:t>
                  </w:r>
                </w:p>
              </w:tc>
              <w:tc>
                <w:tcPr/>
                <w:p>
                  <w:pPr>
                    <w:pStyle w:val="Compact"/>
                    <w:jc w:val="left"/>
                    <w:jc w:val="left"/>
                  </w:pPr>
                  <w:r>
                    <w:t xml:space="preserve">(3.390)</w:t>
                  </w:r>
                </w:p>
              </w:tc>
              <w:tc>
                <w:tcPr/>
                <w:p>
                  <w:pPr>
                    <w:pStyle w:val="Compact"/>
                    <w:jc w:val="left"/>
                    <w:jc w:val="left"/>
                  </w:pPr>
                  <w:r>
                    <w:t xml:space="preserve">(2.602)</w:t>
                  </w:r>
                </w:p>
              </w:tc>
            </w:tr>
            <w:tr>
              <w:tc>
                <w:tcPr/>
                <w:p>
                  <w:pPr>
                    <w:pStyle w:val="Compact"/>
                    <w:jc w:val="left"/>
                    <w:jc w:val="left"/>
                  </w:pPr>
                  <w:r>
                    <w:t xml:space="preserve">Climate cue × Democrat</w:t>
                  </w:r>
                </w:p>
              </w:tc>
              <w:tc>
                <w:tcPr/>
                <w:p>
                  <w:pPr>
                    <w:pStyle w:val="Compact"/>
                    <w:jc w:val="left"/>
                    <w:jc w:val="left"/>
                  </w:pPr>
                  <w:r>
                    <w:t xml:space="preserve">0.260</w:t>
                  </w:r>
                </w:p>
              </w:tc>
              <w:tc>
                <w:tcPr/>
                <w:p>
                  <w:pPr>
                    <w:pStyle w:val="Compact"/>
                    <w:jc w:val="left"/>
                    <w:jc w:val="left"/>
                  </w:pPr>
                  <w:r>
                    <w:t xml:space="preserve">3.710</w:t>
                  </w:r>
                </w:p>
              </w:tc>
              <w:tc>
                <w:tcPr/>
                <w:p>
                  <w:pPr>
                    <w:pStyle w:val="Compact"/>
                    <w:jc w:val="left"/>
                    <w:jc w:val="left"/>
                  </w:pPr>
                  <w:r>
                    <w:t xml:space="preserve">5.055*</w:t>
                  </w:r>
                </w:p>
              </w:tc>
            </w:tr>
            <w:tr>
              <w:tc>
                <w:tcPr/>
                <w:p>
                  <w:pPr>
                    <w:pStyle w:val="Compact"/>
                  </w:pPr>
                </w:p>
              </w:tc>
              <w:tc>
                <w:tcPr/>
                <w:p>
                  <w:pPr>
                    <w:pStyle w:val="Compact"/>
                    <w:jc w:val="left"/>
                    <w:jc w:val="left"/>
                  </w:pPr>
                  <w:r>
                    <w:t xml:space="preserve">(0.298)</w:t>
                  </w:r>
                </w:p>
              </w:tc>
              <w:tc>
                <w:tcPr/>
                <w:p>
                  <w:pPr>
                    <w:pStyle w:val="Compact"/>
                    <w:jc w:val="left"/>
                    <w:jc w:val="left"/>
                  </w:pPr>
                  <w:r>
                    <w:t xml:space="preserve">(3.520)</w:t>
                  </w:r>
                </w:p>
              </w:tc>
              <w:tc>
                <w:tcPr/>
                <w:p>
                  <w:pPr>
                    <w:pStyle w:val="Compact"/>
                    <w:jc w:val="left"/>
                    <w:jc w:val="left"/>
                  </w:pPr>
                  <w:r>
                    <w:t xml:space="preserve">(2.551)</w:t>
                  </w:r>
                </w:p>
              </w:tc>
            </w:tr>
            <w:tr>
              <w:tc>
                <w:tcPr/>
                <w:p>
                  <w:pPr>
                    <w:pStyle w:val="Compact"/>
                    <w:jc w:val="left"/>
                    <w:jc w:val="left"/>
                  </w:pPr>
                  <w:r>
                    <w:t xml:space="preserve">Trump cue × Republican</w:t>
                  </w:r>
                </w:p>
              </w:tc>
              <w:tc>
                <w:tcPr/>
                <w:p>
                  <w:pPr>
                    <w:pStyle w:val="Compact"/>
                    <w:jc w:val="left"/>
                    <w:jc w:val="left"/>
                  </w:pPr>
                  <w:r>
                    <w:t xml:space="preserve">0.634†</w:t>
                  </w:r>
                </w:p>
              </w:tc>
              <w:tc>
                <w:tcPr/>
                <w:p>
                  <w:pPr>
                    <w:pStyle w:val="Compact"/>
                    <w:jc w:val="left"/>
                    <w:jc w:val="left"/>
                  </w:pPr>
                  <w:r>
                    <w:t xml:space="preserve">2.744</w:t>
                  </w:r>
                </w:p>
              </w:tc>
              <w:tc>
                <w:tcPr/>
                <w:p>
                  <w:pPr>
                    <w:pStyle w:val="Compact"/>
                    <w:jc w:val="left"/>
                    <w:jc w:val="left"/>
                  </w:pPr>
                  <w:r>
                    <w:t xml:space="preserve">0.248</w:t>
                  </w:r>
                </w:p>
              </w:tc>
            </w:tr>
            <w:tr>
              <w:tc>
                <w:tcPr/>
                <w:p>
                  <w:pPr>
                    <w:pStyle w:val="Compact"/>
                  </w:pPr>
                </w:p>
              </w:tc>
              <w:tc>
                <w:tcPr/>
                <w:p>
                  <w:pPr>
                    <w:pStyle w:val="Compact"/>
                    <w:jc w:val="left"/>
                    <w:jc w:val="left"/>
                  </w:pPr>
                  <w:r>
                    <w:t xml:space="preserve">(0.330)</w:t>
                  </w:r>
                </w:p>
              </w:tc>
              <w:tc>
                <w:tcPr/>
                <w:p>
                  <w:pPr>
                    <w:pStyle w:val="Compact"/>
                    <w:jc w:val="left"/>
                    <w:jc w:val="left"/>
                  </w:pPr>
                  <w:r>
                    <w:t xml:space="preserve">(3.484)</w:t>
                  </w:r>
                </w:p>
              </w:tc>
              <w:tc>
                <w:tcPr/>
                <w:p>
                  <w:pPr>
                    <w:pStyle w:val="Compact"/>
                    <w:jc w:val="left"/>
                    <w:jc w:val="left"/>
                  </w:pPr>
                  <w:r>
                    <w:t xml:space="preserve">(2.715)</w:t>
                  </w:r>
                </w:p>
              </w:tc>
            </w:tr>
            <w:tr>
              <w:tc>
                <w:tcPr/>
                <w:p>
                  <w:pPr>
                    <w:pStyle w:val="Compact"/>
                    <w:jc w:val="left"/>
                    <w:jc w:val="left"/>
                  </w:pPr>
                  <w:r>
                    <w:t xml:space="preserve">Climate cue × Republican</w:t>
                  </w:r>
                </w:p>
              </w:tc>
              <w:tc>
                <w:tcPr/>
                <w:p>
                  <w:pPr>
                    <w:pStyle w:val="Compact"/>
                    <w:jc w:val="left"/>
                    <w:jc w:val="left"/>
                  </w:pPr>
                  <w:r>
                    <w:t xml:space="preserve">0.469</w:t>
                  </w:r>
                </w:p>
              </w:tc>
              <w:tc>
                <w:tcPr/>
                <w:p>
                  <w:pPr>
                    <w:pStyle w:val="Compact"/>
                    <w:jc w:val="left"/>
                    <w:jc w:val="left"/>
                  </w:pPr>
                  <w:r>
                    <w:t xml:space="preserve">5.257</w:t>
                  </w:r>
                </w:p>
              </w:tc>
              <w:tc>
                <w:tcPr/>
                <w:p>
                  <w:pPr>
                    <w:pStyle w:val="Compact"/>
                    <w:jc w:val="left"/>
                    <w:jc w:val="left"/>
                  </w:pPr>
                  <w:r>
                    <w:t xml:space="preserve">4.499†</w:t>
                  </w:r>
                </w:p>
              </w:tc>
            </w:tr>
            <w:tr>
              <w:tc>
                <w:tcPr/>
                <w:p>
                  <w:pPr>
                    <w:pStyle w:val="Compact"/>
                  </w:pPr>
                </w:p>
              </w:tc>
              <w:tc>
                <w:tcPr/>
                <w:p>
                  <w:pPr>
                    <w:pStyle w:val="Compact"/>
                    <w:jc w:val="left"/>
                    <w:jc w:val="left"/>
                  </w:pPr>
                  <w:r>
                    <w:t xml:space="preserve">(0.326)</w:t>
                  </w:r>
                </w:p>
              </w:tc>
              <w:tc>
                <w:tcPr/>
                <w:p>
                  <w:pPr>
                    <w:pStyle w:val="Compact"/>
                    <w:jc w:val="left"/>
                    <w:jc w:val="left"/>
                  </w:pPr>
                  <w:r>
                    <w:t xml:space="preserve">(3.512)</w:t>
                  </w:r>
                </w:p>
              </w:tc>
              <w:tc>
                <w:tcPr/>
                <w:p>
                  <w:pPr>
                    <w:pStyle w:val="Compact"/>
                    <w:jc w:val="left"/>
                    <w:jc w:val="left"/>
                  </w:pPr>
                  <w:r>
                    <w:t xml:space="preserve">(2.672)</w:t>
                  </w:r>
                </w:p>
              </w:tc>
            </w:tr>
            <w:tr>
              <w:tc>
                <w:tcPr/>
                <w:p>
                  <w:pPr>
                    <w:pStyle w:val="Compact"/>
                    <w:jc w:val="left"/>
                    <w:jc w:val="left"/>
                  </w:pPr>
                  <w:r>
                    <w:t xml:space="preserve">(Intercept)</w:t>
                  </w:r>
                </w:p>
              </w:tc>
              <w:tc>
                <w:tcPr/>
                <w:p>
                  <w:pPr>
                    <w:pStyle w:val="Compact"/>
                    <w:jc w:val="left"/>
                    <w:jc w:val="left"/>
                  </w:pPr>
                  <w:r>
                    <w:t xml:space="preserve">0.117</w:t>
                  </w:r>
                </w:p>
              </w:tc>
              <w:tc>
                <w:tcPr/>
                <w:p>
                  <w:pPr>
                    <w:pStyle w:val="Compact"/>
                    <w:jc w:val="left"/>
                    <w:jc w:val="left"/>
                  </w:pPr>
                  <w:r>
                    <w:t xml:space="preserve">17.652**</w:t>
                  </w:r>
                </w:p>
              </w:tc>
              <w:tc>
                <w:tcPr/>
                <w:p>
                  <w:pPr>
                    <w:pStyle w:val="Compact"/>
                    <w:jc w:val="left"/>
                    <w:jc w:val="left"/>
                  </w:pPr>
                  <w:r>
                    <w:t xml:space="preserve">19.076**</w:t>
                  </w:r>
                </w:p>
              </w:tc>
            </w:tr>
            <w:tr>
              <w:tc>
                <w:tcPr/>
                <w:p>
                  <w:pPr>
                    <w:pStyle w:val="Compact"/>
                  </w:pPr>
                </w:p>
              </w:tc>
              <w:tc>
                <w:tcPr/>
                <w:p>
                  <w:pPr>
                    <w:pStyle w:val="Compact"/>
                    <w:jc w:val="left"/>
                    <w:jc w:val="left"/>
                  </w:pPr>
                  <w:r>
                    <w:t xml:space="preserve">(0.179)</w:t>
                  </w:r>
                </w:p>
              </w:tc>
              <w:tc>
                <w:tcPr/>
                <w:p>
                  <w:pPr>
                    <w:pStyle w:val="Compact"/>
                    <w:jc w:val="left"/>
                    <w:jc w:val="left"/>
                  </w:pPr>
                  <w:r>
                    <w:t xml:space="preserve">(2.181)</w:t>
                  </w:r>
                </w:p>
              </w:tc>
              <w:tc>
                <w:tcPr/>
                <w:p>
                  <w:pPr>
                    <w:pStyle w:val="Compact"/>
                    <w:jc w:val="left"/>
                    <w:jc w:val="left"/>
                  </w:pPr>
                  <w:r>
                    <w:t xml:space="preserve">(1.601)</w:t>
                  </w:r>
                </w:p>
              </w:tc>
            </w:tr>
            <w:tr>
              <w:tc>
                <w:tcPr/>
                <w:p>
                  <w:pPr>
                    <w:pStyle w:val="Compact"/>
                    <w:jc w:val="left"/>
                    <w:jc w:val="left"/>
                  </w:pPr>
                  <w:r>
                    <w:t xml:space="preserve">Num.Obs.</w:t>
                  </w:r>
                </w:p>
              </w:tc>
              <w:tc>
                <w:tcPr/>
                <w:p>
                  <w:pPr>
                    <w:pStyle w:val="Compact"/>
                    <w:jc w:val="left"/>
                    <w:jc w:val="left"/>
                  </w:pPr>
                  <w:r>
                    <w:t xml:space="preserve">3113</w:t>
                  </w:r>
                </w:p>
              </w:tc>
              <w:tc>
                <w:tcPr/>
                <w:p>
                  <w:pPr>
                    <w:pStyle w:val="Compact"/>
                    <w:jc w:val="left"/>
                    <w:jc w:val="left"/>
                  </w:pPr>
                  <w:r>
                    <w:t xml:space="preserve">1433</w:t>
                  </w:r>
                </w:p>
              </w:tc>
              <w:tc>
                <w:tcPr/>
                <w:p>
                  <w:pPr>
                    <w:pStyle w:val="Compact"/>
                    <w:jc w:val="left"/>
                    <w:jc w:val="left"/>
                  </w:pPr>
                  <w:r>
                    <w:t xml:space="preserve">3113</w:t>
                  </w:r>
                </w:p>
              </w:tc>
            </w:tr>
            <w:tr>
              <w:tc>
                <w:tcPr/>
                <w:p>
                  <w:pPr>
                    <w:pStyle w:val="Compact"/>
                    <w:jc w:val="left"/>
                    <w:jc w:val="left"/>
                  </w:pPr>
                  <w:r>
                    <w:t xml:space="preserve">Adj. R2</w:t>
                  </w:r>
                </w:p>
              </w:tc>
              <w:tc>
                <w:tcPr/>
                <w:p>
                  <w:pPr>
                    <w:pStyle w:val="Compact"/>
                  </w:pPr>
                </w:p>
              </w:tc>
              <w:tc>
                <w:tcPr/>
                <w:p>
                  <w:pPr>
                    <w:pStyle w:val="Compact"/>
                    <w:jc w:val="left"/>
                    <w:jc w:val="left"/>
                  </w:pPr>
                  <w:r>
                    <w:t xml:space="preserve">0</w:t>
                  </w:r>
                </w:p>
              </w:tc>
              <w:tc>
                <w:tcPr/>
                <w:p>
                  <w:pPr>
                    <w:pStyle w:val="Compact"/>
                    <w:jc w:val="left"/>
                    <w:jc w:val="left"/>
                  </w:pPr>
                  <w:r>
                    <w:t xml:space="preserve">0.091</w:t>
                  </w:r>
                </w:p>
              </w:tc>
            </w:tr>
            <w:tr>
              <w:tc>
                <w:tcPr/>
                <w:p>
                  <w:pPr>
                    <w:pStyle w:val="Compact"/>
                    <w:jc w:val="left"/>
                    <w:jc w:val="left"/>
                  </w:pPr>
                  <w:r>
                    <w:t xml:space="preserve">McFadden’s pseudo R2</w:t>
                  </w:r>
                </w:p>
              </w:tc>
              <w:tc>
                <w:tcPr/>
                <w:p>
                  <w:pPr>
                    <w:pStyle w:val="Compact"/>
                    <w:jc w:val="left"/>
                    <w:jc w:val="left"/>
                  </w:pPr>
                  <w:r>
                    <w:t xml:space="preserve">0.059</w:t>
                  </w:r>
                </w:p>
              </w:tc>
              <w:tc>
                <w:tcPr/>
                <w:p>
                  <w:pPr>
                    <w:pStyle w:val="Compact"/>
                  </w:pPr>
                </w:p>
              </w:tc>
              <w:tc>
                <w:tcPr/>
                <w:p>
                  <w:pPr>
                    <w:pStyle w:val="Compact"/>
                  </w:pPr>
                </w:p>
              </w:tc>
            </w:tr>
            <w:tr>
              <w:tc>
                <w:tcPr>
                  <w:gridSpan w:val="4"/>
                </w:tcPr>
                <w:p>
                  <w:pPr>
                    <w:pStyle w:val="Compact"/>
                    <w:jc w:val="left"/>
                    <w:jc w:val="left"/>
                  </w:pPr>
                  <w:r>
                    <w:t xml:space="preserve">† p &lt; 0.1, * p &lt; 0.05, ** p &lt; 0.01</w:t>
                  </w:r>
                </w:p>
              </w:tc>
            </w:tr>
          </w:tbl>
          <w:bookmarkEnd w:id="23"/>
          <w:p/>
        </w:tc>
      </w:tr>
    </w:tbl>
    <w:p>
      <w:pPr>
        <w:pStyle w:val="BodyText"/>
      </w:pPr>
      <w:r>
        <w:t xml:space="preserve">For fossil fuels, Republicans were significantly more likely than those who identify with neither party to have any positive WTP (b = 0.57, log-odds scale), and Democrats were significantly less likely (b = -0.46). The predicted probability of any positive WTP in the baseline condition was 66.4% for Republicans compared to 41.6% for Democrats. Among those who identify with neither party, the Trump cue lowered the likelihood of any positive WTP for fossil fuels (b = -0.56), and the Trump cue x Republican interaction was marginally significant (b = 0.63,</w:t>
      </w:r>
      <w:r>
        <w:t xml:space="preserve"> </w:t>
      </w:r>
      <w:r>
        <w:rPr>
          <w:i/>
          <w:iCs/>
        </w:rPr>
        <w:t xml:space="preserve">p</w:t>
      </w:r>
      <w:r>
        <w:t xml:space="preserve"> </w:t>
      </w:r>
      <w:r>
        <w:t xml:space="preserve">= 0.055). However, this interaction reflects the decline among those who identify with neither party rather than an increase among Republicans, whose likelihood of any positive WTP in the Trump cue did not differ from the baseline (68.1% versus 66.4%; difference = 0.07,</w:t>
      </w:r>
      <w:r>
        <w:t xml:space="preserve"> </w:t>
      </w:r>
      <w:r>
        <w:rPr>
          <w:i/>
          <w:iCs/>
        </w:rPr>
        <w:t xml:space="preserve">p</w:t>
      </w:r>
      <w:r>
        <w:t xml:space="preserve"> </w:t>
      </w:r>
      <w:r>
        <w:t xml:space="preserve">= 0.711). The interaction is also not significant after adjusting for multiple comparisons (Holm-adjusted</w:t>
      </w:r>
      <w:r>
        <w:t xml:space="preserve"> </w:t>
      </w:r>
      <w:r>
        <w:rPr>
          <w:i/>
          <w:iCs/>
        </w:rPr>
        <w:t xml:space="preserve">p</w:t>
      </w:r>
      <w:r>
        <w:t xml:space="preserve"> </w:t>
      </w:r>
      <w:r>
        <w:t xml:space="preserve">= 0.77).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wtp-fossil-predicted"/>
          <w:p>
            <w:pPr>
              <w:jc w:val="center"/>
            </w:pPr>
            <w:pPr>
              <w:jc w:val="left"/>
              <w:spacing w:before="200"/>
              <w:pStyle w:val="ImageCaption"/>
            </w:pPr>
            <w:r>
              <w:t xml:space="preserve">Figure 2: Predicted willingness-to-pay for fossil fuels, among respondents with any positive WTP, by cue condition and party identification (survey-weighted OLS predictions with 95% CIs)</w:t>
            </w:r>
          </w:p>
          <w:p>
            <w:pPr>
              <w:pStyle w:val="Compact"/>
              <w:jc w:val="center"/>
            </w:pPr>
            <w:r>
              <w:drawing>
                <wp:inline>
                  <wp:extent cx="5334000" cy="4267200"/>
                  <wp:effectExtent b="0" l="0" r="0" t="0"/>
                  <wp:docPr descr="" title="" id="25" name="Picture"/>
                  <a:graphic>
                    <a:graphicData uri="http://schemas.openxmlformats.org/drawingml/2006/picture">
                      <pic:pic>
                        <pic:nvPicPr>
                          <pic:cNvPr descr="cue-WTP_files/figure-docx/fig-wtp-fossil-predicted-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bookmarkEnd w:id="27"/>
        </w:tc>
      </w:tr>
    </w:tbl>
    <w:tbl>
      <w:tblPr>
        <w:tblStyle w:val="Table"/>
        <w:tblW w:type="pct" w:w="5000"/>
        <w:tblLayout w:type="fixed"/>
        <w:tblLook w:firstRow="0" w:lastRow="0" w:firstColumn="0" w:lastColumn="0" w:noHBand="0" w:noVBand="0" w:val="0000"/>
      </w:tblPr>
      <w:tblGrid>
        <w:gridCol w:w="7920"/>
      </w:tblGrid>
      <w:tr>
        <w:tc>
          <w:tcPr/>
          <w:bookmarkStart w:id="31" w:name="fig-wtp-renewable-predicted"/>
          <w:p>
            <w:pPr>
              <w:jc w:val="center"/>
            </w:pPr>
            <w:pPr>
              <w:jc w:val="left"/>
              <w:spacing w:before="200"/>
              <w:pStyle w:val="ImageCaption"/>
            </w:pPr>
            <w:r>
              <w:t xml:space="preserve">Figure 3: Predicted willingness-to-pay for renewables by cue condition and party identification (survey-weighted OLS predictions with 95% CIs)</w:t>
            </w:r>
          </w:p>
          <w:p>
            <w:pPr>
              <w:pStyle w:val="Compact"/>
              <w:jc w:val="center"/>
            </w:pPr>
            <w:r>
              <w:drawing>
                <wp:inline>
                  <wp:extent cx="5334000" cy="4267200"/>
                  <wp:effectExtent b="0" l="0" r="0" t="0"/>
                  <wp:docPr descr="" title="" id="29" name="Picture"/>
                  <a:graphic>
                    <a:graphicData uri="http://schemas.openxmlformats.org/drawingml/2006/picture">
                      <pic:pic>
                        <pic:nvPicPr>
                          <pic:cNvPr descr="cue-WTP_files/figure-docx/fig-wtp-renewable-predicted-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bookmarkEnd w:id="31"/>
        </w:tc>
      </w:tr>
    </w:tbl>
    <w:p>
      <w:pPr>
        <w:pStyle w:val="BodyText"/>
      </w:pPr>
      <w:r>
        <w:t xml:space="preserve">Among those with positive WTP for fossil fuels, neither party identification, the cues, nor their interactions significantly predicted the dollar amount. The predicted amount for Republicans was $14.87 in the baseline condition versus $14.02 in the Trump cue. In the Tobit model of fossil fuel WTP, the Trump cue x Republican interaction (b = 9.64,</w:t>
      </w:r>
      <w:r>
        <w:t xml:space="preserve"> </w:t>
      </w:r>
      <w:r>
        <w:rPr>
          <w:i/>
          <w:iCs/>
        </w:rPr>
        <w:t xml:space="preserve">p</w:t>
      </w:r>
      <w:r>
        <w:t xml:space="preserve"> </w:t>
      </w:r>
      <w:r>
        <w:t xml:space="preserve">= 0.028) and the climate cue x Republican interaction (b = 9.60,</w:t>
      </w:r>
      <w:r>
        <w:t xml:space="preserve"> </w:t>
      </w:r>
      <w:r>
        <w:rPr>
          <w:i/>
          <w:iCs/>
        </w:rPr>
        <w:t xml:space="preserve">p</w:t>
      </w:r>
      <w:r>
        <w:t xml:space="preserve"> </w:t>
      </w:r>
      <w:r>
        <w:t xml:space="preserve">= 0.026) are significant. However, these interactions reflect a lower WTP for fossil fuels in the cue conditions among those who identify with neither party (Trump cue b = -9.33,</w:t>
      </w:r>
      <w:r>
        <w:t xml:space="preserve"> </w:t>
      </w:r>
      <w:r>
        <w:rPr>
          <w:i/>
          <w:iCs/>
        </w:rPr>
        <w:t xml:space="preserve">p</w:t>
      </w:r>
      <w:r>
        <w:t xml:space="preserve"> </w:t>
      </w:r>
      <w:r>
        <w:t xml:space="preserve">= 0.012) rather than a higher WTP among Republicans, whose WTP for fossil fuels did not differ from the baseline in either the Trump cue (difference = 0.31,</w:t>
      </w:r>
      <w:r>
        <w:t xml:space="preserve"> </w:t>
      </w:r>
      <w:r>
        <w:rPr>
          <w:i/>
          <w:iCs/>
        </w:rPr>
        <w:t xml:space="preserve">p</w:t>
      </w:r>
      <w:r>
        <w:t xml:space="preserve"> </w:t>
      </w:r>
      <w:r>
        <w:t xml:space="preserve">= 0.893) or the climate cue (difference = 2.80,</w:t>
      </w:r>
      <w:r>
        <w:t xml:space="preserve"> </w:t>
      </w:r>
      <w:r>
        <w:rPr>
          <w:i/>
          <w:iCs/>
        </w:rPr>
        <w:t xml:space="preserve">p</w:t>
      </w:r>
      <w:r>
        <w:t xml:space="preserve"> </w:t>
      </w:r>
      <w:r>
        <w:t xml:space="preserve">= 0.215). The Trump cue x Republican interaction is also not significant after adjusting for multiple comparisons (Holm-adjusted</w:t>
      </w:r>
      <w:r>
        <w:t xml:space="preserve"> </w:t>
      </w:r>
      <w:r>
        <w:rPr>
          <w:i/>
          <w:iCs/>
        </w:rPr>
        <w:t xml:space="preserve">p</w:t>
      </w:r>
      <w:r>
        <w:t xml:space="preserve"> </w:t>
      </w:r>
      <w:r>
        <w:t xml:space="preserve">= 0.47).</w:t>
      </w:r>
    </w:p>
    <w:p>
      <w:pPr>
        <w:pStyle w:val="BodyText"/>
      </w:pPr>
      <w:r>
        <w:t xml:space="preserve">Looking to renewables, Democrats were willing to pay $3.97 more, on average, than those who identify with neither party, and Republicans were willing to pay $5.96 less, for a predicted total of $13.12 among Republicans in the baseline condition. The climate cue x Democrat interaction was significant (b = 5.05,</w:t>
      </w:r>
      <w:r>
        <w:t xml:space="preserve"> </w:t>
      </w:r>
      <w:r>
        <w:rPr>
          <w:i/>
          <w:iCs/>
        </w:rPr>
        <w:t xml:space="preserve">p</w:t>
      </w:r>
      <w:r>
        <w:t xml:space="preserve"> </w:t>
      </w:r>
      <w:r>
        <w:t xml:space="preserve">= 0.048), and the climate cue x Republican interaction was nearly as large (b = 4.50,</w:t>
      </w:r>
      <w:r>
        <w:t xml:space="preserve"> </w:t>
      </w:r>
      <w:r>
        <w:rPr>
          <w:i/>
          <w:iCs/>
        </w:rPr>
        <w:t xml:space="preserve">p</w:t>
      </w:r>
      <w:r>
        <w:t xml:space="preserve"> </w:t>
      </w:r>
      <w:r>
        <w:t xml:space="preserve">= 0.092). However, both interactions largely reflect a lower WTP for renewables in the climate cue among those who identify with neither party (b = -3.58,</w:t>
      </w:r>
      <w:r>
        <w:t xml:space="preserve"> </w:t>
      </w:r>
      <w:r>
        <w:rPr>
          <w:i/>
          <w:iCs/>
        </w:rPr>
        <w:t xml:space="preserve">p</w:t>
      </w:r>
      <w:r>
        <w:t xml:space="preserve"> </w:t>
      </w:r>
      <w:r>
        <w:t xml:space="preserve">= 0.111). Among Democrats, the climate cue did not significantly increase WTP for renewables compared to the baseline (difference = $1.48,</w:t>
      </w:r>
      <w:r>
        <w:t xml:space="preserve"> </w:t>
      </w:r>
      <w:r>
        <w:rPr>
          <w:i/>
          <w:iCs/>
        </w:rPr>
        <w:t xml:space="preserve">p</w:t>
      </w:r>
      <w:r>
        <w:t xml:space="preserve"> </w:t>
      </w:r>
      <w:r>
        <w:t xml:space="preserve">= 0.223), and the climate cue x Democrat interaction is not significant after adjusting for multiple comparisons (Holm-adjusted</w:t>
      </w:r>
      <w:r>
        <w:t xml:space="preserve"> </w:t>
      </w:r>
      <w:r>
        <w:rPr>
          <w:i/>
          <w:iCs/>
        </w:rPr>
        <w:t xml:space="preserve">p</w:t>
      </w:r>
      <w:r>
        <w:t xml:space="preserve"> </w:t>
      </w:r>
      <w:r>
        <w:t xml:space="preserve">= 0.71).</w:t>
      </w:r>
    </w:p>
    <w:p>
      <w:pPr>
        <w:pStyle w:val="BodyText"/>
      </w:pPr>
      <w:r>
        <w:t xml:space="preserve">The absence of reliable cue effects on WTP among partisans should not be read as evidence that the cues have no effect on WTP. With 80 percent power and</w:t>
      </w:r>
      <w:r>
        <w:t xml:space="preserve"> </w:t>
      </w:r>
      <m:oMath>
        <m:r>
          <m:t>α</m:t>
        </m:r>
      </m:oMath>
      <w:r>
        <w:t xml:space="preserve"> </w:t>
      </w:r>
      <w:r>
        <w:t xml:space="preserve">= .05, the smallest interaction effects the design could reliably detect are $7.15 to 7.61 for renewables and $9.50 to 9.86 for the amount of fossil fuel WTP, compared with 0.58 to 0.72 points for the priority scale. Smaller effects of the cues on WTP cannot be ruled out. Additionally, neither cue had a significant average effect on WTP for either source in the models with the cues alone (all</w:t>
      </w:r>
      <w:r>
        <w:t xml:space="preserve"> </w:t>
      </w:r>
      <w:r>
        <w:rPr>
          <w:i/>
          <w:iCs/>
        </w:rPr>
        <w:t xml:space="preserve">p</w:t>
      </w:r>
      <w:r>
        <w:t xml:space="preserve"> </w:t>
      </w:r>
      <m:oMath>
        <m:r>
          <m:rPr>
            <m:sty m:val="p"/>
          </m:rPr>
          <m:t>≥</m:t>
        </m:r>
      </m:oMath>
      <w:r>
        <w:t xml:space="preserve"> </w:t>
      </w:r>
      <w:r>
        <w:t xml:space="preserve">0.135).</w:t>
      </w:r>
    </w:p>
    <w:p>
      <w:pPr>
        <w:pStyle w:val="BodyText"/>
      </w:pPr>
      <w:r>
        <w:t xml:space="preserve">Overall, respondents leaned toward renewables on the priority scale, and the WTP for renewables was higher than for fossil fuels, though the size of the WTP difference likely reflects the wording of the prompts. The difference in WTP was also not uniform across groups. For example, among Republicans in the Trump cue, the WTP for renewables did not differ significantly from the WTP for fossil fuels (difference = $1.82,</w:t>
      </w:r>
      <w:r>
        <w:t xml:space="preserve"> </w:t>
      </w:r>
      <w:r>
        <w:rPr>
          <w:i/>
          <w:iCs/>
        </w:rPr>
        <w:t xml:space="preserve">p</w:t>
      </w:r>
      <w:r>
        <w:t xml:space="preserve"> </w:t>
      </w:r>
      <w:r>
        <w:t xml:space="preserve">= 0.153).</w:t>
      </w:r>
    </w:p>
    <w:p>
      <w:pPr>
        <w:pStyle w:val="BodyText"/>
      </w:pPr>
      <w:r>
        <w:t xml:space="preserve">Comparing the results to the hypotheses, the support is mixed. As expected, partisanship shaped both preferences and WTP, largely supporting H1a and H1b. Republicans prioritized fossil fuels more than those who identify with neither party, were more likely to have any positive WTP for fossil fuels, and were WTP less for renewables. Democrats, in contrast, prioritized renewables, were less likely to have any positive WTP for fossil fuels, and were WTP more for renewables. However, among those WTP something for fossil fuels, Republicans were not WTP more than others. H2a and H2b were not supported, as neither the Trump cue nor the climate cue had a significant average effect on energy priority or WTP for either source compared to the baseline condition. H3a received limited support. The Trump cue moved Republicans toward fossil fuels on the priority scale, but the interaction does not hold after adjusting for multiple comparisons or without the survey weights. H3b was not supported, as the climate cue did not move Democrats toward renewables on the priority scale, and the climate cue x Democrat interaction for renewables WTP reflects a decline among those who identify with neither party rather than an increase among Democrats. Regarding RQ1, there was no evidence that either cue led partisans to move away from the position of the source. Regarding RQ2, the shift in priority among Republicans did not carry over to WTP, as Republicans in the Trump cue did not differ from those in the baseline in their WTP for fossil fuels. These results suggest that cues are likely more effective at moving the priority the public gives to energy sources than the amount they are willing to pay, though the design could not detect small effects on WTP.</w:t>
      </w:r>
    </w:p>
    <w:bookmarkEnd w:id="32"/>
    <w:bookmarkStart w:id="34" w:name="discussion-and-conclusion"/>
    <w:p>
      <w:pPr>
        <w:pStyle w:val="Heading1"/>
      </w:pPr>
      <w:r>
        <w:t xml:space="preserve">Discussion and Conclusion</w:t>
      </w:r>
    </w:p>
    <w:p>
      <w:pPr>
        <w:pStyle w:val="FirstParagraph"/>
      </w:pPr>
      <w:r>
        <w:t xml:space="preserve">A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electricity, and how these responses are shaped by partisanship. The results show that support for energy sources is polarized along partisan lines, both in how respondents prioritized fossil fuels against renewables and in the dollar amounts they were willing to pay. There is also some evidence that a Trump cue moved Republicans toward fossil fuels, though this effect does not hold after adjusting for multiple comparisons and should be considered tentative. In contrast, the climate cue did not move Democrats toward renewables, which is likely because Democrats already strongly prioritized renewables in the baseline condition. Together, these findings suggest that a cue from a polarizing figure such as President Trump may further exacerbate existing partisan divisions in how the public prioritizes energy sources.</w:t>
      </w:r>
    </w:p>
    <w:p>
      <w:pPr>
        <w:pStyle w:val="BodyText"/>
      </w:pPr>
      <w:r>
        <w:t xml:space="preserve">The cue effects were also uneven across the two outcomes. Partisanship appears to condition the effect of the Trump cue on prioritization, but not on WTP. For example, the Trump cue did not significantly change WTP for fossil fuels among Republicans. This is likely because stating a priority is costless, whereas stating a WTP asks respondents to consider a cost to their own household. Agreeing with a trusted source, or reacting to a cue, may be easy when nothing is at stake, but the concrete cost of an increase in an electricity bill may limit the influence of cues, especially in times of concern about rising energy costs.</w:t>
      </w:r>
      <w:r>
        <w:rPr>
          <w:rStyle w:val="FootnoteReference"/>
        </w:rPr>
        <w:footnoteReference w:id="33"/>
      </w:r>
      <w:r>
        <w:t xml:space="preserve"> </w:t>
      </w:r>
      <w:r>
        <w:t xml:space="preserve">Additionally, a single cue is likely a weaker treatment than the sustained rhetoric respondents may encounter outside of a survey. The few cue x party identification interactions for WTP that reached significance reflected a lower WTP among those who identify with neither party rather than a shift among partisans, and this small group is estimated with less precision. However, the design could only detect relatively large interaction effects on WTP, so small effects of the cues on WTP cannot be ruled out.</w:t>
      </w:r>
    </w:p>
    <w:p>
      <w:pPr>
        <w:pStyle w:val="BodyText"/>
      </w:pPr>
      <w:r>
        <w:t xml:space="preserve">These results carry several implications for climate and energy policy. First, respondents, on average, leaned toward prioritizing renewables over fossil fuels, with a mean of 5.17 on the 1 to 7 scale, and 86 percent of respondents reported some positive WTP for renewables. This suggests that renewable energy investment likely has general public support even in a polarized environment, though the size of the WTP gap between renewables and fossil fuels should be interpreted with caution. Second, if the tentative responsiveness of Republicans to the Trump cue holds, elite rhetoric, including rhetoric tied to a single prominent figure, may widen the partisan gap in energy preferences further, which is a risk for policymakers seeking durable, bipartisan support for energy policy. Third, because the cues did not shift prioritization in the sample overall and did not reliably shift WTP,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w:t>
      </w:r>
    </w:p>
    <w:p>
      <w:pPr>
        <w:pStyle w:val="BodyText"/>
      </w:pPr>
      <w:r>
        <w:t xml:space="preserve">This study has some limitations. First, respondents were recruited from an opt-in, quota-based panel rather than a probability sample, and the survey weights substantially increase the share of Republicans. Second, the WTP prompts were not symmetric, as the fossil fuel prompt included a reason not to pay for fossil fuels, which likely inflates the difference between WTP for renewables and fossil fuels. Third, the conditions were not parallel. The Trump cue changed only the source of the argument for fossil fuels, whereas the climate cue added a scientific source, a climate change frame, and a counterargument, so the effects of the two cues cannot be compared directly. Fourth, party identification was measured after the outcomes, though its distribution did not differ across conditions. Additionally, after leaners are assigned to a party, the reference group of those who identify with neither party is small. Fifth, the survey did not include attention or manipulation checks, and the starting amounts for the WTP questions were not recorded. Finally, the WTP measure relies on a hypothetical, stated-preference elicitation, and stated WTP does not always translate into WTP once a real price change is introduced. The cues were also each delivered once, in a single survey context, and their effects may not persist or generalize to the repeated, cumulative exposure people experience outside of a survey.</w:t>
      </w:r>
    </w:p>
    <w:p>
      <w:pPr>
        <w:pStyle w:val="BodyText"/>
      </w:pPr>
      <w:r>
        <w:t xml:space="preserve">Future research should examine whether repeated exposure to partisan cues over time widens the partisan gap in energy preferences identified here, and whether the cues have larger effects on WTP when respondents are asked to pay the stated amount rather than simply report it. Future research should also use parallel cue conditions and symmetric WTP prompts, and test whether cue effects on costless and costly expressions of preference differ within the same respondents.</w:t>
      </w:r>
    </w:p>
    <w:bookmarkEnd w:id="34"/>
    <w:bookmarkStart w:id="36" w:name="statements-and-declarations"/>
    <w:p>
      <w:pPr>
        <w:pStyle w:val="Heading1"/>
      </w:pPr>
      <w:r>
        <w:t xml:space="preserve">Statements and Declarations</w:t>
      </w:r>
    </w:p>
    <w:p>
      <w:pPr>
        <w:pStyle w:val="FirstParagraph"/>
      </w:pPr>
      <w:r>
        <w:rPr>
          <w:b/>
          <w:bCs/>
        </w:rPr>
        <w:t xml:space="preserve">Ethics approval.</w:t>
      </w:r>
      <w:r>
        <w:t xml:space="preserve"> </w:t>
      </w:r>
      <w:r>
        <w:t xml:space="preserve">This study was reviewed and approved by the University of Texas at Arlington Institutional Review Board [PROTOCOL NUMBER], and all respondents provided informed consent.</w:t>
      </w:r>
    </w:p>
    <w:p>
      <w:pPr>
        <w:pStyle w:val="BodyText"/>
      </w:pPr>
      <w:r>
        <w:rPr>
          <w:b/>
          <w:bCs/>
        </w:rPr>
        <w:t xml:space="preserve">Pre-registration.</w:t>
      </w:r>
      <w:r>
        <w:t xml:space="preserve"> </w:t>
      </w:r>
      <w:r>
        <w:t xml:space="preserve">The study was not pre-registered.</w:t>
      </w:r>
    </w:p>
    <w:p>
      <w:pPr>
        <w:pStyle w:val="BodyText"/>
      </w:pPr>
      <w:r>
        <w:rPr>
          <w:b/>
          <w:bCs/>
        </w:rPr>
        <w:t xml:space="preserve">Data availability.</w:t>
      </w:r>
      <w:r>
        <w:t xml:space="preserve"> </w:t>
      </w:r>
      <w:r>
        <w:t xml:space="preserve">The code to reproduce the analysis is available at</w:t>
      </w:r>
      <w:r>
        <w:t xml:space="preserve"> </w:t>
      </w:r>
      <w:hyperlink r:id="rId35">
        <w:r>
          <w:rPr>
            <w:rStyle w:val="Hyperlink"/>
          </w:rPr>
          <w:t xml:space="preserve">https://github.com/mnowlin/cue-WTP</w:t>
        </w:r>
      </w:hyperlink>
      <w:r>
        <w:t xml:space="preserve">. The survey data will be made available upon publication.</w:t>
      </w:r>
    </w:p>
    <w:p>
      <w:r>
        <w:br w:type="page"/>
      </w:r>
    </w:p>
    <w:bookmarkEnd w:id="36"/>
    <w:bookmarkStart w:id="68" w:name="references"/>
    <w:p>
      <w:pPr>
        <w:pStyle w:val="Heading1"/>
      </w:pPr>
      <w:r>
        <w:t xml:space="preserve">References</w:t>
      </w:r>
    </w:p>
    <w:bookmarkStart w:id="67" w:name="refs"/>
    <w:bookmarkStart w:id="37"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7"/>
    <w:bookmarkStart w:id="38"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8"/>
    <w:bookmarkStart w:id="39"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9"/>
    <w:bookmarkStart w:id="40" w:name="ref-bolsenInfluencePartisanMotivated2014"/>
    <w:p>
      <w:pPr>
        <w:pStyle w:val="Bibliography"/>
      </w:pPr>
      <w:r>
        <w:t xml:space="preserve">Bolsen, Toby, James N. Druckman, and Fay Lomax Cook. 2014.</w:t>
      </w:r>
      <w:r>
        <w:t xml:space="preserve"> </w:t>
      </w:r>
      <w:r>
        <w:t xml:space="preserve">“The</w:t>
      </w:r>
      <w:r>
        <w:t xml:space="preserve"> </w:t>
      </w:r>
      <w:r>
        <w:t xml:space="preserve">Influence</w:t>
      </w:r>
      <w:r>
        <w:t xml:space="preserve"> </w:t>
      </w:r>
      <w:r>
        <w:t xml:space="preserve">of</w:t>
      </w:r>
      <w:r>
        <w:t xml:space="preserve"> </w:t>
      </w:r>
      <w:r>
        <w:t xml:space="preserve">Partisan Motivated Reasoning</w:t>
      </w:r>
      <w:r>
        <w:t xml:space="preserve"> </w:t>
      </w:r>
      <w:r>
        <w:t xml:space="preserve">on</w:t>
      </w:r>
      <w:r>
        <w:t xml:space="preserve"> </w:t>
      </w:r>
      <w:r>
        <w:t xml:space="preserve">Public Opinion</w:t>
      </w:r>
      <w:r>
        <w:t xml:space="preserve">.”</w:t>
      </w:r>
      <w:r>
        <w:t xml:space="preserve"> </w:t>
      </w:r>
      <w:r>
        <w:rPr>
          <w:i/>
          <w:iCs/>
        </w:rPr>
        <w:t xml:space="preserve">Political Behavior</w:t>
      </w:r>
      <w:r>
        <w:t xml:space="preserve"> </w:t>
      </w:r>
      <w:r>
        <w:t xml:space="preserve">36(2): 235–62.</w:t>
      </w:r>
    </w:p>
    <w:bookmarkEnd w:id="40"/>
    <w:bookmarkStart w:id="41"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41"/>
    <w:bookmarkStart w:id="42"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w:t>
      </w:r>
      <w:r>
        <w:t xml:space="preserve">-to-</w:t>
      </w:r>
      <w:r>
        <w:t xml:space="preserve">Pay</w:t>
      </w:r>
      <w:r>
        <w:t xml:space="preserve">.”</w:t>
      </w:r>
      <w:r>
        <w:t xml:space="preserve"> </w:t>
      </w:r>
      <w:r>
        <w:rPr>
          <w:i/>
          <w:iCs/>
        </w:rPr>
        <w:t xml:space="preserve">Innovative Marketing</w:t>
      </w:r>
      <w:r>
        <w:t xml:space="preserve"> </w:t>
      </w:r>
      <w:r>
        <w:t xml:space="preserve">2(4): 8–32.</w:t>
      </w:r>
    </w:p>
    <w:bookmarkEnd w:id="42"/>
    <w:bookmarkStart w:id="43" w:name="ref-bullockPartisanBiasFactual2015"/>
    <w:p>
      <w:pPr>
        <w:pStyle w:val="Bibliography"/>
      </w:pPr>
      <w:r>
        <w:t xml:space="preserve">Bullock, John G., Alan S. Gerber, Seth J. Hill, and Gregory A. Huber. 2015.</w:t>
      </w:r>
      <w:r>
        <w:t xml:space="preserve"> </w:t>
      </w:r>
      <w:r>
        <w:t xml:space="preserve">“Partisan</w:t>
      </w:r>
      <w:r>
        <w:t xml:space="preserve"> </w:t>
      </w:r>
      <w:r>
        <w:t xml:space="preserve">Bias</w:t>
      </w:r>
      <w:r>
        <w:t xml:space="preserve"> </w:t>
      </w:r>
      <w:r>
        <w:t xml:space="preserve">in</w:t>
      </w:r>
      <w:r>
        <w:t xml:space="preserve"> </w:t>
      </w:r>
      <w:r>
        <w:t xml:space="preserve">Factual Beliefs</w:t>
      </w:r>
      <w:r>
        <w:t xml:space="preserve"> </w:t>
      </w:r>
      <w:r>
        <w:t xml:space="preserve">about</w:t>
      </w:r>
      <w:r>
        <w:t xml:space="preserve"> </w:t>
      </w:r>
      <w:r>
        <w:t xml:space="preserve">Politics</w:t>
      </w:r>
      <w:r>
        <w:t xml:space="preserve">.”</w:t>
      </w:r>
      <w:r>
        <w:t xml:space="preserve"> </w:t>
      </w:r>
      <w:r>
        <w:rPr>
          <w:i/>
          <w:iCs/>
        </w:rPr>
        <w:t xml:space="preserve">Quarterly Journal of Political Science</w:t>
      </w:r>
      <w:r>
        <w:t xml:space="preserve"> </w:t>
      </w:r>
      <w:r>
        <w:t xml:space="preserve">10(4): 519–78.</w:t>
      </w:r>
    </w:p>
    <w:bookmarkEnd w:id="43"/>
    <w:bookmarkStart w:id="44"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44"/>
    <w:bookmarkStart w:id="45"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5"/>
    <w:bookmarkStart w:id="46" w:name="Xd021f1bc7383e3e1df188ec6ac9fbfebe3f9b3a"/>
    <w:p>
      <w:pPr>
        <w:pStyle w:val="Bibliography"/>
      </w:pPr>
      <w:r>
        <w:t xml:space="preserve">Ehret, Phillip J., Leaf Van Boven, and David K. Sherman. 2018.</w:t>
      </w:r>
      <w:r>
        <w:t xml:space="preserve"> </w:t>
      </w:r>
      <w:r>
        <w:t xml:space="preserve">“Partisan</w:t>
      </w:r>
      <w:r>
        <w:t xml:space="preserve"> </w:t>
      </w:r>
      <w:r>
        <w:t xml:space="preserve">Barriers</w:t>
      </w:r>
      <w:r>
        <w:t xml:space="preserve"> </w:t>
      </w:r>
      <w:r>
        <w:t xml:space="preserve">to</w:t>
      </w:r>
      <w:r>
        <w:t xml:space="preserve"> </w:t>
      </w:r>
      <w:r>
        <w:t xml:space="preserve">Bipartisanship</w:t>
      </w:r>
      <w:r>
        <w:t xml:space="preserve">:</w:t>
      </w:r>
      <w:r>
        <w:t xml:space="preserve"> </w:t>
      </w:r>
      <w:r>
        <w:t xml:space="preserve">Understanding Climate Policy Polarization</w:t>
      </w:r>
      <w:r>
        <w:t xml:space="preserve">.”</w:t>
      </w:r>
      <w:r>
        <w:t xml:space="preserve"> </w:t>
      </w:r>
      <w:r>
        <w:rPr>
          <w:i/>
          <w:iCs/>
        </w:rPr>
        <w:t xml:space="preserve">Social Psychological and Personality Science</w:t>
      </w:r>
      <w:r>
        <w:t xml:space="preserve"> </w:t>
      </w:r>
      <w:r>
        <w:t xml:space="preserve">9(3): 308–18.</w:t>
      </w:r>
    </w:p>
    <w:bookmarkEnd w:id="46"/>
    <w:bookmarkStart w:id="47"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7"/>
    <w:bookmarkStart w:id="48"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48"/>
    <w:bookmarkStart w:id="49" w:name="ref-grometPoliticalIdeologyAffects2013"/>
    <w:p>
      <w:pPr>
        <w:pStyle w:val="Bibliography"/>
      </w:pPr>
      <w:r>
        <w:t xml:space="preserve">Gromet, Dena M., Howard Kunreuther, and Richard P. Larrick. 2013.</w:t>
      </w:r>
      <w:r>
        <w:t xml:space="preserve"> </w:t>
      </w:r>
      <w:r>
        <w:t xml:space="preserve">“Political</w:t>
      </w:r>
      <w:r>
        <w:t xml:space="preserve"> </w:t>
      </w:r>
      <w:r>
        <w:t xml:space="preserve">Ideology Affects Energy-Efficiency Attitudes</w:t>
      </w:r>
      <w:r>
        <w:t xml:space="preserve"> </w:t>
      </w:r>
      <w:r>
        <w:t xml:space="preserve">and</w:t>
      </w:r>
      <w:r>
        <w:t xml:space="preserve"> </w:t>
      </w:r>
      <w:r>
        <w:t xml:space="preserve">Choices</w:t>
      </w:r>
      <w:r>
        <w:t xml:space="preserve">.”</w:t>
      </w:r>
      <w:r>
        <w:t xml:space="preserve"> </w:t>
      </w:r>
      <w:r>
        <w:rPr>
          <w:i/>
          <w:iCs/>
        </w:rPr>
        <w:t xml:space="preserve">Proceedings of the National Academy of Sciences</w:t>
      </w:r>
      <w:r>
        <w:t xml:space="preserve"> </w:t>
      </w:r>
      <w:r>
        <w:t xml:space="preserve">110(23): 9314–19.</w:t>
      </w:r>
    </w:p>
    <w:bookmarkEnd w:id="49"/>
    <w:bookmarkStart w:id="5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0"/>
    <w:bookmarkStart w:id="5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1"/>
    <w:bookmarkStart w:id="52"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52"/>
    <w:bookmarkStart w:id="53"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53"/>
    <w:bookmarkStart w:id="54"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54"/>
    <w:bookmarkStart w:id="55"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55"/>
    <w:bookmarkStart w:id="56"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56"/>
    <w:bookmarkStart w:id="57"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w:t>
      </w:r>
      <w:r>
        <w:t xml:space="preserve">-to-</w:t>
      </w:r>
      <w:r>
        <w:t xml:space="preserve">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57"/>
    <w:bookmarkStart w:id="58"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58"/>
    <w:bookmarkStart w:id="59"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9"/>
    <w:bookmarkStart w:id="60"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60"/>
    <w:bookmarkStart w:id="61"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61"/>
    <w:bookmarkStart w:id="62" w:name="ref-priorYouCannotBe2015a"/>
    <w:p>
      <w:pPr>
        <w:pStyle w:val="Bibliography"/>
      </w:pPr>
      <w:r>
        <w:t xml:space="preserve">Prior, Markus, Gaurav Sood, and Kabir Khanna. 2015.</w:t>
      </w:r>
      <w:r>
        <w:t xml:space="preserve"> </w:t>
      </w:r>
      <w:r>
        <w:t xml:space="preserve">“You</w:t>
      </w:r>
      <w:r>
        <w:t xml:space="preserve"> </w:t>
      </w:r>
      <w:r>
        <w:t xml:space="preserve">Cannot</w:t>
      </w:r>
      <w:r>
        <w:t xml:space="preserve"> </w:t>
      </w:r>
      <w:r>
        <w:t xml:space="preserve">Be</w:t>
      </w:r>
      <w:r>
        <w:t xml:space="preserve"> </w:t>
      </w:r>
      <w:r>
        <w:t xml:space="preserve">Serious</w:t>
      </w:r>
      <w:r>
        <w:t xml:space="preserve">:</w:t>
      </w:r>
      <w:r>
        <w:t xml:space="preserve"> </w:t>
      </w:r>
      <w:r>
        <w:t xml:space="preserve">The Impact</w:t>
      </w:r>
      <w:r>
        <w:t xml:space="preserve"> </w:t>
      </w:r>
      <w:r>
        <w:t xml:space="preserve">of</w:t>
      </w:r>
      <w:r>
        <w:t xml:space="preserve"> </w:t>
      </w:r>
      <w:r>
        <w:t xml:space="preserve">Accuracy Incentives</w:t>
      </w:r>
      <w:r>
        <w:t xml:space="preserve"> </w:t>
      </w:r>
      <w:r>
        <w:t xml:space="preserve">on</w:t>
      </w:r>
      <w:r>
        <w:t xml:space="preserve"> </w:t>
      </w:r>
      <w:r>
        <w:t xml:space="preserve">Partisan Bias</w:t>
      </w:r>
      <w:r>
        <w:t xml:space="preserve"> </w:t>
      </w:r>
      <w:r>
        <w:t xml:space="preserve">in</w:t>
      </w:r>
      <w:r>
        <w:t xml:space="preserve"> </w:t>
      </w:r>
      <w:r>
        <w:t xml:space="preserve">Reports</w:t>
      </w:r>
      <w:r>
        <w:t xml:space="preserve"> </w:t>
      </w:r>
      <w:r>
        <w:t xml:space="preserve">of</w:t>
      </w:r>
      <w:r>
        <w:t xml:space="preserve"> </w:t>
      </w:r>
      <w:r>
        <w:t xml:space="preserve">Economic Perceptions</w:t>
      </w:r>
      <w:r>
        <w:t xml:space="preserve">.”</w:t>
      </w:r>
      <w:r>
        <w:t xml:space="preserve"> </w:t>
      </w:r>
      <w:r>
        <w:rPr>
          <w:i/>
          <w:iCs/>
        </w:rPr>
        <w:t xml:space="preserve">Quarterly Journal of Political Science</w:t>
      </w:r>
      <w:r>
        <w:t xml:space="preserve"> </w:t>
      </w:r>
      <w:r>
        <w:t xml:space="preserve">10(4): 489–518.</w:t>
      </w:r>
    </w:p>
    <w:bookmarkEnd w:id="62"/>
    <w:bookmarkStart w:id="63"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63"/>
    <w:bookmarkStart w:id="6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64"/>
    <w:bookmarkStart w:id="65"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65"/>
    <w:bookmarkStart w:id="66"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1">
    <w:p>
      <w:pPr>
        <w:pStyle w:val="FootnoteText"/>
      </w:pPr>
      <w:r>
        <w:rPr>
          <w:rStyle w:val="FootnoteReference"/>
        </w:rPr>
        <w:footnoteRef/>
      </w:r>
      <w:r>
        <w:t xml:space="preserve"> </w:t>
      </w:r>
      <w:r>
        <w:t xml:space="preserve">It should be noted that WTP for energy is not just a function of partisanship or environmental beliefs.</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how the standard was structured, in addition to the respondents’ political affiliations.</w:t>
      </w:r>
    </w:p>
  </w:footnote>
  <w:footnote w:id="14">
    <w:p>
      <w:pPr>
        <w:pStyle w:val="FootnoteText"/>
      </w:pPr>
      <w:r>
        <w:rPr>
          <w:rStyle w:val="FootnoteReference"/>
        </w:rPr>
        <w:footnoteRef/>
      </w:r>
      <w:r>
        <w:t xml:space="preserve"> </w:t>
      </w:r>
      <w:r>
        <w:t xml:space="preserve">Randomization produced conditions that were similar on gender, college education, income, and concern about the cost of electricity, but the conditions differed somewhat in age and in the share of white respondents. A balance table is shown in the supplemental material, and the results are similar when controlling for demographics.</w:t>
      </w:r>
    </w:p>
  </w:footnote>
  <w:footnote w:id="33">
    <w:p>
      <w:pPr>
        <w:pStyle w:val="FootnoteText"/>
      </w:pPr>
      <w:r>
        <w:rPr>
          <w:rStyle w:val="FootnoteReference"/>
        </w:rPr>
        <w:footnoteRef/>
      </w:r>
      <w:r>
        <w:t xml:space="preserve"> </w:t>
      </w:r>
      <w:r>
        <w:t xml:space="preserve">I ran a robustness check that included a measure of the respondent’s concern about the cost of energy. The results are similar to what is reported here, and are shown in the supplemental material.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35" Target="https://github.com/mnowlin/cue-WT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mnowlin/cue-WT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willingness-to-pay, partisan cues, renewable energy, fossil fuels, survey experiment</cp:keywords>
  <dcterms:created xsi:type="dcterms:W3CDTF">2026-10-20T16:53:35Z</dcterms:created>
  <dcterms:modified xsi:type="dcterms:W3CDTF">2026-10-20T16:53:35Z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WTP less for renewables, whereas Democrats prioritized renewables and were WTP more for them. Neither cue had an average effect on priority or WTP. The Trump cue moved Republicans toward fossil fuels on the priority scale, though this effect does not hold after adjusting for multiple comparisons,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american-political-science-association.csl</vt:lpwstr>
  </property>
  <property fmtid="{D5CDD505-2E9C-101B-9397-08002B2CF9AE}" pid="8" name="engines">
    <vt:lpwstr/>
  </property>
  <property fmtid="{D5CDD505-2E9C-101B-9397-08002B2CF9AE}" pid="9" name="fig-cap-location">
    <vt:lpwstr>top</vt:lpwstr>
  </property>
  <property fmtid="{D5CDD505-2E9C-101B-9397-08002B2CF9AE}" pid="10" name="fontfamily">
    <vt:lpwstr>ebgaramond</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False</vt:lpwstr>
  </property>
  <property fmtid="{D5CDD505-2E9C-101B-9397-08002B2CF9AE}" pid="16" name="toc-title">
    <vt:lpwstr>Table of contents</vt:lpwstr>
  </property>
</Properties>
</file>