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Priorities Versus Payment: Partisan Cues and Public Preferences for Fossil Fuels and Renewables</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an unattributed argument for fossil fuels,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willing to pay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The results are of interest because few studies compare the effect of a cue on a costless expression of preference, such as how energy sources should be prioritized, with its effect on a costly one, such as WTP, among the same respondents. Overall, I find that partisanship shapes energy source prioritization as Republicans tend to prioritize and have a higher WTP for fossil fuels and Democrats prioritize and have a higher WTP for renewables. Neither cue had an average effect on either outcome. There is some evidence that Republicans in the Trump cue prioritize fossil fuels more, and there is no evidence that the climate cue moved Democrats toward renewables. Finally, the cues did not reliably shift WTP for either energy source among partisans,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in experiments on drilling and immigration, that elite polarization intensifies the influence of party endorsements on opinion.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Yet, the influence of cues may differ between costless and costly expressions of preference. Stating how energy sources should be prioritized costs a respondent nothing,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are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and each is designed to manipulate something different.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the research discussed above, I posit the following hypotheses.</w:t>
      </w:r>
    </w:p>
    <w:p>
      <w:pPr>
        <w:pStyle w:val="BlockText"/>
      </w:pPr>
      <w:r>
        <w:t xml:space="preserve">H1a: Republicans will prioritize fossil fuels and be WTP more for fossil fuels than those who identify with neither party.</w:t>
      </w:r>
    </w:p>
    <w:p>
      <w:pPr>
        <w:pStyle w:val="BlockText"/>
      </w:pPr>
      <w:r>
        <w:t xml:space="preserve">H1b: Democrats will prioritize renewables and be WTP more for renewables than those who identify with neither party.</w:t>
      </w:r>
    </w:p>
    <w:p>
      <w:pPr>
        <w:pStyle w:val="BlockText"/>
      </w:pPr>
      <w:r>
        <w:t xml:space="preserve">H2a: Those who receive the Trump cue will prioritize fossil fuels and be WTP more for fossil fuels than those in the baseline condition.</w:t>
      </w:r>
    </w:p>
    <w:p>
      <w:pPr>
        <w:pStyle w:val="BlockText"/>
      </w:pPr>
      <w:r>
        <w:t xml:space="preserve">H2b: Those who receive the climate cue will prioritize renewables and be WTP more for renewables than those in the baseline condition.</w:t>
      </w:r>
    </w:p>
    <w:p>
      <w:pPr>
        <w:pStyle w:val="BlockText"/>
      </w:pPr>
      <w:r>
        <w:t xml:space="preserve">H3a: The effect of the Trump cue on prioritizing and WTP for fossil fuels will be larger among Republicans than among those who identify with neither party.</w:t>
      </w:r>
    </w:p>
    <w:p>
      <w:pPr>
        <w:pStyle w:val="BlockText"/>
      </w:pPr>
      <w:r>
        <w:t xml:space="preserve">H3b: The effect of the climate cue on prioritizing and WTP for renewables will be larger among Democrats than among those who identify with neither party.</w:t>
      </w:r>
    </w:p>
    <w:p>
      <w:pPr>
        <w:pStyle w:val="FirstParagraph"/>
      </w:pPr>
      <w:r>
        <w:t xml:space="preserve">In addition, I examine two research questions. First, cues from a disliked source may lead partisans to move away from the position of that source</w:t>
      </w:r>
      <w:r>
        <w:t xml:space="preserve"> </w:t>
      </w:r>
      <w:r>
        <w:t xml:space="preserve">(Feldman and Hart 2018)</w:t>
      </w:r>
      <w:r>
        <w:t xml:space="preserve">, so I ask whether Democrats move toward renewables in response to the Trump cue and whether Republicans move toward fossil fuels in response to the climate cue (RQ1). Second, given the difference between costless and costly expressions of preference, I ask whether the effects of the cues on prioritization carry over to WTP (RQ2).</w:t>
      </w:r>
    </w:p>
    <w:bookmarkEnd w:id="12"/>
    <w:bookmarkEnd w:id="13"/>
    <w:bookmarkStart w:id="17" w:name="data-and-measures"/>
    <w:p>
      <w:pPr>
        <w:pStyle w:val="Heading1"/>
      </w:pPr>
      <w:r>
        <w:t xml:space="preserve">Data and Measures</w:t>
      </w:r>
    </w:p>
    <w:p>
      <w:pPr>
        <w:pStyle w:val="FirstParagraph"/>
      </w:pPr>
      <w:r>
        <w:t xml:space="preserve">To examine the importance of cues and partisanship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they may need to pay more to use fossil fuels</w:t>
      </w:r>
      <w:r>
        <w:t xml:space="preserve"> </w:t>
      </w:r>
      <w:r>
        <w:t xml:space="preserve">(see U.S. Energy Information Administration 2025)</w:t>
      </w:r>
      <w:r>
        <w:t xml:space="preserve">. For renewable sources respondents were told about the need to increase distribution. Specifically, respondents were shown the following prompts for fossil fuels and renewables, respectively.</w:t>
      </w:r>
      <w:r>
        <w:rPr>
          <w:rStyle w:val="FootnoteReference"/>
        </w:rPr>
        <w:footnoteReference w:id="15"/>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Each respondent’s WTP is the highest amount they accepted, and respondents who indicated no at $1 were coded with a WTP of 0. The starting and follow-up amounts were drawn at random, independently of the cue condition, but were not recorded. As such,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vs. renewables and the WTP for those energy sources as a function of the cues and party identification. Party identification includes Democrats and Republicans, with those who identify with neither party as the excluded referent.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(n = 466) identified with neither party. Because this reference group is small, the cue effects among those who identify with neither party are estimated with less precision than the effects among partisans. Party identification was measured after the outcome questions, so the cues could, in principle, have shifted how respondents identified. However, the distribution of party identification did not differ across conditions (</w:t>
      </w:r>
      <m:oMath>
        <m:sSup>
          <m:e>
            <m:r>
              <m:t>χ</m:t>
            </m:r>
          </m:e>
          <m:sup>
            <m:r>
              <m:t>2</m:t>
            </m:r>
          </m:sup>
        </m:sSup>
      </m:oMath>
      <w:r>
        <w:t xml:space="preserve"> </w:t>
      </w:r>
      <w:r>
        <w:t xml:space="preserve">= 3.29,</w:t>
      </w:r>
      <w:r>
        <w:t xml:space="preserve"> </w:t>
      </w:r>
      <w:r>
        <w:rPr>
          <w:i/>
          <w:iCs/>
        </w:rPr>
        <w:t xml:space="preserve">df</w:t>
      </w:r>
      <w:r>
        <w:t xml:space="preserve"> </w:t>
      </w:r>
      <w:r>
        <w:t xml:space="preserve">= 4,</w:t>
      </w:r>
      <w:r>
        <w:t xml:space="preserve"> </w:t>
      </w:r>
      <w:r>
        <w:rPr>
          <w:i/>
          <w:iCs/>
        </w:rPr>
        <w:t xml:space="preserve">p</w:t>
      </w:r>
      <w:r>
        <w:t xml:space="preserve"> </w:t>
      </w:r>
      <w:r>
        <w:t xml:space="preserve">= 0.511).</w:t>
      </w:r>
    </w:p>
    <w:tbl>
      <w:tblPr>
        <w:tblStyle w:val="Table"/>
        <w:tblW w:type="pct" w:w="5000"/>
        <w:tblLayout w:type="fixed"/>
        <w:tblLook w:firstRow="0" w:lastRow="0" w:firstColumn="0" w:lastColumn="0" w:noHBand="0" w:noVBand="0" w:val="0000"/>
      </w:tblPr>
      <w:tblGrid>
        <w:gridCol w:w="7920"/>
      </w:tblGrid>
      <w:tr>
        <w:tc>
          <w:tcPr/>
          <w:bookmarkStart w:id="16" w:name="tbl-descriptives"/>
          <w:p>
            <w:pPr>
              <w:jc w:val="left"/>
            </w:pPr>
            <w:pPr>
              <w:jc w:val="left"/>
              <w:spacing w:before="200"/>
              <w:pStyle w:val="ImageCaption"/>
            </w:pPr>
            <w:r>
              <w:t xml:space="preserve">Table 1: Descriptive statistics for the energy-priority scale, willingness-to-pay, and party identification (survey-weighted means and standard deviations, overall and survey-weighted means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w:p>
              </w:tc>
              <w:tc>
                <w:tcPr/>
                <w:p>
                  <w:pPr>
                    <w:pStyle w:val="Compact"/>
                    <w:jc w:val="left"/>
                    <w:jc w:val="left"/>
                  </w:pPr>
                  <w:r>
                    <w:t xml:space="preserve">8.33</w:t>
                  </w:r>
                </w:p>
              </w:tc>
              <w:tc>
                <w:tcPr/>
                <w:p>
                  <w:pPr>
                    <w:pStyle w:val="Compact"/>
                    <w:jc w:val="left"/>
                    <w:jc w:val="left"/>
                  </w:pPr>
                  <w:r>
                    <w:t xml:space="preserve">13.79</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8.55</w:t>
                  </w:r>
                </w:p>
              </w:tc>
              <w:tc>
                <w:tcPr/>
                <w:p>
                  <w:pPr>
                    <w:pStyle w:val="Compact"/>
                    <w:jc w:val="left"/>
                    <w:jc w:val="left"/>
                  </w:pPr>
                  <w:r>
                    <w:t xml:space="preserve">7.54</w:t>
                  </w:r>
                </w:p>
              </w:tc>
              <w:tc>
                <w:tcPr/>
                <w:p>
                  <w:pPr>
                    <w:pStyle w:val="Compact"/>
                    <w:jc w:val="left"/>
                    <w:jc w:val="left"/>
                  </w:pPr>
                  <w:r>
                    <w:t xml:space="preserve">8.86</w:t>
                  </w:r>
                </w:p>
              </w:tc>
            </w:tr>
            <w:tr>
              <w:tc>
                <w:tcPr/>
                <w:p>
                  <w:pPr>
                    <w:pStyle w:val="Compact"/>
                    <w:jc w:val="left"/>
                    <w:jc w:val="left"/>
                  </w:pPr>
                  <w:r>
                    <w:t xml:space="preserve">WTP, renewables ($)</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Democrat</w:t>
                  </w:r>
                </w:p>
              </w:tc>
              <w:tc>
                <w:tcPr/>
                <w:p>
                  <w:pPr>
                    <w:pStyle w:val="Compact"/>
                    <w:jc w:val="left"/>
                    <w:jc w:val="left"/>
                  </w:pPr>
                  <w:r>
                    <w:t xml:space="preserve">0.45</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0.43</w:t>
                  </w:r>
                </w:p>
              </w:tc>
              <w:tc>
                <w:tcPr/>
                <w:p>
                  <w:pPr>
                    <w:pStyle w:val="Compact"/>
                    <w:jc w:val="left"/>
                    <w:jc w:val="left"/>
                  </w:pPr>
                  <w:r>
                    <w:t xml:space="preserve">0.48</w:t>
                  </w:r>
                </w:p>
              </w:tc>
              <w:tc>
                <w:tcPr/>
                <w:p>
                  <w:pPr>
                    <w:pStyle w:val="Compact"/>
                    <w:jc w:val="left"/>
                    <w:jc w:val="left"/>
                  </w:pPr>
                  <w:r>
                    <w:t xml:space="preserve">0.44</w:t>
                  </w:r>
                </w:p>
              </w:tc>
            </w:tr>
            <w:tr>
              <w:tc>
                <w:tcPr/>
                <w:p>
                  <w:pPr>
                    <w:pStyle w:val="Compact"/>
                    <w:jc w:val="left"/>
                    <w:jc w:val="left"/>
                  </w:pPr>
                  <w:r>
                    <w:t xml:space="preserve">Republican</w:t>
                  </w:r>
                </w:p>
              </w:tc>
              <w:tc>
                <w:tcPr/>
                <w:p>
                  <w:pPr>
                    <w:pStyle w:val="Compact"/>
                    <w:jc w:val="left"/>
                    <w:jc w:val="left"/>
                  </w:pPr>
                  <w:r>
                    <w:t xml:space="preserve">0.46</w:t>
                  </w:r>
                </w:p>
              </w:tc>
              <w:tc>
                <w:tcPr/>
                <w:p>
                  <w:pPr>
                    <w:pStyle w:val="Compact"/>
                    <w:jc w:val="left"/>
                    <w:jc w:val="left"/>
                  </w:pPr>
                  <w:r>
                    <w:t xml:space="preserve">0.50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0.48</w:t>
                  </w:r>
                </w:p>
              </w:tc>
              <w:tc>
                <w:tcPr/>
                <w:p>
                  <w:pPr>
                    <w:pStyle w:val="Compact"/>
                    <w:jc w:val="left"/>
                    <w:jc w:val="left"/>
                  </w:pPr>
                  <w:r>
                    <w:t xml:space="preserve">0.43</w:t>
                  </w:r>
                </w:p>
              </w:tc>
              <w:tc>
                <w:tcPr/>
                <w:p>
                  <w:pPr>
                    <w:pStyle w:val="Compact"/>
                    <w:jc w:val="left"/>
                    <w:jc w:val="left"/>
                  </w:pPr>
                  <w:r>
                    <w:t xml:space="preserve">0.47</w:t>
                  </w:r>
                </w:p>
              </w:tc>
            </w:tr>
          </w:tbl>
          <w:bookmarkEnd w:id="16"/>
          <w:p/>
        </w:tc>
      </w:tr>
    </w:tbl>
    <w:p>
      <w:pPr>
        <w:pStyle w:val="BodyText"/>
      </w:pPr>
      <w:r>
        <w:t xml:space="preserve">Descriptive statistics for the energy-priority scale and party identification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party identification, 45 percent of the weighted sample were Democrats and 46 percent were Republicans, with the remaining 9 percent identifying with neither party. These shares reflect the survey weights, which weight the sample to the party affiliation distribution in the NPORS. Unweighted, 56 percent of respondents were Democrats and 29 percent were Republicans, so the weights increase the share of Republicans from 29 to 46 percent. However, because the models interact the cues with party identification, and the party weights give every respondent within a party the same weight, the party weights do not change the estimated interactions, which instead depend on the demographic weights. To account for this, I also estimate each model without the weights, and with only the party weights or only the demographic weights, and those models are shown in the supplemental material.</w:t>
      </w:r>
    </w:p>
    <w:bookmarkEnd w:id="17"/>
    <w:bookmarkStart w:id="36" w:name="results"/>
    <w:p>
      <w:pPr>
        <w:pStyle w:val="Heading1"/>
      </w:pPr>
      <w:r>
        <w:t xml:space="preserve">Results</w:t>
      </w:r>
    </w:p>
    <w:p>
      <w:pPr>
        <w:pStyle w:val="FirstParagraph"/>
      </w:pPr>
      <w:r>
        <w:t xml:space="preserve">First, I use OLS to examine the prioritization respondents gave to fossil fuels versus renewables as a function of the cues, their party identification, and the interaction between cues and party identification.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 w:name="tbl-priority-ols"/>
          <w:p>
            <w:pPr>
              <w:jc w:val="left"/>
            </w:pPr>
            <w:pPr>
              <w:jc w:val="left"/>
              <w:spacing w:before="200"/>
              <w:pStyle w:val="ImageCaption"/>
            </w:pPr>
            <w:r>
              <w:t xml:space="preserve">Table 2: Effect of cue condition, party identification, and their interaction on the energy source-priority scale (survey-weighted OLS; baseline condition and those who identify with neither party as reference)</w:t>
            </w:r>
          </w:p>
          <w:tbl>
            <w:tblPr>
              <w:tblStyle w:val="Table"/>
              <w:tblW w:type="pct" w:w="3056"/>
              <w:tblLayout w:type="fixed"/>
              <w:tblLook w:firstRow="1" w:lastRow="1" w:firstColumn="0" w:lastColumn="0" w:noHBand="0" w:noVBand="0" w:val="0020"/>
            </w:tblPr>
            <w:tblGrid>
              <w:gridCol w:w="297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0.145</w:t>
                  </w:r>
                </w:p>
              </w:tc>
            </w:tr>
            <w:tr>
              <w:tc>
                <w:tcPr/>
                <w:p>
                  <w:pPr>
                    <w:pStyle w:val="Compact"/>
                  </w:pPr>
                </w:p>
              </w:tc>
              <w:tc>
                <w:tcPr/>
                <w:p>
                  <w:pPr>
                    <w:pStyle w:val="Compact"/>
                    <w:jc w:val="left"/>
                    <w:jc w:val="left"/>
                  </w:pPr>
                  <w:r>
                    <w:t xml:space="preserve">(0.198)</w:t>
                  </w:r>
                </w:p>
              </w:tc>
            </w:tr>
            <w:tr>
              <w:tc>
                <w:tcPr/>
                <w:p>
                  <w:pPr>
                    <w:pStyle w:val="Compact"/>
                    <w:jc w:val="left"/>
                    <w:jc w:val="left"/>
                  </w:pPr>
                  <w:r>
                    <w:t xml:space="preserve">Climate cue</w:t>
                  </w:r>
                </w:p>
              </w:tc>
              <w:tc>
                <w:tcPr/>
                <w:p>
                  <w:pPr>
                    <w:pStyle w:val="Compact"/>
                    <w:jc w:val="left"/>
                    <w:jc w:val="left"/>
                  </w:pPr>
                  <w:r>
                    <w:t xml:space="preserve">0.098</w:t>
                  </w:r>
                </w:p>
              </w:tc>
            </w:tr>
            <w:tr>
              <w:tc>
                <w:tcPr/>
                <w:p>
                  <w:pPr>
                    <w:pStyle w:val="Compact"/>
                  </w:pPr>
                </w:p>
              </w:tc>
              <w:tc>
                <w:tcPr/>
                <w:p>
                  <w:pPr>
                    <w:pStyle w:val="Compact"/>
                    <w:jc w:val="left"/>
                    <w:jc w:val="left"/>
                  </w:pPr>
                  <w:r>
                    <w:t xml:space="preserve">(0.189)</w:t>
                  </w:r>
                </w:p>
              </w:tc>
            </w:tr>
            <w:tr>
              <w:tc>
                <w:tcPr/>
                <w:p>
                  <w:pPr>
                    <w:pStyle w:val="Compact"/>
                    <w:jc w:val="left"/>
                    <w:jc w:val="left"/>
                  </w:pPr>
                  <w:r>
                    <w:t xml:space="preserve">Democrat</w:t>
                  </w:r>
                </w:p>
              </w:tc>
              <w:tc>
                <w:tcPr/>
                <w:p>
                  <w:pPr>
                    <w:pStyle w:val="Compact"/>
                    <w:jc w:val="left"/>
                    <w:jc w:val="left"/>
                  </w:pPr>
                  <w:r>
                    <w:t xml:space="preserve">0.727**</w:t>
                  </w:r>
                </w:p>
              </w:tc>
            </w:tr>
            <w:tr>
              <w:tc>
                <w:tcPr/>
                <w:p>
                  <w:pPr>
                    <w:pStyle w:val="Compact"/>
                  </w:pPr>
                </w:p>
              </w:tc>
              <w:tc>
                <w:tcPr/>
                <w:p>
                  <w:pPr>
                    <w:pStyle w:val="Compact"/>
                    <w:jc w:val="left"/>
                    <w:jc w:val="left"/>
                  </w:pPr>
                  <w:r>
                    <w:t xml:space="preserve">(0.151)</w:t>
                  </w:r>
                </w:p>
              </w:tc>
            </w:tr>
            <w:tr>
              <w:tc>
                <w:tcPr/>
                <w:p>
                  <w:pPr>
                    <w:pStyle w:val="Compact"/>
                    <w:jc w:val="left"/>
                    <w:jc w:val="left"/>
                  </w:pPr>
                  <w:r>
                    <w:t xml:space="preserve">Republican</w:t>
                  </w:r>
                </w:p>
              </w:tc>
              <w:tc>
                <w:tcPr/>
                <w:p>
                  <w:pPr>
                    <w:pStyle w:val="Compact"/>
                    <w:jc w:val="left"/>
                    <w:jc w:val="left"/>
                  </w:pPr>
                  <w:r>
                    <w:t xml:space="preserve">-0.991**</w:t>
                  </w:r>
                </w:p>
              </w:tc>
            </w:tr>
            <w:tr>
              <w:tc>
                <w:tcPr/>
                <w:p>
                  <w:pPr>
                    <w:pStyle w:val="Compact"/>
                  </w:pPr>
                </w:p>
              </w:tc>
              <w:tc>
                <w:tcPr/>
                <w:p>
                  <w:pPr>
                    <w:pStyle w:val="Compact"/>
                    <w:jc w:val="left"/>
                    <w:jc w:val="left"/>
                  </w:pPr>
                  <w:r>
                    <w:t xml:space="preserve">(0.171)</w:t>
                  </w:r>
                </w:p>
              </w:tc>
            </w:tr>
            <w:tr>
              <w:tc>
                <w:tcPr/>
                <w:p>
                  <w:pPr>
                    <w:pStyle w:val="Compact"/>
                    <w:jc w:val="left"/>
                    <w:jc w:val="left"/>
                  </w:pPr>
                  <w:r>
                    <w:t xml:space="preserve">Trump cue × Democrat</w:t>
                  </w:r>
                </w:p>
              </w:tc>
              <w:tc>
                <w:tcPr/>
                <w:p>
                  <w:pPr>
                    <w:pStyle w:val="Compact"/>
                    <w:jc w:val="left"/>
                    <w:jc w:val="left"/>
                  </w:pPr>
                  <w:r>
                    <w:t xml:space="preserve">-0.046</w:t>
                  </w:r>
                </w:p>
              </w:tc>
            </w:tr>
            <w:tr>
              <w:tc>
                <w:tcPr/>
                <w:p>
                  <w:pPr>
                    <w:pStyle w:val="Compact"/>
                  </w:pPr>
                </w:p>
              </w:tc>
              <w:tc>
                <w:tcPr/>
                <w:p>
                  <w:pPr>
                    <w:pStyle w:val="Compact"/>
                    <w:jc w:val="left"/>
                    <w:jc w:val="left"/>
                  </w:pPr>
                  <w:r>
                    <w:t xml:space="preserve">(0.216)</w:t>
                  </w:r>
                </w:p>
              </w:tc>
            </w:tr>
            <w:tr>
              <w:tc>
                <w:tcPr/>
                <w:p>
                  <w:pPr>
                    <w:pStyle w:val="Compact"/>
                    <w:jc w:val="left"/>
                    <w:jc w:val="left"/>
                  </w:pPr>
                  <w:r>
                    <w:t xml:space="preserve">Climate cue × Democrat</w:t>
                  </w:r>
                </w:p>
              </w:tc>
              <w:tc>
                <w:tcPr/>
                <w:p>
                  <w:pPr>
                    <w:pStyle w:val="Compact"/>
                    <w:jc w:val="left"/>
                    <w:jc w:val="left"/>
                  </w:pPr>
                  <w:r>
                    <w:t xml:space="preserve">0.014</w:t>
                  </w:r>
                </w:p>
              </w:tc>
            </w:tr>
            <w:tr>
              <w:tc>
                <w:tcPr/>
                <w:p>
                  <w:pPr>
                    <w:pStyle w:val="Compact"/>
                  </w:pPr>
                </w:p>
              </w:tc>
              <w:tc>
                <w:tcPr/>
                <w:p>
                  <w:pPr>
                    <w:pStyle w:val="Compact"/>
                    <w:jc w:val="left"/>
                    <w:jc w:val="left"/>
                  </w:pPr>
                  <w:r>
                    <w:t xml:space="preserve">(0.206)</w:t>
                  </w:r>
                </w:p>
              </w:tc>
            </w:tr>
            <w:tr>
              <w:tc>
                <w:tcPr/>
                <w:p>
                  <w:pPr>
                    <w:pStyle w:val="Compact"/>
                    <w:jc w:val="left"/>
                    <w:jc w:val="left"/>
                  </w:pPr>
                  <w:r>
                    <w:t xml:space="preserve">Trump cue × Republican</w:t>
                  </w:r>
                </w:p>
              </w:tc>
              <w:tc>
                <w:tcPr/>
                <w:p>
                  <w:pPr>
                    <w:pStyle w:val="Compact"/>
                    <w:jc w:val="left"/>
                    <w:jc w:val="left"/>
                  </w:pPr>
                  <w:r>
                    <w:t xml:space="preserve">-0.521*</w:t>
                  </w:r>
                </w:p>
              </w:tc>
            </w:tr>
            <w:tr>
              <w:tc>
                <w:tcPr/>
                <w:p>
                  <w:pPr>
                    <w:pStyle w:val="Compact"/>
                  </w:pPr>
                </w:p>
              </w:tc>
              <w:tc>
                <w:tcPr/>
                <w:p>
                  <w:pPr>
                    <w:pStyle w:val="Compact"/>
                    <w:jc w:val="left"/>
                    <w:jc w:val="left"/>
                  </w:pPr>
                  <w:r>
                    <w:t xml:space="preserve">(0.257)</w:t>
                  </w:r>
                </w:p>
              </w:tc>
            </w:tr>
            <w:tr>
              <w:tc>
                <w:tcPr/>
                <w:p>
                  <w:pPr>
                    <w:pStyle w:val="Compact"/>
                    <w:jc w:val="left"/>
                    <w:jc w:val="left"/>
                  </w:pPr>
                  <w:r>
                    <w:t xml:space="preserve">Climate cue × Republican</w:t>
                  </w:r>
                </w:p>
              </w:tc>
              <w:tc>
                <w:tcPr/>
                <w:p>
                  <w:pPr>
                    <w:pStyle w:val="Compact"/>
                    <w:jc w:val="left"/>
                    <w:jc w:val="left"/>
                  </w:pPr>
                  <w:r>
                    <w:t xml:space="preserve">-0.199</w:t>
                  </w:r>
                </w:p>
              </w:tc>
            </w:tr>
            <w:tr>
              <w:tc>
                <w:tcPr/>
                <w:p>
                  <w:pPr>
                    <w:pStyle w:val="Compact"/>
                  </w:pPr>
                </w:p>
              </w:tc>
              <w:tc>
                <w:tcPr/>
                <w:p>
                  <w:pPr>
                    <w:pStyle w:val="Compact"/>
                    <w:jc w:val="left"/>
                    <w:jc w:val="left"/>
                  </w:pPr>
                  <w:r>
                    <w:t xml:space="preserve">(0.242)</w:t>
                  </w:r>
                </w:p>
              </w:tc>
            </w:tr>
            <w:tr>
              <w:tc>
                <w:tcPr/>
                <w:p>
                  <w:pPr>
                    <w:pStyle w:val="Compact"/>
                    <w:jc w:val="left"/>
                    <w:jc w:val="left"/>
                  </w:pPr>
                  <w:r>
                    <w:t xml:space="preserve">(Intercept)</w:t>
                  </w:r>
                </w:p>
              </w:tc>
              <w:tc>
                <w:tcPr/>
                <w:p>
                  <w:pPr>
                    <w:pStyle w:val="Compact"/>
                    <w:jc w:val="left"/>
                    <w:jc w:val="left"/>
                  </w:pPr>
                  <w:r>
                    <w:t xml:space="preserve">5.333**</w:t>
                  </w:r>
                </w:p>
              </w:tc>
            </w:tr>
            <w:tr>
              <w:tc>
                <w:tcPr/>
                <w:p>
                  <w:pPr>
                    <w:pStyle w:val="Compact"/>
                  </w:pPr>
                </w:p>
              </w:tc>
              <w:tc>
                <w:tcPr/>
                <w:p>
                  <w:pPr>
                    <w:pStyle w:val="Compact"/>
                    <w:jc w:val="left"/>
                    <w:jc w:val="left"/>
                  </w:pPr>
                  <w:r>
                    <w:t xml:space="preserve">(0.139)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0.289</w:t>
                  </w:r>
                </w:p>
              </w:tc>
            </w:tr>
            <w:tr>
              <w:tc>
                <w:tcPr>
                  <w:gridSpan w:val="2"/>
                </w:tcPr>
                <w:p>
                  <w:pPr>
                    <w:pStyle w:val="Compact"/>
                    <w:jc w:val="left"/>
                    <w:jc w:val="left"/>
                  </w:pPr>
                  <w:r>
                    <w:t xml:space="preserve">† p &lt; 0.1, * p &lt; 0.05, ** p &lt; 0.01</w:t>
                  </w:r>
                </w:p>
              </w:tc>
            </w:tr>
          </w:tbl>
          <w:bookmarkEnd w:id="18"/>
          <w:p/>
        </w:tc>
      </w:tr>
    </w:tbl>
    <w:tbl>
      <w:tblPr>
        <w:tblStyle w:val="Table"/>
        <w:tblW w:type="pct" w:w="5000"/>
        <w:tblLayout w:type="fixed"/>
        <w:tblLook w:firstRow="0" w:lastRow="0" w:firstColumn="0" w:lastColumn="0" w:noHBand="0" w:noVBand="0" w:val="0000"/>
      </w:tblPr>
      <w:tblGrid>
        <w:gridCol w:w="7920"/>
      </w:tblGrid>
      <w:tr>
        <w:tc>
          <w:tcPr/>
          <w:bookmarkStart w:id="22" w:name="fig-priority-predicted"/>
          <w:p>
            <w:pPr>
              <w:jc w:val="center"/>
            </w:pPr>
            <w:pPr>
              <w:jc w:val="left"/>
              <w:spacing w:before="200"/>
              <w:pStyle w:val="ImageCaption"/>
            </w:pPr>
            <w:r>
              <w:t xml:space="preserve">Figure 1: Predicted energy source-priority scale (1-7) by cue condition and party identification (survey-weighted OLS predictions with 95% CIs)</w:t>
            </w:r>
          </w:p>
          <w:p>
            <w:pPr>
              <w:pStyle w:val="Compact"/>
              <w:jc w:val="center"/>
            </w:pPr>
            <w:r>
              <w:drawing>
                <wp:inline>
                  <wp:extent cx="5334000" cy="4267200"/>
                  <wp:effectExtent b="0" l="0" r="0" t="0"/>
                  <wp:docPr descr="" title="" id="20" name="Picture"/>
                  <a:graphic>
                    <a:graphicData uri="http://schemas.openxmlformats.org/drawingml/2006/picture">
                      <pic:pic>
                        <pic:nvPicPr>
                          <pic:cNvPr descr="cue-WTP_files/figure-docx/fig-priority-predicted-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bookmarkEnd w:id="22"/>
        </w:tc>
      </w:tr>
    </w:tbl>
    <w:p>
      <w:pPr>
        <w:pStyle w:val="BodyText"/>
      </w:pPr>
      <w:r>
        <w:t xml:space="preserve">As expected, Republicans were more likely to prioritize fossil fuels than renewables, with an estimated coefficient of -0.99 on the 1 to 7 scale, and Democrats prioritized renewables at 0.73. In terms of the interactions, which test whether the effect of a cue differs by party identification, the Trump cue moved Republicans toward fossil fuels more than it moved those who identify with neither party (b = -0.52). Descriptively, the predicted value on the 1 to 7 scale for Republicans in the baseline condition was 4.34, indicating a split roughly evenly between fossil fuels and renewables, and it was 3.96 for those receiving the Trump cue, a significant shift toward fossil fuels (difference = -0.38). In contrast, the climate cue did not move Democrats toward renewables more than those who identify with neither party (b = 0.01). The predicted value for Democrats was 6.06 in the baseline condition, indicating a strong priority for renewables, and 6.17 in the climate condition, which is not a significant difference.</w:t>
      </w:r>
      <w:r>
        <w:rPr>
          <w:rStyle w:val="FootnoteReference"/>
        </w:rPr>
        <w:footnoteReference w:id="23"/>
      </w:r>
      <w:r>
        <w:t xml:space="preserve"> </w:t>
      </w:r>
      <w:r>
        <w:t xml:space="preserve">Finally, there is no evidence that Democrats moved toward renewables in response to the Trump cue or that Republicans moved toward fossil fuels in response to the climate cue.</w:t>
      </w:r>
    </w:p>
    <w:p>
      <w:pPr>
        <w:pStyle w:val="BodyText"/>
      </w:pPr>
      <w:r>
        <w:t xml:space="preserve">Because the models include interactions, the coefficients for the Trump and climate cues are the effects of the cues among those who identify with neither party only.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4"/>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 However, as noted above, the size of this difference is likely overstated.</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w:t>
      </w:r>
      <w:r>
        <w:rPr>
          <w:rStyle w:val="FootnoteReference"/>
        </w:rPr>
        <w:footnoteReference w:id="25"/>
      </w:r>
    </w:p>
    <w:tbl>
      <w:tblPr>
        <w:tblStyle w:val="Table"/>
        <w:tblW w:type="pct" w:w="5000"/>
        <w:tblLayout w:type="fixed"/>
        <w:tblLook w:firstRow="0" w:lastRow="0" w:firstColumn="0" w:lastColumn="0" w:noHBand="0" w:noVBand="0" w:val="0000"/>
      </w:tblPr>
      <w:tblGrid>
        <w:gridCol w:w="7920"/>
      </w:tblGrid>
      <w:tr>
        <w:tc>
          <w:tcPr/>
          <w:bookmarkStart w:id="26" w:name="tbl-wtp-models"/>
          <w:p>
            <w:pPr>
              <w:jc w:val="left"/>
            </w:pPr>
            <w:pPr>
              <w:jc w:val="left"/>
              <w:spacing w:before="200"/>
              <w:pStyle w:val="ImageCaption"/>
            </w:pPr>
            <w:r>
              <w:t xml:space="preserve">Table 4: Effect of cue condition, party identification, and their interaction on willingness-to-pay for fossil fuels (any positive WTP, and amount among those with any positive WTP) and for renewables (survey-weighted logit/OLS; baseline condition and those who identify with neither party as reference)</w:t>
            </w:r>
          </w:p>
          <w:tbl>
            <w:tblPr>
              <w:tblStyle w:val="Table"/>
              <w:tblW w:type="pct" w:w="4923"/>
              <w:tblLayout w:type="fixed"/>
              <w:tblLook w:firstRow="1" w:lastRow="1" w:firstColumn="0" w:lastColumn="0" w:noHBand="0" w:noVBand="0" w:val="0020"/>
            </w:tblPr>
            <w:tblGrid>
              <w:gridCol w:w="1644"/>
              <w:gridCol w:w="1949"/>
              <w:gridCol w:w="2558"/>
              <w:gridCol w:w="1644"/>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-0.560*</w:t>
                  </w:r>
                </w:p>
              </w:tc>
              <w:tc>
                <w:tcPr/>
                <w:p>
                  <w:pPr>
                    <w:pStyle w:val="Compact"/>
                    <w:jc w:val="left"/>
                    <w:jc w:val="left"/>
                  </w:pPr>
                  <w:r>
                    <w:t xml:space="preserve">-3.589</w:t>
                  </w:r>
                </w:p>
              </w:tc>
              <w:tc>
                <w:tcPr/>
                <w:p>
                  <w:pPr>
                    <w:pStyle w:val="Compact"/>
                    <w:jc w:val="left"/>
                    <w:jc w:val="left"/>
                  </w:pPr>
                  <w:r>
                    <w:t xml:space="preserve">-2.003</w:t>
                  </w:r>
                </w:p>
              </w:tc>
            </w:tr>
            <w:tr>
              <w:tc>
                <w:tcPr/>
                <w:p>
                  <w:pPr>
                    <w:pStyle w:val="Compact"/>
                  </w:pPr>
                </w:p>
              </w:tc>
              <w:tc>
                <w:tcPr/>
                <w:p>
                  <w:pPr>
                    <w:pStyle w:val="Compact"/>
                    <w:jc w:val="left"/>
                    <w:jc w:val="left"/>
                  </w:pPr>
                  <w:r>
                    <w:t xml:space="preserve">(0.263)</w:t>
                  </w:r>
                </w:p>
              </w:tc>
              <w:tc>
                <w:tcPr/>
                <w:p>
                  <w:pPr>
                    <w:pStyle w:val="Compact"/>
                    <w:jc w:val="left"/>
                    <w:jc w:val="left"/>
                  </w:pPr>
                  <w:r>
                    <w:t xml:space="preserve">(2.990)</w:t>
                  </w:r>
                </w:p>
              </w:tc>
              <w:tc>
                <w:tcPr/>
                <w:p>
                  <w:pPr>
                    <w:pStyle w:val="Compact"/>
                    <w:jc w:val="left"/>
                    <w:jc w:val="left"/>
                  </w:pPr>
                  <w:r>
                    <w:t xml:space="preserve">(2.317)</w:t>
                  </w:r>
                </w:p>
              </w:tc>
            </w:tr>
            <w:tr>
              <w:tc>
                <w:tcPr/>
                <w:p>
                  <w:pPr>
                    <w:pStyle w:val="Compact"/>
                    <w:jc w:val="left"/>
                    <w:jc w:val="left"/>
                  </w:pPr>
                  <w:r>
                    <w:t xml:space="preserve">Climate cue</w:t>
                  </w:r>
                </w:p>
              </w:tc>
              <w:tc>
                <w:tcPr/>
                <w:p>
                  <w:pPr>
                    <w:pStyle w:val="Compact"/>
                    <w:jc w:val="left"/>
                    <w:jc w:val="left"/>
                  </w:pPr>
                  <w:r>
                    <w:t xml:space="preserve">-0.341</w:t>
                  </w:r>
                </w:p>
              </w:tc>
              <w:tc>
                <w:tcPr/>
                <w:p>
                  <w:pPr>
                    <w:pStyle w:val="Compact"/>
                    <w:jc w:val="left"/>
                    <w:jc w:val="left"/>
                  </w:pPr>
                  <w:r>
                    <w:t xml:space="preserve">-3.568</w:t>
                  </w:r>
                </w:p>
              </w:tc>
              <w:tc>
                <w:tcPr/>
                <w:p>
                  <w:pPr>
                    <w:pStyle w:val="Compact"/>
                    <w:jc w:val="left"/>
                    <w:jc w:val="left"/>
                  </w:pPr>
                  <w:r>
                    <w:t xml:space="preserve">-3.578</w:t>
                  </w:r>
                </w:p>
              </w:tc>
            </w:tr>
            <w:tr>
              <w:tc>
                <w:tcPr/>
                <w:p>
                  <w:pPr>
                    <w:pStyle w:val="Compact"/>
                  </w:pPr>
                </w:p>
              </w:tc>
              <w:tc>
                <w:tcPr/>
                <w:p>
                  <w:pPr>
                    <w:pStyle w:val="Compact"/>
                    <w:jc w:val="left"/>
                    <w:jc w:val="left"/>
                  </w:pPr>
                  <w:r>
                    <w:t xml:space="preserve">(0.261)</w:t>
                  </w:r>
                </w:p>
              </w:tc>
              <w:tc>
                <w:tcPr/>
                <w:p>
                  <w:pPr>
                    <w:pStyle w:val="Compact"/>
                    <w:jc w:val="left"/>
                    <w:jc w:val="left"/>
                  </w:pPr>
                  <w:r>
                    <w:t xml:space="preserve">(3.045)</w:t>
                  </w:r>
                </w:p>
              </w:tc>
              <w:tc>
                <w:tcPr/>
                <w:p>
                  <w:pPr>
                    <w:pStyle w:val="Compact"/>
                    <w:jc w:val="left"/>
                    <w:jc w:val="left"/>
                  </w:pPr>
                  <w:r>
                    <w:t xml:space="preserve">(2.245)</w:t>
                  </w:r>
                </w:p>
              </w:tc>
            </w:tr>
            <w:tr>
              <w:tc>
                <w:tcPr/>
                <w:p>
                  <w:pPr>
                    <w:pStyle w:val="Compact"/>
                    <w:jc w:val="left"/>
                    <w:jc w:val="left"/>
                  </w:pPr>
                  <w:r>
                    <w:t xml:space="preserve">Democrat</w:t>
                  </w:r>
                </w:p>
              </w:tc>
              <w:tc>
                <w:tcPr/>
                <w:p>
                  <w:pPr>
                    <w:pStyle w:val="Compact"/>
                    <w:jc w:val="left"/>
                    <w:jc w:val="left"/>
                  </w:pPr>
                  <w:r>
                    <w:t xml:space="preserve">-0.458*</w:t>
                  </w:r>
                </w:p>
              </w:tc>
              <w:tc>
                <w:tcPr/>
                <w:p>
                  <w:pPr>
                    <w:pStyle w:val="Compact"/>
                    <w:jc w:val="left"/>
                    <w:jc w:val="left"/>
                  </w:pPr>
                  <w:r>
                    <w:t xml:space="preserve">-1.038</w:t>
                  </w:r>
                </w:p>
              </w:tc>
              <w:tc>
                <w:tcPr/>
                <w:p>
                  <w:pPr>
                    <w:pStyle w:val="Compact"/>
                    <w:jc w:val="left"/>
                    <w:jc w:val="left"/>
                  </w:pPr>
                  <w:r>
                    <w:t xml:space="preserve">3.971*</w:t>
                  </w:r>
                </w:p>
              </w:tc>
            </w:tr>
            <w:tr>
              <w:tc>
                <w:tcPr/>
                <w:p>
                  <w:pPr>
                    <w:pStyle w:val="Compact"/>
                  </w:pPr>
                </w:p>
              </w:tc>
              <w:tc>
                <w:tcPr/>
                <w:p>
                  <w:pPr>
                    <w:pStyle w:val="Compact"/>
                    <w:jc w:val="left"/>
                    <w:jc w:val="left"/>
                  </w:pPr>
                  <w:r>
                    <w:t xml:space="preserve">(0.204)</w:t>
                  </w:r>
                </w:p>
              </w:tc>
              <w:tc>
                <w:tcPr/>
                <w:p>
                  <w:pPr>
                    <w:pStyle w:val="Compact"/>
                    <w:jc w:val="left"/>
                    <w:jc w:val="left"/>
                  </w:pPr>
                  <w:r>
                    <w:t xml:space="preserve">(2.454)</w:t>
                  </w:r>
                </w:p>
              </w:tc>
              <w:tc>
                <w:tcPr/>
                <w:p>
                  <w:pPr>
                    <w:pStyle w:val="Compact"/>
                    <w:jc w:val="left"/>
                    <w:jc w:val="left"/>
                  </w:pPr>
                  <w:r>
                    <w:t xml:space="preserve">(1.813)</w:t>
                  </w:r>
                </w:p>
              </w:tc>
            </w:tr>
            <w:tr>
              <w:tc>
                <w:tcPr/>
                <w:p>
                  <w:pPr>
                    <w:pStyle w:val="Compact"/>
                    <w:jc w:val="left"/>
                    <w:jc w:val="left"/>
                  </w:pPr>
                  <w:r>
                    <w:t xml:space="preserve">Republican</w:t>
                  </w:r>
                </w:p>
              </w:tc>
              <w:tc>
                <w:tcPr/>
                <w:p>
                  <w:pPr>
                    <w:pStyle w:val="Compact"/>
                    <w:jc w:val="left"/>
                    <w:jc w:val="left"/>
                  </w:pPr>
                  <w:r>
                    <w:t xml:space="preserve">0.565*</w:t>
                  </w:r>
                </w:p>
              </w:tc>
              <w:tc>
                <w:tcPr/>
                <w:p>
                  <w:pPr>
                    <w:pStyle w:val="Compact"/>
                    <w:jc w:val="left"/>
                    <w:jc w:val="left"/>
                  </w:pPr>
                  <w:r>
                    <w:t xml:space="preserve">-2.786</w:t>
                  </w:r>
                </w:p>
              </w:tc>
              <w:tc>
                <w:tcPr/>
                <w:p>
                  <w:pPr>
                    <w:pStyle w:val="Compact"/>
                    <w:jc w:val="left"/>
                    <w:jc w:val="left"/>
                  </w:pPr>
                  <w:r>
                    <w:t xml:space="preserve">-5.959**</w:t>
                  </w:r>
                </w:p>
              </w:tc>
            </w:tr>
            <w:tr>
              <w:tc>
                <w:tcPr/>
                <w:p>
                  <w:pPr>
                    <w:pStyle w:val="Compact"/>
                  </w:pPr>
                </w:p>
              </w:tc>
              <w:tc>
                <w:tcPr/>
                <w:p>
                  <w:pPr>
                    <w:pStyle w:val="Compact"/>
                    <w:jc w:val="left"/>
                    <w:jc w:val="left"/>
                  </w:pPr>
                  <w:r>
                    <w:t xml:space="preserve">(0.225)</w:t>
                  </w:r>
                </w:p>
              </w:tc>
              <w:tc>
                <w:tcPr/>
                <w:p>
                  <w:pPr>
                    <w:pStyle w:val="Compact"/>
                    <w:jc w:val="left"/>
                    <w:jc w:val="left"/>
                  </w:pPr>
                  <w:r>
                    <w:t xml:space="preserve">(2.480)</w:t>
                  </w:r>
                </w:p>
              </w:tc>
              <w:tc>
                <w:tcPr/>
                <w:p>
                  <w:pPr>
                    <w:pStyle w:val="Compact"/>
                    <w:jc w:val="left"/>
                    <w:jc w:val="left"/>
                  </w:pPr>
                  <w:r>
                    <w:t xml:space="preserve">(1.889)</w:t>
                  </w:r>
                </w:p>
              </w:tc>
            </w:tr>
            <w:tr>
              <w:tc>
                <w:tcPr/>
                <w:p>
                  <w:pPr>
                    <w:pStyle w:val="Compact"/>
                    <w:jc w:val="left"/>
                    <w:jc w:val="left"/>
                  </w:pPr>
                  <w:r>
                    <w:t xml:space="preserve">Trump cue × Democrat</w:t>
                  </w:r>
                </w:p>
              </w:tc>
              <w:tc>
                <w:tcPr/>
                <w:p>
                  <w:pPr>
                    <w:pStyle w:val="Compact"/>
                    <w:jc w:val="left"/>
                    <w:jc w:val="left"/>
                  </w:pPr>
                  <w:r>
                    <w:t xml:space="preserve">0.346</w:t>
                  </w:r>
                </w:p>
              </w:tc>
              <w:tc>
                <w:tcPr/>
                <w:p>
                  <w:pPr>
                    <w:pStyle w:val="Compact"/>
                    <w:jc w:val="left"/>
                    <w:jc w:val="left"/>
                  </w:pPr>
                  <w:r>
                    <w:t xml:space="preserve">3.677</w:t>
                  </w:r>
                </w:p>
              </w:tc>
              <w:tc>
                <w:tcPr/>
                <w:p>
                  <w:pPr>
                    <w:pStyle w:val="Compact"/>
                    <w:jc w:val="left"/>
                    <w:jc w:val="left"/>
                  </w:pPr>
                  <w:r>
                    <w:t xml:space="preserve">2.842</w:t>
                  </w:r>
                </w:p>
              </w:tc>
            </w:tr>
            <w:tr>
              <w:tc>
                <w:tcPr/>
                <w:p>
                  <w:pPr>
                    <w:pStyle w:val="Compact"/>
                  </w:pPr>
                </w:p>
              </w:tc>
              <w:tc>
                <w:tcPr/>
                <w:p>
                  <w:pPr>
                    <w:pStyle w:val="Compact"/>
                    <w:jc w:val="left"/>
                    <w:jc w:val="left"/>
                  </w:pPr>
                  <w:r>
                    <w:t xml:space="preserve">(0.298)</w:t>
                  </w:r>
                </w:p>
              </w:tc>
              <w:tc>
                <w:tcPr/>
                <w:p>
                  <w:pPr>
                    <w:pStyle w:val="Compact"/>
                    <w:jc w:val="left"/>
                    <w:jc w:val="left"/>
                  </w:pPr>
                  <w:r>
                    <w:t xml:space="preserve">(3.390)</w:t>
                  </w:r>
                </w:p>
              </w:tc>
              <w:tc>
                <w:tcPr/>
                <w:p>
                  <w:pPr>
                    <w:pStyle w:val="Compact"/>
                    <w:jc w:val="left"/>
                    <w:jc w:val="left"/>
                  </w:pPr>
                  <w:r>
                    <w:t xml:space="preserve">(2.602)</w:t>
                  </w:r>
                </w:p>
              </w:tc>
            </w:tr>
            <w:tr>
              <w:tc>
                <w:tcPr/>
                <w:p>
                  <w:pPr>
                    <w:pStyle w:val="Compact"/>
                    <w:jc w:val="left"/>
                    <w:jc w:val="left"/>
                  </w:pPr>
                  <w:r>
                    <w:t xml:space="preserve">Climate cue × Democrat</w:t>
                  </w:r>
                </w:p>
              </w:tc>
              <w:tc>
                <w:tcPr/>
                <w:p>
                  <w:pPr>
                    <w:pStyle w:val="Compact"/>
                    <w:jc w:val="left"/>
                    <w:jc w:val="left"/>
                  </w:pPr>
                  <w:r>
                    <w:t xml:space="preserve">0.260</w:t>
                  </w:r>
                </w:p>
              </w:tc>
              <w:tc>
                <w:tcPr/>
                <w:p>
                  <w:pPr>
                    <w:pStyle w:val="Compact"/>
                    <w:jc w:val="left"/>
                    <w:jc w:val="left"/>
                  </w:pPr>
                  <w:r>
                    <w:t xml:space="preserve">3.710</w:t>
                  </w:r>
                </w:p>
              </w:tc>
              <w:tc>
                <w:tcPr/>
                <w:p>
                  <w:pPr>
                    <w:pStyle w:val="Compact"/>
                    <w:jc w:val="left"/>
                    <w:jc w:val="left"/>
                  </w:pPr>
                  <w:r>
                    <w:t xml:space="preserve">5.055*</w:t>
                  </w:r>
                </w:p>
              </w:tc>
            </w:tr>
            <w:tr>
              <w:tc>
                <w:tcPr/>
                <w:p>
                  <w:pPr>
                    <w:pStyle w:val="Compact"/>
                  </w:pPr>
                </w:p>
              </w:tc>
              <w:tc>
                <w:tcPr/>
                <w:p>
                  <w:pPr>
                    <w:pStyle w:val="Compact"/>
                    <w:jc w:val="left"/>
                    <w:jc w:val="left"/>
                  </w:pPr>
                  <w:r>
                    <w:t xml:space="preserve">(0.298)</w:t>
                  </w:r>
                </w:p>
              </w:tc>
              <w:tc>
                <w:tcPr/>
                <w:p>
                  <w:pPr>
                    <w:pStyle w:val="Compact"/>
                    <w:jc w:val="left"/>
                    <w:jc w:val="left"/>
                  </w:pPr>
                  <w:r>
                    <w:t xml:space="preserve">(3.520)</w:t>
                  </w:r>
                </w:p>
              </w:tc>
              <w:tc>
                <w:tcPr/>
                <w:p>
                  <w:pPr>
                    <w:pStyle w:val="Compact"/>
                    <w:jc w:val="left"/>
                    <w:jc w:val="left"/>
                  </w:pPr>
                  <w:r>
                    <w:t xml:space="preserve">(2.551)</w:t>
                  </w:r>
                </w:p>
              </w:tc>
            </w:tr>
            <w:tr>
              <w:tc>
                <w:tcPr/>
                <w:p>
                  <w:pPr>
                    <w:pStyle w:val="Compact"/>
                    <w:jc w:val="left"/>
                    <w:jc w:val="left"/>
                  </w:pPr>
                  <w:r>
                    <w:t xml:space="preserve">Trump cue × Republican</w:t>
                  </w:r>
                </w:p>
              </w:tc>
              <w:tc>
                <w:tcPr/>
                <w:p>
                  <w:pPr>
                    <w:pStyle w:val="Compact"/>
                    <w:jc w:val="left"/>
                    <w:jc w:val="left"/>
                  </w:pPr>
                  <w:r>
                    <w:t xml:space="preserve">0.634†</w:t>
                  </w:r>
                </w:p>
              </w:tc>
              <w:tc>
                <w:tcPr/>
                <w:p>
                  <w:pPr>
                    <w:pStyle w:val="Compact"/>
                    <w:jc w:val="left"/>
                    <w:jc w:val="left"/>
                  </w:pPr>
                  <w:r>
                    <w:t xml:space="preserve">2.744</w:t>
                  </w:r>
                </w:p>
              </w:tc>
              <w:tc>
                <w:tcPr/>
                <w:p>
                  <w:pPr>
                    <w:pStyle w:val="Compact"/>
                    <w:jc w:val="left"/>
                    <w:jc w:val="left"/>
                  </w:pPr>
                  <w:r>
                    <w:t xml:space="preserve">0.248</w:t>
                  </w:r>
                </w:p>
              </w:tc>
            </w:tr>
            <w:tr>
              <w:tc>
                <w:tcPr/>
                <w:p>
                  <w:pPr>
                    <w:pStyle w:val="Compact"/>
                  </w:pPr>
                </w:p>
              </w:tc>
              <w:tc>
                <w:tcPr/>
                <w:p>
                  <w:pPr>
                    <w:pStyle w:val="Compact"/>
                    <w:jc w:val="left"/>
                    <w:jc w:val="left"/>
                  </w:pPr>
                  <w:r>
                    <w:t xml:space="preserve">(0.330)</w:t>
                  </w:r>
                </w:p>
              </w:tc>
              <w:tc>
                <w:tcPr/>
                <w:p>
                  <w:pPr>
                    <w:pStyle w:val="Compact"/>
                    <w:jc w:val="left"/>
                    <w:jc w:val="left"/>
                  </w:pPr>
                  <w:r>
                    <w:t xml:space="preserve">(3.484)</w:t>
                  </w:r>
                </w:p>
              </w:tc>
              <w:tc>
                <w:tcPr/>
                <w:p>
                  <w:pPr>
                    <w:pStyle w:val="Compact"/>
                    <w:jc w:val="left"/>
                    <w:jc w:val="left"/>
                  </w:pPr>
                  <w:r>
                    <w:t xml:space="preserve">(2.715)</w:t>
                  </w:r>
                </w:p>
              </w:tc>
            </w:tr>
            <w:tr>
              <w:tc>
                <w:tcPr/>
                <w:p>
                  <w:pPr>
                    <w:pStyle w:val="Compact"/>
                    <w:jc w:val="left"/>
                    <w:jc w:val="left"/>
                  </w:pPr>
                  <w:r>
                    <w:t xml:space="preserve">Climate cue × Republican</w:t>
                  </w:r>
                </w:p>
              </w:tc>
              <w:tc>
                <w:tcPr/>
                <w:p>
                  <w:pPr>
                    <w:pStyle w:val="Compact"/>
                    <w:jc w:val="left"/>
                    <w:jc w:val="left"/>
                  </w:pPr>
                  <w:r>
                    <w:t xml:space="preserve">0.469</w:t>
                  </w:r>
                </w:p>
              </w:tc>
              <w:tc>
                <w:tcPr/>
                <w:p>
                  <w:pPr>
                    <w:pStyle w:val="Compact"/>
                    <w:jc w:val="left"/>
                    <w:jc w:val="left"/>
                  </w:pPr>
                  <w:r>
                    <w:t xml:space="preserve">5.257</w:t>
                  </w:r>
                </w:p>
              </w:tc>
              <w:tc>
                <w:tcPr/>
                <w:p>
                  <w:pPr>
                    <w:pStyle w:val="Compact"/>
                    <w:jc w:val="left"/>
                    <w:jc w:val="left"/>
                  </w:pPr>
                  <w:r>
                    <w:t xml:space="preserve">4.499†</w:t>
                  </w:r>
                </w:p>
              </w:tc>
            </w:tr>
            <w:tr>
              <w:tc>
                <w:tcPr/>
                <w:p>
                  <w:pPr>
                    <w:pStyle w:val="Compact"/>
                  </w:pPr>
                </w:p>
              </w:tc>
              <w:tc>
                <w:tcPr/>
                <w:p>
                  <w:pPr>
                    <w:pStyle w:val="Compact"/>
                    <w:jc w:val="left"/>
                    <w:jc w:val="left"/>
                  </w:pPr>
                  <w:r>
                    <w:t xml:space="preserve">(0.326)</w:t>
                  </w:r>
                </w:p>
              </w:tc>
              <w:tc>
                <w:tcPr/>
                <w:p>
                  <w:pPr>
                    <w:pStyle w:val="Compact"/>
                    <w:jc w:val="left"/>
                    <w:jc w:val="left"/>
                  </w:pPr>
                  <w:r>
                    <w:t xml:space="preserve">(3.512)</w:t>
                  </w:r>
                </w:p>
              </w:tc>
              <w:tc>
                <w:tcPr/>
                <w:p>
                  <w:pPr>
                    <w:pStyle w:val="Compact"/>
                    <w:jc w:val="left"/>
                    <w:jc w:val="left"/>
                  </w:pPr>
                  <w:r>
                    <w:t xml:space="preserve">(2.672)</w:t>
                  </w:r>
                </w:p>
              </w:tc>
            </w:tr>
            <w:tr>
              <w:tc>
                <w:tcPr/>
                <w:p>
                  <w:pPr>
                    <w:pStyle w:val="Compact"/>
                    <w:jc w:val="left"/>
                    <w:jc w:val="left"/>
                  </w:pPr>
                  <w:r>
                    <w:t xml:space="preserve">(Intercept)</w:t>
                  </w:r>
                </w:p>
              </w:tc>
              <w:tc>
                <w:tcPr/>
                <w:p>
                  <w:pPr>
                    <w:pStyle w:val="Compact"/>
                    <w:jc w:val="left"/>
                    <w:jc w:val="left"/>
                  </w:pPr>
                  <w:r>
                    <w:t xml:space="preserve">0.117</w:t>
                  </w:r>
                </w:p>
              </w:tc>
              <w:tc>
                <w:tcPr/>
                <w:p>
                  <w:pPr>
                    <w:pStyle w:val="Compact"/>
                    <w:jc w:val="left"/>
                    <w:jc w:val="left"/>
                  </w:pPr>
                  <w:r>
                    <w:t xml:space="preserve">17.652**</w:t>
                  </w:r>
                </w:p>
              </w:tc>
              <w:tc>
                <w:tcPr/>
                <w:p>
                  <w:pPr>
                    <w:pStyle w:val="Compact"/>
                    <w:jc w:val="left"/>
                    <w:jc w:val="left"/>
                  </w:pPr>
                  <w:r>
                    <w:t xml:space="preserve">19.076**</w:t>
                  </w:r>
                </w:p>
              </w:tc>
            </w:tr>
            <w:tr>
              <w:tc>
                <w:tcPr/>
                <w:p>
                  <w:pPr>
                    <w:pStyle w:val="Compact"/>
                  </w:pPr>
                </w:p>
              </w:tc>
              <w:tc>
                <w:tcPr/>
                <w:p>
                  <w:pPr>
                    <w:pStyle w:val="Compact"/>
                    <w:jc w:val="left"/>
                    <w:jc w:val="left"/>
                  </w:pPr>
                  <w:r>
                    <w:t xml:space="preserve">(0.179)</w:t>
                  </w:r>
                </w:p>
              </w:tc>
              <w:tc>
                <w:tcPr/>
                <w:p>
                  <w:pPr>
                    <w:pStyle w:val="Compact"/>
                    <w:jc w:val="left"/>
                    <w:jc w:val="left"/>
                  </w:pPr>
                  <w:r>
                    <w:t xml:space="preserve">(2.181)</w:t>
                  </w:r>
                </w:p>
              </w:tc>
              <w:tc>
                <w:tcPr/>
                <w:p>
                  <w:pPr>
                    <w:pStyle w:val="Compact"/>
                    <w:jc w:val="left"/>
                    <w:jc w:val="left"/>
                  </w:pPr>
                  <w:r>
                    <w:t xml:space="preserve">(1.601)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w:t>
                  </w:r>
                </w:p>
              </w:tc>
              <w:tc>
                <w:tcPr/>
                <w:p>
                  <w:pPr>
                    <w:pStyle w:val="Compact"/>
                    <w:jc w:val="left"/>
                    <w:jc w:val="left"/>
                  </w:pPr>
                  <w:r>
                    <w:t xml:space="preserve">0.091</w:t>
                  </w:r>
                </w:p>
              </w:tc>
            </w:tr>
            <w:tr>
              <w:tc>
                <w:tcPr/>
                <w:p>
                  <w:pPr>
                    <w:pStyle w:val="Compact"/>
                    <w:jc w:val="left"/>
                    <w:jc w:val="left"/>
                  </w:pPr>
                  <w:r>
                    <w:t xml:space="preserve">McFadden’s pseudo R2</w:t>
                  </w:r>
                </w:p>
              </w:tc>
              <w:tc>
                <w:tcPr/>
                <w:p>
                  <w:pPr>
                    <w:pStyle w:val="Compact"/>
                    <w:jc w:val="left"/>
                    <w:jc w:val="left"/>
                  </w:pPr>
                  <w:r>
                    <w:t xml:space="preserve">0.059</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6"/>
          <w:p/>
        </w:tc>
      </w:tr>
    </w:tbl>
    <w:p>
      <w:pPr>
        <w:pStyle w:val="BodyText"/>
      </w:pPr>
      <w:r>
        <w:t xml:space="preserve">For fossil fuels, Republicans were significantly more likely than those who identify with neither party to have any positive WTP (b = 0.57, log-odds scale), and Democrats were significantly less likely (b = -0.46). The predicted probability of any positive WTP in the baseline condition was 66.4% for Republicans compared to 41.6% for Democrats. Among those who identify with neither party, the Trump cue lowered the likelihood of any positive WTP for fossil fuels (b = -0.56), and the Trump cue x Republican interaction was marginally significant (b = 0.63,</w:t>
      </w:r>
      <w:r>
        <w:t xml:space="preserve"> </w:t>
      </w:r>
      <w:r>
        <w:rPr>
          <w:i/>
          <w:iCs/>
        </w:rPr>
        <w:t xml:space="preserve">p</w:t>
      </w:r>
      <w:r>
        <w:t xml:space="preserve"> </w:t>
      </w:r>
      <w:r>
        <w:t xml:space="preserve">= 0.055). However, this interaction reflects the decline among those who identify with neither party rather than an increase among Republicans, whose likelihood of any positive WTP in the Trump cue did not differ from the baseline (68.1% versus 66.4%; difference = 0.07,</w:t>
      </w:r>
      <w:r>
        <w:t xml:space="preserve"> </w:t>
      </w:r>
      <w:r>
        <w:rPr>
          <w:i/>
          <w:iCs/>
        </w:rPr>
        <w:t xml:space="preserve">p</w:t>
      </w:r>
      <w:r>
        <w:t xml:space="preserve"> </w:t>
      </w:r>
      <w:r>
        <w:t xml:space="preserve">= 0.711).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wtp-fossil-predicted"/>
          <w:p>
            <w:pPr>
              <w:jc w:val="center"/>
            </w:pPr>
            <w:pPr>
              <w:jc w:val="left"/>
              <w:spacing w:before="200"/>
              <w:pStyle w:val="ImageCaption"/>
            </w:pPr>
            <w:r>
              <w:t xml:space="preserve">Figure 2: Predicted willingness-to-pay for fossil fuels, among respondents with any positive WTP, by cue condition and party identification (survey-weighted OLS predictions with 95% CIs)</w:t>
            </w:r>
          </w:p>
          <w:p>
            <w:pPr>
              <w:pStyle w:val="Compact"/>
              <w:jc w:val="center"/>
            </w:pPr>
            <w:r>
              <w:drawing>
                <wp:inline>
                  <wp:extent cx="5334000" cy="4267200"/>
                  <wp:effectExtent b="0" l="0" r="0" t="0"/>
                  <wp:docPr descr="" title="" id="28" name="Picture"/>
                  <a:graphic>
                    <a:graphicData uri="http://schemas.openxmlformats.org/drawingml/2006/picture">
                      <pic:pic>
                        <pic:nvPicPr>
                          <pic:cNvPr descr="cue-WTP_files/figure-docx/fig-wtp-fossil-predicted-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wtp-renewable-predicted"/>
          <w:p>
            <w:pPr>
              <w:jc w:val="center"/>
            </w:pPr>
            <w:pPr>
              <w:jc w:val="left"/>
              <w:spacing w:before="200"/>
              <w:pStyle w:val="ImageCaption"/>
            </w:pPr>
            <w:r>
              <w:t xml:space="preserve">Figure 3: Predicted willingness-to-pay for renewables by cue condition and party identification (survey-weighted OLS predictions with 95% CIs)</w:t>
            </w:r>
          </w:p>
          <w:p>
            <w:pPr>
              <w:pStyle w:val="Compact"/>
              <w:jc w:val="center"/>
            </w:pPr>
            <w:r>
              <w:drawing>
                <wp:inline>
                  <wp:extent cx="5334000" cy="4267200"/>
                  <wp:effectExtent b="0" l="0" r="0" t="0"/>
                  <wp:docPr descr="" title="" id="32" name="Picture"/>
                  <a:graphic>
                    <a:graphicData uri="http://schemas.openxmlformats.org/drawingml/2006/picture">
                      <pic:pic>
                        <pic:nvPicPr>
                          <pic:cNvPr descr="cue-WTP_files/figure-docx/fig-wtp-renewable-predicted-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p>
      <w:pPr>
        <w:pStyle w:val="BodyText"/>
      </w:pPr>
      <w:r>
        <w:t xml:space="preserve">Among those with positive WTP for fossil fuels, neither party identification, the cues, nor their interactions significantly predicted the dollar amount. The predicted amount for Republicans was $14.87 in the baseline condition versus $14.02 in the Trump cue.</w:t>
      </w:r>
      <w:r>
        <w:rPr>
          <w:rStyle w:val="FootnoteReference"/>
        </w:rPr>
        <w:footnoteReference w:id="35"/>
      </w:r>
    </w:p>
    <w:p>
      <w:pPr>
        <w:pStyle w:val="BodyText"/>
      </w:pPr>
      <w:r>
        <w:t xml:space="preserve">Looking to renewables, Democrats were willing to pay $3.97 more, on average, than those who identify with neither party, and Republicans were willing to pay $5.96 less, for a predicted total of $13.12 among Republicans in the baseline condition. The climate cue x Democrat interaction was significant (b = 5.05,</w:t>
      </w:r>
      <w:r>
        <w:t xml:space="preserve"> </w:t>
      </w:r>
      <w:r>
        <w:rPr>
          <w:i/>
          <w:iCs/>
        </w:rPr>
        <w:t xml:space="preserve">p</w:t>
      </w:r>
      <w:r>
        <w:t xml:space="preserve"> </w:t>
      </w:r>
      <w:r>
        <w:t xml:space="preserve">= 0.048), and the climate cue x Republican interaction was nearly as large (b = 4.50,</w:t>
      </w:r>
      <w:r>
        <w:t xml:space="preserve"> </w:t>
      </w:r>
      <w:r>
        <w:rPr>
          <w:i/>
          <w:iCs/>
        </w:rPr>
        <w:t xml:space="preserve">p</w:t>
      </w:r>
      <w:r>
        <w:t xml:space="preserve"> </w:t>
      </w:r>
      <w:r>
        <w:t xml:space="preserve">= 0.092). However, both interactions largely reflect a lower WTP for renewables in the climate cue among those who identify with neither party (b = -3.58,</w:t>
      </w:r>
      <w:r>
        <w:t xml:space="preserve"> </w:t>
      </w:r>
      <w:r>
        <w:rPr>
          <w:i/>
          <w:iCs/>
        </w:rPr>
        <w:t xml:space="preserve">p</w:t>
      </w:r>
      <w:r>
        <w:t xml:space="preserve"> </w:t>
      </w:r>
      <w:r>
        <w:t xml:space="preserve">= 0.111). Among Democrats, the climate cue did not significantly increase WTP for renewables compared to the baseline (difference = $1.48,</w:t>
      </w:r>
      <w:r>
        <w:t xml:space="preserve"> </w:t>
      </w:r>
      <w:r>
        <w:rPr>
          <w:i/>
          <w:iCs/>
        </w:rPr>
        <w:t xml:space="preserve">p</w:t>
      </w:r>
      <w:r>
        <w:t xml:space="preserve"> </w:t>
      </w:r>
      <w:r>
        <w:t xml:space="preserve">= 0.223).</w:t>
      </w:r>
    </w:p>
    <w:p>
      <w:pPr>
        <w:pStyle w:val="BodyText"/>
      </w:pPr>
      <w:r>
        <w:t xml:space="preserve">The absence of reliable cue effects on WTP among partisans should not be read as evidence that the cues have no effect on WTP. With 80 percent power and</w:t>
      </w:r>
      <w:r>
        <w:t xml:space="preserve"> </w:t>
      </w:r>
      <m:oMath>
        <m:r>
          <m:t>α</m:t>
        </m:r>
      </m:oMath>
      <w:r>
        <w:t xml:space="preserve"> </w:t>
      </w:r>
      <w:r>
        <w:t xml:space="preserve">= .05, the smallest interaction effects the design could reliably detect are $7.15 to 7.61 for renewables and $9.50 to 9.86 for the amount of fossil fuel WTP, compared with 0.58 to 0.72 points for the priority scale. Smaller effects of the cues on WTP cannot be ruled out.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Overall, respondents leaned toward renewables on the priority scale, and the WTP for renewables was higher than for fossil fuels. The difference in WTP was also not uniform across groups. For example, among Republicans in the Trump cue, the WTP for renewables did not differ significantly from the WTP for fossil fuels (difference = $1.82,</w:t>
      </w:r>
      <w:r>
        <w:t xml:space="preserve"> </w:t>
      </w:r>
      <w:r>
        <w:rPr>
          <w:i/>
          <w:iCs/>
        </w:rPr>
        <w:t xml:space="preserve">p</w:t>
      </w:r>
      <w:r>
        <w:t xml:space="preserve"> </w:t>
      </w:r>
      <w:r>
        <w:t xml:space="preserve">= 0.153).</w:t>
      </w:r>
    </w:p>
    <w:p>
      <w:pPr>
        <w:pStyle w:val="BodyText"/>
      </w:pPr>
      <w:r>
        <w:t xml:space="preserve">Comparing the results to the hypotheses, the support is mixed. As expected, partisanship shaped both preferences and WTP, largely supporting H1a and H1b. Republicans prioritized fossil fuels more than those who identify with neither party, were more likely to have any positive WTP for fossil fuels, and were WTP less for renewables. Democrats, in contrast, prioritized renewables, were less likely to have any positive WTP for fossil fuels, and were WTP more for renewables. However, among those WTP something for fossil fuels, Republicans were not WTP more than others. H2a and H2b were not supported, as neither the Trump cue nor the climate cue had a significant average effect on energy priority or WTP for either source compared to the baseline condition. H3a received limited support. The Trump cue moved Republicans toward fossil fuels on the priority scale. H3b was not supported, as the climate cue did not move Democrats toward renewables on the priority scale, and the climate cue x Democrat interaction for renewables WTP reflects a decline among those who identify with neither party rather than an increase among Democrats. Regarding RQ1, there was no evidence that either cue led partisans to move away from the position of the source. Regarding RQ2, the shift in priority among Republicans did not carry over to WTP, as Republicans in the Trump cue did not differ from those in the baseline in their WTP for fossil fuels. These results suggest that cues are likely more effective at moving the priority the public gives to energy sources than the amount they are willing to pay, though the design could not detect small effects on WTP.</w:t>
      </w:r>
    </w:p>
    <w:bookmarkEnd w:id="36"/>
    <w:bookmarkStart w:id="38"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partisanship. The results show that support for energy sources is polarized along partisan lines, both in how respondents prioritized fossil fuels against renewables and in the dollar amounts they were willing to pay. There is also some evidence that a Trump cue moved Republicans toward fossil fuels, though this effect should be considered tentative. In contrast, the climate cue did not move Democrats toward renewables, which is likely because Democrats already strongly prioritized renewables in the baseline condition. Together, these findings suggest that a cue from a polarizing figure such as President Trump may further exacerbate existing partisan divisions in how the public prioritizes energy sources.</w:t>
      </w:r>
    </w:p>
    <w:p>
      <w:pPr>
        <w:pStyle w:val="BodyText"/>
      </w:pPr>
      <w:r>
        <w:t xml:space="preserve">The cue effects were also uneven across the two outcomes. Partisanship appears to condition the effect of the Trump cue on prioritization, but not on WTP. For example, the Trump cue did not significantly change WTP for fossil fuels among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7"/>
      </w:r>
      <w:r>
        <w:t xml:space="preserve"> </w:t>
      </w:r>
      <w:r>
        <w:t xml:space="preserve">Additionally, a single cue is likely a weaker treatment than the sustained rhetoric respondents may encounter outside of a survey. The few cue x party identification interactions for WTP that reached significance reflected a lower WTP among those who identify with neither party rather than a shift among partisans, and this small group is estimated with less precision. However, the design could only detect relatively large interaction effects on WTP, so small effects of the cues on WTP cannot be ruled out.</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Second, if the tentative responsiveness of Republicans to the Trump cue holds, elite rhetoric, including rhetoric tied to a single prominent figure, may widen the partisan gap in energy preferences further, which is a risk for policymakers seeking durable, bipartisan support for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and the Trump cue x Republican interaction for the priority scale depends on the demographic weights, as it is not significant without them.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was measured after the outcomes, though its distribution did not differ across conditions. Additionally, after leaners are assigned to a party, the reference group of those who identify with neither party is small.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8"/>
    <w:bookmarkStart w:id="40"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39">
        <w:r>
          <w:rPr>
            <w:rStyle w:val="Hyperlink"/>
          </w:rPr>
          <w:t xml:space="preserve">https://github.com/mnowlin/cue-WTP</w:t>
        </w:r>
      </w:hyperlink>
      <w:r>
        <w:t xml:space="preserve">. The survey data will be made available upon publication.</w:t>
      </w:r>
    </w:p>
    <w:p>
      <w:r>
        <w:br w:type="page"/>
      </w:r>
    </w:p>
    <w:bookmarkEnd w:id="40"/>
    <w:bookmarkStart w:id="73" w:name="references"/>
    <w:p>
      <w:pPr>
        <w:pStyle w:val="Heading1"/>
      </w:pPr>
      <w:r>
        <w:t xml:space="preserve">References</w:t>
      </w:r>
    </w:p>
    <w:bookmarkStart w:id="72" w:name="refs"/>
    <w:bookmarkStart w:id="41"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41"/>
    <w:bookmarkStart w:id="42"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42"/>
    <w:bookmarkStart w:id="43"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43"/>
    <w:bookmarkStart w:id="44"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4"/>
    <w:bookmarkStart w:id="45"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5"/>
    <w:bookmarkStart w:id="46"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w:t>
      </w:r>
      <w:r>
        <w:t xml:space="preserve">-to-</w:t>
      </w:r>
      <w:r>
        <w:t xml:space="preserve">Pay</w:t>
      </w:r>
      <w:r>
        <w:t xml:space="preserve">.”</w:t>
      </w:r>
      <w:r>
        <w:t xml:space="preserve"> </w:t>
      </w:r>
      <w:r>
        <w:rPr>
          <w:i/>
          <w:iCs/>
        </w:rPr>
        <w:t xml:space="preserve">Innovative Marketing</w:t>
      </w:r>
      <w:r>
        <w:t xml:space="preserve"> </w:t>
      </w:r>
      <w:r>
        <w:t xml:space="preserve">2(4): 8–32.</w:t>
      </w:r>
    </w:p>
    <w:bookmarkEnd w:id="46"/>
    <w:bookmarkStart w:id="47"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7"/>
    <w:bookmarkStart w:id="48"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8"/>
    <w:bookmarkStart w:id="49"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9"/>
    <w:bookmarkStart w:id="50"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50"/>
    <w:bookmarkStart w:id="51"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1"/>
    <w:bookmarkStart w:id="52"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52"/>
    <w:bookmarkStart w:id="53"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53"/>
    <w:bookmarkStart w:id="54"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4"/>
    <w:bookmarkStart w:id="55"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5"/>
    <w:bookmarkStart w:id="56"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6"/>
    <w:bookmarkStart w:id="57"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7"/>
    <w:bookmarkStart w:id="58"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8"/>
    <w:bookmarkStart w:id="59"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59"/>
    <w:bookmarkStart w:id="60"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60"/>
    <w:bookmarkStart w:id="61"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w:t>
      </w:r>
      <w:r>
        <w:t xml:space="preserve">-to-</w:t>
      </w:r>
      <w:r>
        <w:t xml:space="preserve">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61"/>
    <w:bookmarkStart w:id="62"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62"/>
    <w:bookmarkStart w:id="63"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63"/>
    <w:bookmarkStart w:id="64"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4"/>
    <w:bookmarkStart w:id="65"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5"/>
    <w:bookmarkStart w:id="66"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6"/>
    <w:bookmarkStart w:id="67"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7"/>
    <w:bookmarkStart w:id="68"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8"/>
    <w:bookmarkStart w:id="69" w:name="ref-LevelizedCostsNew2025"/>
    <w:p>
      <w:pPr>
        <w:pStyle w:val="Bibliography"/>
      </w:pPr>
      <w:r>
        <w:t xml:space="preserve">U.S. Energy Information Administration. 2025.</w:t>
      </w:r>
      <w:r>
        <w:t xml:space="preserve"> </w:t>
      </w:r>
      <w:r>
        <w:rPr>
          <w:i/>
          <w:iCs/>
        </w:rPr>
        <w:t xml:space="preserve">Levelized</w:t>
      </w:r>
      <w:r>
        <w:rPr>
          <w:i/>
          <w:iCs/>
        </w:rPr>
        <w:t xml:space="preserve"> </w:t>
      </w:r>
      <w:r>
        <w:rPr>
          <w:i/>
          <w:iCs/>
        </w:rPr>
        <w:t xml:space="preserve">Costs</w:t>
      </w:r>
      <w:r>
        <w:rPr>
          <w:i/>
          <w:iCs/>
        </w:rPr>
        <w:t xml:space="preserve"> </w:t>
      </w:r>
      <w:r>
        <w:rPr>
          <w:i/>
          <w:iCs/>
        </w:rPr>
        <w:t xml:space="preserve">of</w:t>
      </w:r>
      <w:r>
        <w:rPr>
          <w:i/>
          <w:iCs/>
        </w:rPr>
        <w:t xml:space="preserve"> </w:t>
      </w:r>
      <w:r>
        <w:rPr>
          <w:i/>
          <w:iCs/>
        </w:rPr>
        <w:t xml:space="preserve">New Generation Resources</w:t>
      </w:r>
      <w:r>
        <w:rPr>
          <w:i/>
          <w:iCs/>
        </w:rPr>
        <w:t xml:space="preserve"> </w:t>
      </w:r>
      <w:r>
        <w:rPr>
          <w:i/>
          <w:iCs/>
        </w:rPr>
        <w:t xml:space="preserve">in the</w:t>
      </w:r>
      <w:r>
        <w:rPr>
          <w:i/>
          <w:iCs/>
        </w:rPr>
        <w:t xml:space="preserve"> </w:t>
      </w:r>
      <w:r>
        <w:rPr>
          <w:i/>
          <w:iCs/>
        </w:rPr>
        <w:t xml:space="preserve">Annual Energy Outlook</w:t>
      </w:r>
      <w:r>
        <w:rPr>
          <w:i/>
          <w:iCs/>
        </w:rPr>
        <w:t xml:space="preserve"> </w:t>
      </w:r>
      <w:r>
        <w:rPr>
          <w:i/>
          <w:iCs/>
        </w:rPr>
        <w:t xml:space="preserve">2025</w:t>
      </w:r>
      <w:r>
        <w:t xml:space="preserve">. Washington, D.C. https://www.eia.gov/outlooks/aeo/electricity_generation/pdf/AEO2025_LCOE_report.pdf.</w:t>
      </w:r>
    </w:p>
    <w:bookmarkEnd w:id="69"/>
    <w:bookmarkStart w:id="70"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70"/>
    <w:bookmarkStart w:id="71"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income, and concern about the cost of electricity, but the conditions differed somewhat in age and in the share of white respondents. A balance table is shown in the supplemental material, and the results are similar when controlling for demographics.</w:t>
      </w:r>
    </w:p>
  </w:footnote>
  <w:footnote w:id="15">
    <w:p>
      <w:pPr>
        <w:pStyle w:val="FootnoteText"/>
      </w:pPr>
      <w:r>
        <w:rPr>
          <w:rStyle w:val="FootnoteReference"/>
        </w:rPr>
        <w:footnoteRef/>
      </w:r>
      <w:r>
        <w:t xml:space="preserve"> </w:t>
      </w: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may reflect the wording of the prompts as well as respondents’ preferences, and should be interpreted with caution. However, the wording of each prompt was the same in every condition, so the comparison of each cue with the baseline within each energy source is not affected by the asymmetry.</w:t>
      </w:r>
    </w:p>
  </w:footnote>
  <w:footnote w:id="23">
    <w:p>
      <w:pPr>
        <w:pStyle w:val="FootnoteText"/>
      </w:pPr>
      <w:r>
        <w:rPr>
          <w:rStyle w:val="FootnoteReference"/>
        </w:rPr>
        <w:footnoteRef/>
      </w:r>
      <w:r>
        <w:t xml:space="preserve"> </w:t>
      </w:r>
      <w:r>
        <w:t xml:space="preserve">Without the survey weights, neither interaction is significant (Trump cue x Republican</w:t>
      </w:r>
      <w:r>
        <w:t xml:space="preserve"> </w:t>
      </w:r>
      <w:r>
        <w:rPr>
          <w:i/>
          <w:iCs/>
        </w:rPr>
        <w:t xml:space="preserve">p</w:t>
      </w:r>
      <w:r>
        <w:t xml:space="preserve"> </w:t>
      </w:r>
      <w:r>
        <w:t xml:space="preserve">= 0.135; climate cue x Democrat</w:t>
      </w:r>
      <w:r>
        <w:t xml:space="preserve"> </w:t>
      </w:r>
      <w:r>
        <w:rPr>
          <w:i/>
          <w:iCs/>
        </w:rPr>
        <w:t xml:space="preserve">p</w:t>
      </w:r>
      <w:r>
        <w:t xml:space="preserve"> </w:t>
      </w:r>
      <w:r>
        <w:t xml:space="preserve">= 0.483). This difference reflects the demographic weights rather than the party weights. With only the demographic weights, the Trump cue x Republican interaction is similar to the estimate reported here (b = -0.51,</w:t>
      </w:r>
      <w:r>
        <w:t xml:space="preserve"> </w:t>
      </w:r>
      <w:r>
        <w:rPr>
          <w:i/>
          <w:iCs/>
        </w:rPr>
        <w:t xml:space="preserve">p</w:t>
      </w:r>
      <w:r>
        <w:t xml:space="preserve"> </w:t>
      </w:r>
      <w:r>
        <w:t xml:space="preserve">= 0.046), whereas with only the party weights it is the same as without the weights (b = -0.32,</w:t>
      </w:r>
      <w:r>
        <w:t xml:space="preserve"> </w:t>
      </w:r>
      <w:r>
        <w:rPr>
          <w:i/>
          <w:iCs/>
        </w:rPr>
        <w:t xml:space="preserve">p</w:t>
      </w:r>
      <w:r>
        <w:t xml:space="preserve"> </w:t>
      </w:r>
      <w:r>
        <w:t xml:space="preserve">= 0.135).</w:t>
      </w:r>
    </w:p>
  </w:footnote>
  <w:footnote w:id="25">
    <w:p>
      <w:pPr>
        <w:pStyle w:val="FootnoteText"/>
      </w:pPr>
      <w:r>
        <w:rPr>
          <w:rStyle w:val="FootnoteReference"/>
        </w:rPr>
        <w:footnoteRef/>
      </w:r>
      <w:r>
        <w:t xml:space="preserve"> </w:t>
      </w:r>
      <w:r>
        <w:t xml:space="preserve">Because WTP is bounded at $0 and $46, I also estimate a censored-normal (Tobit) model for each source, which treats $0 as censored from below and $46 as censored from above. Those models are shown in the supplemental material.</w:t>
      </w:r>
    </w:p>
  </w:footnote>
  <w:footnote w:id="35">
    <w:p>
      <w:pPr>
        <w:pStyle w:val="FootnoteText"/>
      </w:pPr>
      <w:r>
        <w:rPr>
          <w:rStyle w:val="FootnoteReference"/>
        </w:rPr>
        <w:footnoteRef/>
      </w:r>
      <w:r>
        <w:t xml:space="preserve"> </w:t>
      </w:r>
      <w:r>
        <w:t xml:space="preserve">In the Tobit model of fossil fuel WTP, the Trump cue x Republican interaction (b = 9.64,</w:t>
      </w:r>
      <w:r>
        <w:t xml:space="preserve"> </w:t>
      </w:r>
      <w:r>
        <w:rPr>
          <w:i/>
          <w:iCs/>
        </w:rPr>
        <w:t xml:space="preserve">p</w:t>
      </w:r>
      <w:r>
        <w:t xml:space="preserve"> </w:t>
      </w:r>
      <w:r>
        <w:t xml:space="preserve">= 0.028) and the climate cue x Republican interaction (b = 9.60,</w:t>
      </w:r>
      <w:r>
        <w:t xml:space="preserve"> </w:t>
      </w:r>
      <w:r>
        <w:rPr>
          <w:i/>
          <w:iCs/>
        </w:rPr>
        <w:t xml:space="preserve">p</w:t>
      </w:r>
      <w:r>
        <w:t xml:space="preserve"> </w:t>
      </w:r>
      <w:r>
        <w:t xml:space="preserve">= 0.026) are significant. However, these interactions reflect a lower WTP for fossil fuels in the cue conditions among those who identify with neither party (Trump cue b = -9.33,</w:t>
      </w:r>
      <w:r>
        <w:t xml:space="preserve"> </w:t>
      </w:r>
      <w:r>
        <w:rPr>
          <w:i/>
          <w:iCs/>
        </w:rPr>
        <w:t xml:space="preserve">p</w:t>
      </w:r>
      <w:r>
        <w:t xml:space="preserve"> </w:t>
      </w:r>
      <w:r>
        <w:t xml:space="preserve">= 0.012) rather than a higher WTP among Republicans, whose WTP for fossil fuels did not differ from the baseline in either the Trump cue (difference = 0.31,</w:t>
      </w:r>
      <w:r>
        <w:t xml:space="preserve"> </w:t>
      </w:r>
      <w:r>
        <w:rPr>
          <w:i/>
          <w:iCs/>
        </w:rPr>
        <w:t xml:space="preserve">p</w:t>
      </w:r>
      <w:r>
        <w:t xml:space="preserve"> </w:t>
      </w:r>
      <w:r>
        <w:t xml:space="preserve">= 0.893) or the climate cue (difference = 2.80,</w:t>
      </w:r>
      <w:r>
        <w:t xml:space="preserve"> </w:t>
      </w:r>
      <w:r>
        <w:rPr>
          <w:i/>
          <w:iCs/>
        </w:rPr>
        <w:t xml:space="preserve">p</w:t>
      </w:r>
      <w:r>
        <w:t xml:space="preserve"> </w:t>
      </w:r>
      <w:r>
        <w:t xml:space="preserve">= 0.215).</w:t>
      </w:r>
    </w:p>
  </w:footnote>
  <w:footnote w:id="37">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 I also examined whether the cues weakened the effect of cost concern within each party, using models estimated separately for Republicans and Democrats with cost concern interacted with the cues and with demographic controls. Among Republicans with a positive WTP for fossil fuels, greater concern about cost was associated with a lower WTP in the baseline condition (b = -1.23 per point on the 0 to 10 scale,</w:t>
      </w:r>
      <w:r>
        <w:t xml:space="preserve"> </w:t>
      </w:r>
      <w:r>
        <w:rPr>
          <w:i/>
          <w:iCs/>
        </w:rPr>
        <w:t xml:space="preserve">p</w:t>
      </w:r>
      <w:r>
        <w:t xml:space="preserve"> </w:t>
      </w:r>
      <w:r>
        <w:t xml:space="preserve">= 0.010), but not in the Trump cue (b = -0.27,</w:t>
      </w:r>
      <w:r>
        <w:t xml:space="preserve"> </w:t>
      </w:r>
      <w:r>
        <w:rPr>
          <w:i/>
          <w:iCs/>
        </w:rPr>
        <w:t xml:space="preserve">p</w:t>
      </w:r>
      <w:r>
        <w:t xml:space="preserve"> </w:t>
      </w:r>
      <w:r>
        <w:t xml:space="preserve">= 0.645). Among Democrats, greater concern about cost was associated with a marginally lower WTP for renewables in the baseline condition (b = -0.64,</w:t>
      </w:r>
      <w:r>
        <w:t xml:space="preserve"> </w:t>
      </w:r>
      <w:r>
        <w:rPr>
          <w:i/>
          <w:iCs/>
        </w:rPr>
        <w:t xml:space="preserve">p</w:t>
      </w:r>
      <w:r>
        <w:t xml:space="preserve"> </w:t>
      </w:r>
      <w:r>
        <w:t xml:space="preserve">= 0.071), but not in the climate cue (b = 0.07,</w:t>
      </w:r>
      <w:r>
        <w:t xml:space="preserve"> </w:t>
      </w:r>
      <w:r>
        <w:rPr>
          <w:i/>
          <w:iCs/>
        </w:rPr>
        <w:t xml:space="preserve">p</w:t>
      </w:r>
      <w:r>
        <w:t xml:space="preserve"> </w:t>
      </w:r>
      <w:r>
        <w:t xml:space="preserve">= 0.873). However, in neither case did the effect of cost concern differ significantly between the cue and the baseline condition (</w:t>
      </w:r>
      <w:r>
        <w:rPr>
          <w:i/>
          <w:iCs/>
        </w:rPr>
        <w:t xml:space="preserve">p</w:t>
      </w:r>
      <w:r>
        <w:t xml:space="preserve"> </w:t>
      </w:r>
      <w:r>
        <w:t xml:space="preserve">= 0.193 and</w:t>
      </w:r>
      <w:r>
        <w:t xml:space="preserve"> </w:t>
      </w:r>
      <w:r>
        <w:rPr>
          <w:i/>
          <w:iCs/>
        </w:rPr>
        <w:t xml:space="preserve">p</w:t>
      </w:r>
      <w:r>
        <w:t xml:space="preserve"> </w:t>
      </w:r>
      <w:r>
        <w:t xml:space="preserve">= 0.205, respectively), so there is limited evidence that the cues override cost concerns among partisans.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hyperlink" Id="rId39"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Priorities Versus Payment: Partisan Cues and Public Preferences for Fossil Fuels and Renewables</dc:title>
  <dc:creator>Matthew C. Nowlin</dc:creator>
  <cp:keywords>willingness-to-pay, partisan cues, renewable energy, fossil fuels, survey experiment</cp:keywords>
  <dcterms:created xsi:type="dcterms:W3CDTF">2026-10-23T15:33:16Z</dcterms:created>
  <dcterms:modified xsi:type="dcterms:W3CDTF">2026-10-23T15:33:16Z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Partisanship strongly predicted both outcomes, as Republicans prioritized fossil fuels and were WTP less for renewables, whereas Democrats prioritized renewables and were WTP more for them. Neither cue had an average effect on priority or WTP. The Trump cue moved Republicans toward fossil fuels on the priority scale, and the climate cue did not move Democrats toward renewables. The cues did not reliably shift WTP for either source among partisans.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