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Supplemental Materials: Cues, Partisanship, and Willingness-to-Pay for Energy</w:t>
      </w:r>
    </w:p>
    <w:p>
      <w:pPr>
        <w:pStyle w:val="Author"/>
      </w:pPr>
      <w:r>
        <w:t xml:space="preserve">Matthew C. Nowlin</w:t>
      </w:r>
      <w:r>
        <w:rPr>
          <w:rStyle w:val="FootnoteReference"/>
        </w:rPr>
        <w:footnoteReference w:id="9"/>
      </w:r>
    </w:p>
    <w:bookmarkStart w:id="24" w:name="Xc4951c3544086a8c050a712006eb659e5064788"/>
    <w:p>
      <w:pPr>
        <w:pStyle w:val="Heading1"/>
      </w:pPr>
      <w:r>
        <w:t xml:space="preserve">Robustness Check: Controlling for Concern about Energy Cost</w:t>
      </w:r>
    </w:p>
    <w:p>
      <w:pPr>
        <w:pStyle w:val="FirstParagraph"/>
      </w:pPr>
      <w:r>
        <w:t xml:space="preserve">The main text models the effect of cue condition, political identity, and their interaction on energy-source prioritization and willingness-to-pay (WTP), controlling for age, male, white, education, and income. Energy affordability was a salient concern during the period of data collection: respondents’ mean concern about the cost of electricity was 7.88 on a 0 to 10 scale. Because this concern could plausibly confound cue and political-identity effects on prioritization and WTP, this appendix re-estimates every main-text model with concern about energy cost added as an additional control. As shown below, the coefficients, their significance, and the substantive conclusions are consistent with the main text.</w:t>
      </w:r>
    </w:p>
    <w:p>
      <w:pPr>
        <w:pStyle w:val="BodyText"/>
      </w:pPr>
      <w:r>
        <w:t xml:space="preserve">The results for the energy source-priority scale are shown in</w:t>
      </w:r>
      <w:r>
        <w:t xml:space="preserve"> </w:t>
      </w:r>
      <w:hyperlink w:anchor="tbl-priority-ols-supp">
        <w:r>
          <w:rPr>
            <w:rStyle w:val="Hyperlink"/>
          </w:rPr>
          <w:t xml:space="preserve">Table 1</w:t>
        </w:r>
      </w:hyperlink>
      <w:r>
        <w:t xml:space="preserve">, parallel to the priority-scale table in the main text.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" w:name="tbl-priority-ols-su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Effect of cue condition, political beliefs, and their interaction on the energy source-priority scale, controlling for concern about energy cost (survey-weighted OLS; control condition and other/moderate identity as reference)</w:t>
            </w:r>
          </w:p>
          <w:tbl>
            <w:tblPr>
              <w:tblStyle w:val="Table"/>
              <w:tblW w:type="pct" w:w="3958"/>
              <w:tblLayout w:type="fixed"/>
              <w:tblLook w:firstRow="1" w:lastRow="1" w:firstColumn="0" w:lastColumn="0" w:noHBand="0" w:noVBand="0" w:val="0020"/>
            </w:tblPr>
            <w:tblGrid>
              <w:gridCol w:w="4400"/>
              <w:gridCol w:w="187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Priority 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Trump cue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(0.157)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Climate cue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-0.122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(0.152)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Liberal Democrat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0.647***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(0.125)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Conservative Republican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-1.221***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Trump cue × Liberal Democrat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0.176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(0.182)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Climate cue × Liberal Democrat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0.354**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(0.174)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Trump cue × Conservative Republican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-0.412*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(0.232)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Climate cue × Conservative Republican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0.062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(0.217)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Concern about energy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0.041**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(0.016)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-0.011***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0.239***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(0.068)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0.145*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(0.078)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0.044**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(0.019)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0.020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(0.013)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5.194***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(0.200)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3113</w:t>
                  </w:r>
                </w:p>
              </w:tc>
            </w:tr>
            <w:tr>
              <w:tc>
                <w:tcPr>
                  <w:gridSpan w:val="2"/>
                </w:tcPr>
                <w:p>
                  <w:pPr>
                    <w:pStyle w:val="Compact"/>
                    <w:numPr>
                      <w:ilvl w:val="0"/>
                      <w:numId w:val="1001"/>
                    </w:numPr>
                    <w:jc w:val="center"/>
                  </w:pPr>
                  <w:r>
                    <w:t xml:space="preserve">p &lt; 0.1, ** p &lt; 0.05, *** p &lt; 0.01</w:t>
                  </w:r>
                </w:p>
              </w:tc>
            </w:tr>
          </w:tbl>
          <w:bookmarkEnd w:id="10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priority-predicted-su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Predicted energy source-priority scale (1-7) by cue condition and political identity, controlling for concern about energy cost (survey-weighted OLS predictions with 95% CIs; concern about energy cost, age, male, white, education, and income held at their survey-weighted means)</w:t>
            </w:r>
          </w:p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supplemental-materials_files/figure-docx/fig-priority-predicted-supp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4"/>
        </w:tc>
      </w:tr>
    </w:tbl>
    <w:p>
      <w:pPr>
        <w:pStyle w:val="BodyText"/>
      </w:pPr>
      <w:r>
        <w:t xml:space="preserve">As in the main text, conservative Republicans were more likely to prioritize fossil fuels (b = -1.22,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 and liberal Democrats more likely to prioritize renewables (b = 0.65,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.001). The interaction terms significant at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.10 in this specification are:</w:t>
      </w:r>
    </w:p>
    <w:p>
      <w:pPr>
        <w:pStyle w:val="Compact"/>
        <w:numPr>
          <w:ilvl w:val="0"/>
          <w:numId w:val="1002"/>
        </w:numPr>
      </w:pPr>
      <w:r>
        <w:t xml:space="preserve">Conservative Republican: b = -1.22,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0.000</w:t>
      </w:r>
    </w:p>
    <w:p>
      <w:pPr>
        <w:pStyle w:val="Compact"/>
        <w:numPr>
          <w:ilvl w:val="0"/>
          <w:numId w:val="1002"/>
        </w:numPr>
      </w:pPr>
      <w:r>
        <w:t xml:space="preserve">Liberal Democrat: b = 0.65,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0.000</w:t>
      </w:r>
    </w:p>
    <w:p>
      <w:pPr>
        <w:pStyle w:val="Compact"/>
        <w:numPr>
          <w:ilvl w:val="0"/>
          <w:numId w:val="1002"/>
        </w:numPr>
      </w:pPr>
      <w:r>
        <w:t xml:space="preserve">Climate cue × Liberal Democrat: b = 0.35,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0.042</w:t>
      </w:r>
    </w:p>
    <w:p>
      <w:pPr>
        <w:pStyle w:val="Compact"/>
        <w:numPr>
          <w:ilvl w:val="0"/>
          <w:numId w:val="1002"/>
        </w:numPr>
      </w:pPr>
      <w:r>
        <w:t xml:space="preserve">Trump cue × Conservative Republican: b = -0.41,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0.076</w:t>
      </w:r>
    </w:p>
    <w:p>
      <w:pPr>
        <w:pStyle w:val="FirstParagraph"/>
      </w:pPr>
      <w:r>
        <w:t xml:space="preserve">The results for the WTP models are shown in</w:t>
      </w:r>
      <w:r>
        <w:t xml:space="preserve"> </w:t>
      </w:r>
      <w:hyperlink w:anchor="tbl-wtp-models-supp">
        <w:r>
          <w:rPr>
            <w:rStyle w:val="Hyperlink"/>
          </w:rPr>
          <w:t xml:space="preserve">Table 2</w:t>
        </w:r>
      </w:hyperlink>
      <w:r>
        <w:t xml:space="preserve">, parallel to the WTP models table in the main text.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" w:name="tbl-wtp-models-su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Effect of cue condition, political beliefs, and their interaction on willingness-to-pay for fossil fuels (any positive WTP, and amount among those with any positive WTP) and for renewables, controlling for concern about energy cost (survey-weighted logit/OLS; control condition and other/moderate identity as reference)</w:t>
            </w:r>
          </w:p>
          <w:tbl>
            <w:tblPr>
              <w:tblStyle w:val="Table"/>
              <w:tblW w:type="pct" w:w="4930"/>
              <w:tblLayout w:type="fixed"/>
              <w:tblLook w:firstRow="1" w:lastRow="1" w:firstColumn="0" w:lastColumn="0" w:noHBand="0" w:noVBand="0" w:val="0020"/>
            </w:tblPr>
            <w:tblGrid>
              <w:gridCol w:w="2215"/>
              <w:gridCol w:w="1772"/>
              <w:gridCol w:w="2326"/>
              <w:gridCol w:w="1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Fossil fuels: Any WTP (logit)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Fossil fuels: Amount, if WTP &gt; $0 (OLS)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Renewables: Amount (OLS)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Trump cue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-0.252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-3.410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-1.494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(2.257)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(1.862)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Climate cue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0.074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-1.148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-1.507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(2.230)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(1.751)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Liberal Democrat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-0.362*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5.299***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(0.185)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(2.097)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(1.575)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Conservative Republican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0.742***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-2.897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-6.818***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(0.208)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(2.076)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(1.641)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Trump cue × Liberal Democrat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3.186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2.015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(0.259)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(2.870)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(2.248)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Climate cue × Liberal Democrat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1.426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3.660*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(0.260)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(2.970)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(2.170)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Trump cue × Conservative Republican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3.506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0.373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(0.301)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(2.918)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(2.345)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Climate cue × Conservative Republican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3.338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3.053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(0.294)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(2.876)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(2.302)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Concern about energy cost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-0.067***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-0.641***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-0.381**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(0.022)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(0.224)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(0.166)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0.008**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-0.002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-0.093***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(0.003)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(0.034)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(0.025)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-0.430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0.485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(0.093)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(1.035)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(0.718)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-0.262**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0.969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2.552***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(0.106)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(1.199)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(0.854)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Education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1.148***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0.389*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(0.027)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(0.292)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(0.208)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-0.035*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0.473***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(0.019)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(0.210)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(0.145)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(Intercept)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0.593**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16.788***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20.989***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(0.271)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(2.958)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(2.146)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Num.Obs.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3113</w:t>
                  </w:r>
                </w:p>
              </w:tc>
            </w:tr>
            <w:tr>
              <w:tc>
                <w:tcPr>
                  <w:gridSpan w:val="4"/>
                </w:tcPr>
                <w:p>
                  <w:pPr>
                    <w:pStyle w:val="Compact"/>
                    <w:numPr>
                      <w:ilvl w:val="0"/>
                      <w:numId w:val="1003"/>
                    </w:numPr>
                    <w:jc w:val="center"/>
                  </w:pPr>
                  <w:r>
                    <w:t xml:space="preserve">p &lt; 0.1, ** p &lt; 0.05, *** p &lt; 0.01</w:t>
                  </w:r>
                </w:p>
              </w:tc>
            </w:tr>
          </w:tbl>
          <w:bookmarkEnd w:id="15"/>
          <w:p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fig-wtp-fossil-predicted-su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Predicted willingness-to-pay for fossil fuels, among respondents with any positive WTP, by cue condition and political identity, controlling for concern about energy cost (survey-weighted OLS predictions with 95% CIs; concern about energy cost, age, male, white, education, and income held at their survey-weighted means)</w:t>
            </w:r>
          </w:p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supplemental-materials_files/figure-docx/fig-wtp-fossil-predicted-supp-1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19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wtp-renewable-predicted-supp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Predicted willingness-to-pay for renewables by cue condition and political identity, controlling for concern about energy cost (survey-weighted OLS predictions with 95% CIs; concern about energy cost, age, male, white, education, and income held at their survey-weighted means)</w:t>
            </w:r>
          </w:p>
          <w:p>
            <w:pPr>
              <w:pStyle w:val="Compact"/>
              <w:jc w:val="center"/>
            </w:pPr>
            <w:r>
              <w:drawing>
                <wp:inline>
                  <wp:extent cx="5334000" cy="4267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supplemental-materials_files/figure-docx/fig-wtp-renewable-predicted-supp-1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267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bookmarkEnd w:id="23"/>
        </w:tc>
      </w:tr>
    </w:tbl>
    <w:p>
      <w:pPr>
        <w:pStyle w:val="BodyText"/>
      </w:pPr>
      <w:r>
        <w:t xml:space="preserve">For fossil fuels, conservative Republicans remained significantly more likely than the reference group to have any positive WTP (b = 0.74, log-odds scale,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.001), and liberal Democrats less likely (b = -0.36,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0.050). For renewables, liberal Democrats were willing to pay $5.30 more on average (climate condition: an additional $3.66,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= 0.092), and conservative Republicans $6.82 less (</w:t>
      </w:r>
      <w:r>
        <w:rPr>
          <w:i/>
          <w:iCs/>
        </w:rPr>
        <w:t xml:space="preserve">p</w:t>
      </w:r>
      <w:r>
        <w:t xml:space="preserve"> </w:t>
      </w:r>
      <w:r>
        <w:t xml:space="preserve">&lt; .001) — the same pattern, and nearly the same magnitudes, reported in the main text without this control.</w:t>
      </w:r>
    </w:p>
    <w:p>
      <w:pPr>
        <w:pStyle w:val="BodyText"/>
      </w:pPr>
      <w:r>
        <w:rPr>
          <w:b/>
          <w:bCs/>
        </w:rPr>
        <w:t xml:space="preserve">Summary.</w:t>
      </w:r>
      <w:r>
        <w:t xml:space="preserve"> </w:t>
      </w:r>
      <w:r>
        <w:t xml:space="preserve">Adding concern about energy cost as a control does not change which cue x political-identity effects are significant, does not change the sign of any coefficient, and shifts coefficient magnitudes only trivially. The main text’s cue and political-identity effects on energy prioritization and WTP are not an artifact of differential cost sensitivity across respondents.</w:t>
      </w:r>
    </w:p>
    <w:p>
      <w:r>
        <w:br w:type="page"/>
      </w:r>
    </w:p>
    <w:bookmarkEnd w:id="24"/>
    <w:bookmarkStart w:id="25" w:name="references"/>
    <w:p>
      <w:pPr>
        <w:pStyle w:val="Heading1"/>
      </w:pPr>
      <w:r>
        <w:t xml:space="preserve">References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Associate Professor, Department of Political Science, University of Texas at Arlington. Email: matthew.nowlin@uta.edu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left"/>
    </w:pPr>
    <w:rPr>
      <w:b/>
      <w:bCs/>
      <w:rFonts w:asciiTheme="majorHAnsi" w:cstheme="majorBidi" w:eastAsiaTheme="majorEastAsia" w:hAnsiTheme="majorHAnsi"/>
      <w:sz w:val="36"/>
      <w:szCs w:val="3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b/>
      <w:bCs/>
      <w:rFonts w:asciiTheme="majorHAnsi" w:cstheme="majorBidi" w:eastAsiaTheme="majorEastAsia" w:hAnsiTheme="majorHAnsi"/>
      <w:sz w:val="36"/>
      <w:szCs w:val="3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spacing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bCs/>
      <w:rFonts w:asciiTheme="majorHAnsi" w:cstheme="majorBidi" w:eastAsiaTheme="majorEastAsia" w:hAnsiTheme="majorHAnsi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bCs/>
      <w:rFonts w:asciiTheme="majorHAnsi" w:cstheme="majorBidi" w:eastAsiaTheme="majorEastAsia" w:hAnsiTheme="majorHAnsi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bCs/>
      <w:rFonts w:cstheme="majorBidi" w:eastAsiaTheme="majorEastAsia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bCs/>
      <w:sz w:val="24"/>
      <w:szCs w:val="24"/>
      <w:rFonts w:cstheme="majorBidi" w:eastAsiaTheme="majorEastAsia"/>
      <w:i/>
      <w:iCs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bCs/>
      <w:sz w:val="24"/>
      <w:szCs w:val="24"/>
      <w:rFonts w:cstheme="majorBidi" w:eastAsiaTheme="majorEastAsia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bCs/>
      <w:sz w:val="24"/>
      <w:szCs w:val="24"/>
      <w:rFonts w:cstheme="majorBidi" w:eastAsiaTheme="majorEastAsia"/>
      <w:i/>
      <w:iCs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b/>
      <w:bCs/>
      <w:sz w:val="24"/>
      <w:szCs w:val="24"/>
      <w:rFonts w:cstheme="majorBidi" w:eastAsiaTheme="majorEastAsia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b/>
      <w:bCs/>
      <w:sz w:val="24"/>
      <w:szCs w:val="24"/>
      <w:rFonts w:cstheme="majorBidi" w:eastAsiaTheme="majorEastAsia"/>
      <w:i/>
      <w:iCs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b/>
      <w:bCs/>
      <w:sz w:val="24"/>
      <w:szCs w:val="24"/>
      <w:rFonts w:cstheme="majorBidi" w:eastAsiaTheme="majorEastAsia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b/>
      <w:bCs/>
      <w:rFonts w:asciiTheme="majorHAnsi" w:cstheme="majorBidi" w:eastAsiaTheme="majorEastAsia" w:hAnsiTheme="majorHAnsi"/>
      <w:sz w:val="32"/>
      <w:szCs w:val="32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b/>
      <w:bCs/>
      <w:rFonts w:asciiTheme="majorHAnsi" w:cstheme="majorBidi" w:eastAsiaTheme="majorEastAsia" w:hAnsiTheme="majorHAnsi"/>
      <w:sz w:val="28"/>
      <w:szCs w:val="28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b/>
      <w:bCs/>
      <w:rFonts w:cstheme="majorBidi" w:eastAsiaTheme="majorEastAsia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b/>
      <w:bCs/>
      <w:rFonts w:cstheme="majorBidi" w:eastAsiaTheme="majorEastAsia"/>
      <w:i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b/>
      <w:bCs/>
      <w:rFonts w:cstheme="majorBidi" w:eastAsiaTheme="majorEastAsia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b/>
      <w:bCs/>
      <w:rFonts w:cstheme="majorBidi" w:eastAsiaTheme="majorEastAsia"/>
      <w:i/>
      <w:iCs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b/>
      <w:bCs/>
      <w:rFonts w:cstheme="majorBidi" w:eastAsiaTheme="majorEastAsia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b/>
      <w:bCs/>
      <w:rFonts w:cstheme="majorBidi" w:eastAsiaTheme="majorEastAsia"/>
      <w:i/>
      <w:iCs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b/>
      <w:bCs/>
      <w:rFonts w:cstheme="majorBidi" w:eastAsiaTheme="majorEastAsia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  <w:rPr>
      <w:sz w:val="20"/>
      <w:szCs w:val="20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0206030504050203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0206030504050203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Supplemental Materials: Cues, Partisanship, and Willingness-to-Pay for Energy</dc:title>
  <dc:creator>Matthew C. Nowlin</dc:creator>
  <cp:keywords/>
  <dcterms:created xsi:type="dcterms:W3CDTF">2026-09-21T15:54:48Z</dcterms:created>
  <dcterms:modified xsi:type="dcterms:W3CDTF">2026-09-21T15:54:48Z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csl">
    <vt:lpwstr>american-political-science-association.csl</vt:lpwstr>
  </property>
  <property fmtid="{D5CDD505-2E9C-101B-9397-08002B2CF9AE}" pid="7" name="engines">
    <vt:lpwstr/>
  </property>
  <property fmtid="{D5CDD505-2E9C-101B-9397-08002B2CF9AE}" pid="8" name="fig-cap-location">
    <vt:lpwstr>top</vt:lpwstr>
  </property>
  <property fmtid="{D5CDD505-2E9C-101B-9397-08002B2CF9AE}" pid="9" name="fontfamily">
    <vt:lpwstr>ebgaramond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link-bibliography">
    <vt:lpwstr>False</vt:lpwstr>
  </property>
  <property fmtid="{D5CDD505-2E9C-101B-9397-08002B2CF9AE}" pid="15" name="toc-title">
    <vt:lpwstr>Table of contents</vt:lpwstr>
  </property>
</Properties>
</file>